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3785F128">
      <w:pPr>
        <w:spacing w:line="360" w:lineRule="auto"/>
        <w:jc w:val="center"/>
        <w:outlineLvl w:val="1"/>
        <w:rPr>
          <w:rStyle w:val="15"/>
          <w:rFonts w:hint="eastAsia" w:ascii="宋体" w:hAnsi="宋体" w:eastAsia="宋体" w:cs="宋体"/>
          <w:b/>
          <w:bCs/>
          <w:sz w:val="32"/>
          <w:szCs w:val="28"/>
        </w:rPr>
      </w:pPr>
      <w:r>
        <w:rPr>
          <w:rStyle w:val="15"/>
          <w:rFonts w:hint="eastAsia" w:ascii="宋体" w:hAnsi="宋体" w:eastAsia="宋体" w:cs="宋体"/>
          <w:b/>
          <w:bCs/>
          <w:sz w:val="48"/>
          <w:szCs w:val="48"/>
          <w:lang w:val="en-US" w:eastAsia="zh-CN"/>
        </w:rPr>
        <w:t>中山市小榄人民医院2026年度一次性游泳薄膜袋、床罩、器械保护套、纸床单协议供货采购项目（包二）响应文件（第二次）</w:t>
      </w: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1680957F">
      <w:pPr>
        <w:spacing w:line="360" w:lineRule="auto"/>
        <w:ind w:firstLine="1680" w:firstLineChars="700"/>
        <w:jc w:val="both"/>
        <w:outlineLvl w:val="1"/>
        <w:rPr>
          <w:rStyle w:val="15"/>
          <w:rFonts w:hint="eastAsia" w:ascii="宋体" w:hAnsi="宋体" w:eastAsia="宋体" w:cs="宋体"/>
          <w:b/>
          <w:bCs/>
          <w:sz w:val="32"/>
          <w:szCs w:val="28"/>
        </w:rPr>
      </w:pPr>
      <w:r>
        <w:rPr>
          <w:rStyle w:val="15"/>
          <w:rFonts w:hint="eastAsia" w:ascii="宋体" w:hAnsi="宋体" w:eastAsia="宋体" w:cs="宋体"/>
          <w:b w:val="0"/>
          <w:bCs w:val="0"/>
          <w:sz w:val="24"/>
          <w:szCs w:val="24"/>
          <w:lang w:val="en-US" w:eastAsia="zh-CN"/>
        </w:rPr>
        <w:t>邮箱：</w:t>
      </w: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中山市小榄人民医院2026年度一次性游泳薄膜袋、床罩、器械保护套、纸床单协议供货采购项目（包二）（第二次）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22676"/>
      <w:bookmarkStart w:id="2" w:name="_Toc17857"/>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15526"/>
      <w:bookmarkStart w:id="6" w:name="_Toc11351"/>
      <w:bookmarkStart w:id="7" w:name="_Toc12015"/>
      <w:bookmarkStart w:id="8" w:name="_Toc20589"/>
      <w:bookmarkStart w:id="9" w:name="_Toc25638"/>
      <w:bookmarkStart w:id="10" w:name="_Toc27661"/>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中山市小榄人民医院2026年度一次性游泳薄膜袋、床罩、器械保护套、纸床单协议供货采购项目（包二）（第二次）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bookmarkStart w:id="18" w:name="_GoBack"/>
      <w:bookmarkEnd w:id="18"/>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26969"/>
      <w:bookmarkStart w:id="12" w:name="_Toc2041"/>
      <w:bookmarkStart w:id="13" w:name="_Toc1074"/>
      <w:bookmarkStart w:id="14" w:name="_Toc12967"/>
      <w:bookmarkStart w:id="15" w:name="_Toc23967"/>
      <w:bookmarkStart w:id="16" w:name="_Toc16435"/>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1352CF5">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与项目相关厂家、经销商资质证件、产品授权书（如有）</w:t>
      </w:r>
    </w:p>
    <w:p w14:paraId="7C3A34F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C07E94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2AAC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97E893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EEDA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30D1CD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5AB0A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815285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1BA39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37E43E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F5797F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241C1C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8DCBF2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E8A3E2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798D2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D46D2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97B771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E8E208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229F2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8F9ECD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DFF44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70ED1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96FD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01AC4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330F4C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83335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CCB79B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DE24C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29BA9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B83F06D">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产品备案凭证和第三方质量检测报告（没有相关资料需提供说明）</w:t>
      </w:r>
    </w:p>
    <w:p w14:paraId="34AB551F">
      <w:pPr>
        <w:pStyle w:val="4"/>
        <w:rPr>
          <w:rFonts w:hint="eastAsia" w:ascii="宋体" w:hAnsi="宋体" w:eastAsia="宋体" w:cs="宋体"/>
          <w:b/>
          <w:bCs/>
          <w:lang w:val="en-US" w:eastAsia="zh-CN"/>
        </w:rPr>
      </w:pPr>
    </w:p>
    <w:p w14:paraId="4E24DBCF">
      <w:pPr>
        <w:pStyle w:val="4"/>
        <w:rPr>
          <w:rFonts w:hint="eastAsia" w:ascii="宋体" w:hAnsi="宋体" w:eastAsia="宋体" w:cs="宋体"/>
          <w:b/>
          <w:bCs/>
          <w:lang w:val="en-US" w:eastAsia="zh-CN"/>
        </w:rPr>
      </w:pPr>
    </w:p>
    <w:p w14:paraId="6C995199">
      <w:pPr>
        <w:pStyle w:val="4"/>
        <w:rPr>
          <w:rFonts w:hint="eastAsia" w:ascii="宋体" w:hAnsi="宋体" w:eastAsia="宋体" w:cs="宋体"/>
          <w:b/>
          <w:bCs/>
          <w:lang w:val="en-US" w:eastAsia="zh-CN"/>
        </w:rPr>
      </w:pPr>
    </w:p>
    <w:p w14:paraId="40F1DFC5">
      <w:pPr>
        <w:pStyle w:val="4"/>
        <w:rPr>
          <w:rFonts w:hint="eastAsia" w:ascii="宋体" w:hAnsi="宋体" w:eastAsia="宋体" w:cs="宋体"/>
          <w:b/>
          <w:bCs/>
          <w:lang w:val="en-US" w:eastAsia="zh-CN"/>
        </w:rPr>
      </w:pPr>
    </w:p>
    <w:p w14:paraId="2F6A7E7C">
      <w:pPr>
        <w:pStyle w:val="4"/>
        <w:rPr>
          <w:rFonts w:hint="eastAsia" w:ascii="宋体" w:hAnsi="宋体" w:eastAsia="宋体" w:cs="宋体"/>
          <w:b/>
          <w:bCs/>
          <w:lang w:val="en-US" w:eastAsia="zh-CN"/>
        </w:rPr>
      </w:pPr>
    </w:p>
    <w:p w14:paraId="479DA00D">
      <w:pPr>
        <w:pStyle w:val="4"/>
        <w:rPr>
          <w:rFonts w:hint="eastAsia" w:ascii="宋体" w:hAnsi="宋体" w:eastAsia="宋体" w:cs="宋体"/>
          <w:b/>
          <w:bCs/>
          <w:lang w:val="en-US" w:eastAsia="zh-CN"/>
        </w:rPr>
      </w:pPr>
    </w:p>
    <w:p w14:paraId="18AB7E85">
      <w:pPr>
        <w:pStyle w:val="4"/>
        <w:rPr>
          <w:rFonts w:hint="eastAsia" w:ascii="宋体" w:hAnsi="宋体" w:eastAsia="宋体" w:cs="宋体"/>
          <w:b/>
          <w:bCs/>
          <w:lang w:val="en-US" w:eastAsia="zh-CN"/>
        </w:rPr>
      </w:pPr>
    </w:p>
    <w:p w14:paraId="0BF718A3">
      <w:pPr>
        <w:pStyle w:val="4"/>
        <w:rPr>
          <w:rFonts w:hint="eastAsia" w:ascii="宋体" w:hAnsi="宋体" w:eastAsia="宋体" w:cs="宋体"/>
          <w:b/>
          <w:bCs/>
          <w:lang w:val="en-US" w:eastAsia="zh-CN"/>
        </w:rPr>
      </w:pPr>
    </w:p>
    <w:p w14:paraId="5D8B436F">
      <w:pPr>
        <w:pStyle w:val="4"/>
        <w:rPr>
          <w:rFonts w:hint="eastAsia" w:ascii="宋体" w:hAnsi="宋体" w:eastAsia="宋体" w:cs="宋体"/>
          <w:b/>
          <w:bCs/>
          <w:lang w:val="en-US" w:eastAsia="zh-CN"/>
        </w:rPr>
      </w:pPr>
    </w:p>
    <w:p w14:paraId="294493A5">
      <w:pPr>
        <w:pStyle w:val="4"/>
        <w:rPr>
          <w:rFonts w:hint="eastAsia" w:ascii="宋体" w:hAnsi="宋体" w:eastAsia="宋体" w:cs="宋体"/>
          <w:b/>
          <w:bCs/>
          <w:lang w:val="en-US" w:eastAsia="zh-CN"/>
        </w:rPr>
      </w:pPr>
    </w:p>
    <w:p w14:paraId="21E17CBA">
      <w:pPr>
        <w:pStyle w:val="4"/>
        <w:rPr>
          <w:rFonts w:hint="eastAsia" w:ascii="宋体" w:hAnsi="宋体" w:eastAsia="宋体" w:cs="宋体"/>
          <w:b/>
          <w:bCs/>
          <w:lang w:val="en-US" w:eastAsia="zh-CN"/>
        </w:rPr>
      </w:pPr>
    </w:p>
    <w:p w14:paraId="2F0C73D7">
      <w:pPr>
        <w:pStyle w:val="4"/>
        <w:rPr>
          <w:rFonts w:hint="eastAsia" w:ascii="宋体" w:hAnsi="宋体" w:eastAsia="宋体" w:cs="宋体"/>
          <w:b/>
          <w:bCs/>
          <w:lang w:val="en-US" w:eastAsia="zh-CN"/>
        </w:rPr>
      </w:pPr>
    </w:p>
    <w:p w14:paraId="0B4EE1E1">
      <w:pPr>
        <w:pStyle w:val="4"/>
        <w:rPr>
          <w:rFonts w:hint="eastAsia" w:ascii="宋体" w:hAnsi="宋体" w:eastAsia="宋体" w:cs="宋体"/>
          <w:b/>
          <w:bCs/>
          <w:lang w:val="en-US" w:eastAsia="zh-CN"/>
        </w:rPr>
      </w:pPr>
    </w:p>
    <w:p w14:paraId="41114678">
      <w:pPr>
        <w:pStyle w:val="4"/>
        <w:rPr>
          <w:rFonts w:hint="eastAsia" w:ascii="宋体" w:hAnsi="宋体" w:eastAsia="宋体" w:cs="宋体"/>
          <w:b/>
          <w:bCs/>
          <w:lang w:val="en-US" w:eastAsia="zh-CN"/>
        </w:rPr>
      </w:pPr>
    </w:p>
    <w:p w14:paraId="03FC7C93">
      <w:pPr>
        <w:pStyle w:val="4"/>
        <w:rPr>
          <w:rFonts w:hint="eastAsia" w:ascii="宋体" w:hAnsi="宋体" w:eastAsia="宋体" w:cs="宋体"/>
          <w:b/>
          <w:bCs/>
          <w:lang w:val="en-US" w:eastAsia="zh-CN"/>
        </w:rPr>
      </w:pPr>
    </w:p>
    <w:p w14:paraId="00765D28">
      <w:pPr>
        <w:pStyle w:val="4"/>
        <w:rPr>
          <w:rFonts w:hint="eastAsia" w:ascii="宋体" w:hAnsi="宋体" w:eastAsia="宋体" w:cs="宋体"/>
          <w:b/>
          <w:bCs/>
          <w:lang w:val="en-US" w:eastAsia="zh-CN"/>
        </w:rPr>
      </w:pPr>
    </w:p>
    <w:p w14:paraId="62AEAD62">
      <w:pPr>
        <w:pStyle w:val="4"/>
        <w:rPr>
          <w:rFonts w:hint="eastAsia" w:ascii="宋体" w:hAnsi="宋体" w:eastAsia="宋体" w:cs="宋体"/>
          <w:b/>
          <w:bCs/>
          <w:lang w:val="en-US" w:eastAsia="zh-CN"/>
        </w:rPr>
      </w:pPr>
    </w:p>
    <w:p w14:paraId="2352FF05">
      <w:pPr>
        <w:pStyle w:val="4"/>
        <w:rPr>
          <w:rFonts w:hint="eastAsia" w:ascii="宋体" w:hAnsi="宋体" w:eastAsia="宋体" w:cs="宋体"/>
          <w:b/>
          <w:bCs/>
          <w:lang w:val="en-US" w:eastAsia="zh-CN"/>
        </w:rPr>
      </w:pPr>
    </w:p>
    <w:p w14:paraId="7B5AC822">
      <w:pPr>
        <w:pStyle w:val="4"/>
        <w:rPr>
          <w:rFonts w:hint="eastAsia" w:ascii="宋体" w:hAnsi="宋体" w:eastAsia="宋体" w:cs="宋体"/>
          <w:b/>
          <w:bCs/>
          <w:lang w:val="en-US" w:eastAsia="zh-CN"/>
        </w:rPr>
      </w:pPr>
    </w:p>
    <w:p w14:paraId="5FB1FFD6">
      <w:pPr>
        <w:pStyle w:val="4"/>
        <w:rPr>
          <w:rFonts w:hint="eastAsia" w:ascii="宋体" w:hAnsi="宋体" w:eastAsia="宋体" w:cs="宋体"/>
          <w:b/>
          <w:bCs/>
          <w:lang w:val="en-US" w:eastAsia="zh-CN"/>
        </w:rPr>
      </w:pPr>
    </w:p>
    <w:p w14:paraId="2ADC3E6E">
      <w:pPr>
        <w:pStyle w:val="4"/>
        <w:rPr>
          <w:rFonts w:hint="eastAsia" w:ascii="宋体" w:hAnsi="宋体" w:eastAsia="宋体" w:cs="宋体"/>
          <w:b/>
          <w:bCs/>
          <w:lang w:val="en-US" w:eastAsia="zh-CN"/>
        </w:rPr>
      </w:pPr>
    </w:p>
    <w:p w14:paraId="51852666">
      <w:pPr>
        <w:pStyle w:val="4"/>
        <w:rPr>
          <w:rFonts w:hint="eastAsia" w:ascii="宋体" w:hAnsi="宋体" w:eastAsia="宋体" w:cs="宋体"/>
          <w:b/>
          <w:bCs/>
          <w:lang w:val="en-US" w:eastAsia="zh-CN"/>
        </w:rPr>
      </w:pPr>
    </w:p>
    <w:p w14:paraId="1B21F22B">
      <w:pPr>
        <w:pStyle w:val="4"/>
        <w:rPr>
          <w:rFonts w:hint="eastAsia" w:ascii="宋体" w:hAnsi="宋体" w:eastAsia="宋体" w:cs="宋体"/>
          <w:b/>
          <w:bCs/>
          <w:lang w:val="en-US" w:eastAsia="zh-CN"/>
        </w:rPr>
      </w:pPr>
    </w:p>
    <w:p w14:paraId="00C3EF70">
      <w:pPr>
        <w:pStyle w:val="4"/>
        <w:rPr>
          <w:rFonts w:hint="eastAsia" w:ascii="宋体" w:hAnsi="宋体" w:eastAsia="宋体" w:cs="宋体"/>
          <w:b/>
          <w:bCs/>
          <w:lang w:val="en-US" w:eastAsia="zh-CN"/>
        </w:rPr>
      </w:pPr>
    </w:p>
    <w:p w14:paraId="53F7DC22">
      <w:pPr>
        <w:pStyle w:val="4"/>
        <w:rPr>
          <w:rFonts w:hint="eastAsia" w:ascii="宋体" w:hAnsi="宋体" w:eastAsia="宋体" w:cs="宋体"/>
          <w:b/>
          <w:bCs/>
          <w:lang w:val="en-US" w:eastAsia="zh-CN"/>
        </w:rPr>
      </w:pPr>
    </w:p>
    <w:p w14:paraId="4856908E">
      <w:pPr>
        <w:pStyle w:val="4"/>
        <w:rPr>
          <w:rFonts w:hint="eastAsia" w:ascii="宋体" w:hAnsi="宋体" w:eastAsia="宋体" w:cs="宋体"/>
          <w:b/>
          <w:bCs/>
          <w:lang w:val="en-US" w:eastAsia="zh-CN"/>
        </w:rPr>
      </w:pPr>
    </w:p>
    <w:p w14:paraId="3D5539D1">
      <w:pPr>
        <w:pStyle w:val="4"/>
        <w:rPr>
          <w:rFonts w:hint="eastAsia" w:ascii="宋体" w:hAnsi="宋体" w:eastAsia="宋体" w:cs="宋体"/>
          <w:b/>
          <w:bCs/>
          <w:lang w:val="en-US" w:eastAsia="zh-CN"/>
        </w:rPr>
      </w:pPr>
    </w:p>
    <w:p w14:paraId="6FAB0420">
      <w:pPr>
        <w:pStyle w:val="4"/>
        <w:rPr>
          <w:rFonts w:hint="eastAsia" w:ascii="宋体" w:hAnsi="宋体" w:eastAsia="宋体" w:cs="宋体"/>
          <w:b/>
          <w:bCs/>
          <w:lang w:val="en-US" w:eastAsia="zh-CN"/>
        </w:rPr>
      </w:pPr>
    </w:p>
    <w:p w14:paraId="5BAE2B41">
      <w:pPr>
        <w:pStyle w:val="4"/>
        <w:rPr>
          <w:rFonts w:hint="eastAsia" w:ascii="宋体" w:hAnsi="宋体" w:eastAsia="宋体" w:cs="宋体"/>
          <w:b/>
          <w:bCs/>
          <w:lang w:val="en-US" w:eastAsia="zh-CN"/>
        </w:rPr>
      </w:pPr>
    </w:p>
    <w:p w14:paraId="1B6B563D">
      <w:pPr>
        <w:pStyle w:val="4"/>
        <w:rPr>
          <w:rFonts w:hint="eastAsia" w:ascii="宋体" w:hAnsi="宋体" w:eastAsia="宋体" w:cs="宋体"/>
          <w:b/>
          <w:bCs/>
          <w:lang w:val="en-US" w:eastAsia="zh-CN"/>
        </w:rPr>
      </w:pPr>
    </w:p>
    <w:p w14:paraId="6A5D640D">
      <w:pPr>
        <w:pStyle w:val="4"/>
        <w:rPr>
          <w:rFonts w:hint="eastAsia" w:ascii="宋体" w:hAnsi="宋体" w:eastAsia="宋体" w:cs="宋体"/>
          <w:b/>
          <w:bCs/>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b/>
          <w:bCs/>
          <w:lang w:val="en-US" w:eastAsia="zh-CN"/>
        </w:rPr>
        <w:t>八、</w:t>
      </w:r>
      <w:r>
        <w:rPr>
          <w:rStyle w:val="15"/>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74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1417"/>
        <w:gridCol w:w="5181"/>
        <w:gridCol w:w="1236"/>
        <w:gridCol w:w="126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DA20EC">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资质要求：</w:t>
            </w:r>
          </w:p>
          <w:p w14:paraId="50C7A1C6">
            <w:pPr>
              <w:numPr>
                <w:ilvl w:val="0"/>
                <w:numId w:val="0"/>
              </w:numPr>
              <w:spacing w:line="360" w:lineRule="auto"/>
              <w:ind w:leftChars="0" w:firstLine="420" w:firstLineChars="200"/>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（1）响应供应商必须是具有独立承担民事责任能力的在中华人民共和国境内注册的企业法人或其他组织,具有有效的且具备</w:t>
            </w:r>
            <w:r>
              <w:rPr>
                <w:rFonts w:hint="eastAsia" w:ascii="宋体" w:hAnsi="宋体" w:cs="宋体"/>
                <w:b/>
                <w:bCs/>
                <w:color w:val="auto"/>
                <w:szCs w:val="21"/>
                <w:highlight w:val="none"/>
                <w:lang w:val="en-US" w:eastAsia="zh-CN"/>
              </w:rPr>
              <w:t>医疗器械/一次性医疗卫生用品/日用品销售等</w:t>
            </w:r>
            <w:r>
              <w:rPr>
                <w:rFonts w:hint="eastAsia" w:ascii="宋体" w:hAnsi="宋体" w:eastAsia="宋体" w:cs="Times New Roman"/>
                <w:color w:val="auto"/>
                <w:kern w:val="2"/>
                <w:sz w:val="21"/>
                <w:szCs w:val="21"/>
                <w:highlight w:val="none"/>
                <w:lang w:val="en-US" w:eastAsia="zh-CN" w:bidi="ar-SA"/>
              </w:rPr>
              <w:t>相关经营范围的营业执照。</w:t>
            </w:r>
          </w:p>
          <w:p w14:paraId="4854312E">
            <w:pPr>
              <w:numPr>
                <w:ilvl w:val="0"/>
                <w:numId w:val="0"/>
              </w:numPr>
              <w:spacing w:line="360" w:lineRule="auto"/>
              <w:ind w:leftChars="0" w:firstLine="420" w:firstLineChars="2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（2）响应供应商应具有项目的承接能力、合同的履约能力、售后服务能力和良好的信誉；且未被列入失信被执行人、重大税收违法、政府采购严重违法等名单。</w:t>
            </w:r>
          </w:p>
          <w:p w14:paraId="38C5D548">
            <w:pPr>
              <w:numPr>
                <w:ilvl w:val="0"/>
                <w:numId w:val="0"/>
              </w:numPr>
              <w:spacing w:line="360" w:lineRule="auto"/>
              <w:ind w:leftChars="0"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Times New Roman"/>
                <w:color w:val="auto"/>
                <w:kern w:val="2"/>
                <w:sz w:val="21"/>
                <w:szCs w:val="21"/>
                <w:highlight w:val="none"/>
                <w:lang w:val="en-US" w:eastAsia="zh-CN" w:bidi="ar-SA"/>
              </w:rPr>
              <w:t>（3）单位负责人为同一人或者存在直接控股、管理关系的不同供应商，不得参加同一合同项下的采购活动；响应供应商须无围标、串标行为。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交货地点：中山市小榄人民医院日用品仓库</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723433">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供货期限：自合同签订之日起1年。当达到下列条件之一，合同自动终止:</w:t>
            </w:r>
          </w:p>
          <w:p w14:paraId="7664D1B0">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（1）自合同签订之日起，供货满一年；</w:t>
            </w:r>
          </w:p>
          <w:p w14:paraId="7722825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（2）合同期内采购金额累计达到本项目预算总金额；</w:t>
            </w:r>
          </w:p>
          <w:p w14:paraId="457A0BC2">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（3）剩余金额不足以采购清单内任何一项物品时。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DA9EB9">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¥56,500元</w:t>
            </w:r>
            <w:r>
              <w:rPr>
                <w:rFonts w:hint="eastAsia" w:ascii="宋体" w:hAnsi="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交货方式：成交供应商应保证有充足的货物，确保供货，在收到采购人下单通知后5个工作日内将货物交付到指定地点。如遇采购人急需使用的情况，成交供应商应在4小时内到货。</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Theme="minorEastAsia"/>
                <w:color w:val="auto"/>
                <w:szCs w:val="21"/>
                <w:lang w:val="en-US" w:eastAsia="zh-CN"/>
              </w:rPr>
            </w:pPr>
            <w:r>
              <w:rPr>
                <w:rFonts w:hint="eastAsia" w:ascii="宋体" w:hAnsi="宋体"/>
                <w:color w:val="auto"/>
                <w:szCs w:val="21"/>
                <w:lang w:val="en-US" w:eastAsia="zh-CN"/>
              </w:rPr>
              <w:t>6</w:t>
            </w:r>
          </w:p>
        </w:tc>
        <w:tc>
          <w:tcPr>
            <w:tcW w:w="909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交货条件：</w:t>
            </w: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982D03">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成交供应商应将货物送到采购人指定地点交给采购人收货人，货物交付前一切风险由成交供应商承担。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79145">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成交供应商所提交的货物单价超出合同约定的，采购人有权拒绝接收。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如遇紧急情况，供货时间由双方协商确定）。</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合同期内，成交供应商所提供的货物在使用过程中，采购人发现以次充好或使用假冒伪劣产品2次以上，或者成交供应商超过规定交货期限15个自然日仍不能交货的，采购人有权单方终止合同。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成交供应商在实施项目过程中如有违法违规行为的，采购人有权取消其供货资格，造成的损失由成交供应商承担。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41CD61">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成交供应商不得以任何方式转包或分包本项目，否则采购人有权单方终止项目。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成交供应商向采购人提供产品全部相关资质证明。</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C142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ED3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10087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93C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6F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7C6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20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AB2063">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如成交供应商未能按时保质交货，需支付违约金。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1F3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9780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D544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4BF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2494">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成交供应商送货上门，运费、装卸费及保险费等一切相关费用均由成交供应商负责。</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805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807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D9A8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16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8BB0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成交供应商应依照行业标准对采购人所购买的产品进行包装，以防止产品在转运中损坏、污染或侵权行为等，确保产品安全运抵指定地点。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8C2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139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0C41A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024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color w:val="auto"/>
                <w:sz w:val="18"/>
                <w:szCs w:val="18"/>
                <w:lang w:val="en-US" w:eastAsia="zh-CN"/>
              </w:rPr>
            </w:pPr>
            <w:r>
              <w:rPr>
                <w:rFonts w:hint="eastAsia" w:ascii="宋体" w:hAnsi="宋体"/>
                <w:color w:val="auto"/>
                <w:sz w:val="18"/>
                <w:szCs w:val="18"/>
                <w:lang w:val="en-US" w:eastAsia="zh-CN"/>
              </w:rPr>
              <w:t>（12）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F7D3A7">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成交供应商不得无故拖延项目实施，否则，经采购人书面通知后，成交供应商未在采购人指定的合理期限内完成的，采购人有权向第三方采购，所产生的费用及一切经济损失由供应商自行承担。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791F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DF46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07B6F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C0F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Cs w:val="21"/>
                <w:lang w:val="en-US" w:eastAsia="zh-CN"/>
              </w:rPr>
            </w:pPr>
            <w:r>
              <w:rPr>
                <w:rFonts w:hint="eastAsia" w:ascii="宋体" w:hAnsi="宋体" w:cs="宋体"/>
                <w:szCs w:val="21"/>
                <w:highlight w:val="none"/>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48606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8182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C7D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DC5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二、</w:t>
            </w:r>
            <w:r>
              <w:rPr>
                <w:rFonts w:hint="eastAsia" w:ascii="宋体" w:hAnsi="宋体" w:cs="宋体"/>
                <w:b/>
                <w:color w:val="auto"/>
                <w:szCs w:val="21"/>
                <w:highlight w:val="none"/>
                <w:lang w:val="en-US" w:eastAsia="zh-CN"/>
              </w:rPr>
              <w:t>采购清单（包一）</w:t>
            </w:r>
          </w:p>
        </w:tc>
      </w:tr>
      <w:tr w14:paraId="5B51A2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C4072">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序号</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552BB">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采购物品</w:t>
            </w:r>
          </w:p>
        </w:tc>
        <w:tc>
          <w:tcPr>
            <w:tcW w:w="5181"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B16F06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kern w:val="0"/>
                <w:sz w:val="21"/>
                <w:szCs w:val="21"/>
                <w:vertAlign w:val="baseline"/>
                <w:lang w:val="en-US" w:eastAsia="zh-CN" w:bidi="ar"/>
              </w:rPr>
              <w:t>技术参数要求</w:t>
            </w:r>
          </w:p>
        </w:tc>
        <w:tc>
          <w:tcPr>
            <w:tcW w:w="24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6B5C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1214B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5F53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1</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A3A53">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sz w:val="18"/>
                <w:szCs w:val="18"/>
                <w:lang w:val="en-US" w:eastAsia="zh-CN" w:bidi="ar"/>
              </w:rPr>
              <w:t>一次性纸床单</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1904FB">
            <w:pPr>
              <w:pStyle w:val="14"/>
              <w:widowControl/>
              <w:numPr>
                <w:ilvl w:val="0"/>
                <w:numId w:val="0"/>
              </w:numPr>
              <w:spacing w:line="240" w:lineRule="auto"/>
              <w:jc w:val="both"/>
              <w:rPr>
                <w:rFonts w:hint="eastAsia" w:ascii="宋体" w:hAnsi="宋体" w:eastAsia="宋体" w:cs="宋体"/>
                <w:bCs/>
                <w:color w:val="auto"/>
                <w:sz w:val="18"/>
                <w:szCs w:val="18"/>
                <w:lang w:val="en-US" w:eastAsia="zh-CN"/>
              </w:rPr>
            </w:pPr>
            <w:r>
              <w:rPr>
                <w:rFonts w:hint="eastAsia" w:ascii="宋体" w:hAnsi="宋体" w:cs="宋体"/>
                <w:bCs/>
                <w:color w:val="auto"/>
                <w:sz w:val="18"/>
                <w:szCs w:val="18"/>
                <w:lang w:val="en-US" w:eastAsia="zh-CN"/>
              </w:rPr>
              <w:t>1、规格：</w:t>
            </w:r>
            <w:r>
              <w:rPr>
                <w:rFonts w:hint="eastAsia" w:ascii="宋体" w:hAnsi="宋体" w:eastAsia="宋体" w:cs="宋体"/>
                <w:i w:val="0"/>
                <w:iCs w:val="0"/>
                <w:caps w:val="0"/>
                <w:color w:val="auto"/>
                <w:spacing w:val="0"/>
                <w:sz w:val="18"/>
                <w:szCs w:val="18"/>
                <w:shd w:val="clear" w:fill="FFFFFF"/>
              </w:rPr>
              <w:t>宽度60cm，</w:t>
            </w:r>
            <w:r>
              <w:rPr>
                <w:rFonts w:hint="eastAsia" w:ascii="宋体" w:hAnsi="宋体" w:eastAsia="宋体" w:cs="宋体"/>
                <w:i w:val="0"/>
                <w:iCs w:val="0"/>
                <w:caps w:val="0"/>
                <w:color w:val="auto"/>
                <w:spacing w:val="0"/>
                <w:sz w:val="18"/>
                <w:szCs w:val="18"/>
                <w:shd w:val="clear" w:fill="FFFFFF"/>
                <w:lang w:val="en-US" w:eastAsia="zh-CN"/>
              </w:rPr>
              <w:t>卷筒式</w:t>
            </w:r>
            <w:r>
              <w:rPr>
                <w:rFonts w:hint="eastAsia" w:ascii="宋体" w:hAnsi="宋体" w:eastAsia="宋体" w:cs="宋体"/>
                <w:i w:val="0"/>
                <w:iCs w:val="0"/>
                <w:caps w:val="0"/>
                <w:color w:val="auto"/>
                <w:spacing w:val="0"/>
                <w:sz w:val="18"/>
                <w:szCs w:val="18"/>
                <w:shd w:val="clear" w:fill="FFFFFF"/>
              </w:rPr>
              <w:t>100米/卷</w:t>
            </w:r>
            <w:r>
              <w:rPr>
                <w:rFonts w:hint="eastAsia" w:ascii="宋体" w:hAnsi="宋体" w:eastAsia="宋体" w:cs="宋体"/>
                <w:i w:val="0"/>
                <w:iCs w:val="0"/>
                <w:caps w:val="0"/>
                <w:color w:val="auto"/>
                <w:spacing w:val="0"/>
                <w:sz w:val="18"/>
                <w:szCs w:val="18"/>
                <w:shd w:val="clear" w:fill="FFFFFF"/>
                <w:lang w:eastAsia="zh-CN"/>
              </w:rPr>
              <w:t>；</w:t>
            </w:r>
          </w:p>
          <w:p w14:paraId="6F01C253">
            <w:pPr>
              <w:pStyle w:val="14"/>
              <w:widowControl/>
              <w:numPr>
                <w:ilvl w:val="0"/>
                <w:numId w:val="0"/>
              </w:numPr>
              <w:spacing w:line="240" w:lineRule="auto"/>
              <w:jc w:val="both"/>
              <w:rPr>
                <w:rFonts w:hint="eastAsia" w:ascii="宋体" w:hAnsi="宋体" w:eastAsia="宋体" w:cs="宋体"/>
                <w:bCs/>
                <w:color w:val="auto"/>
                <w:sz w:val="18"/>
                <w:szCs w:val="18"/>
                <w:lang w:val="en-US" w:eastAsia="zh-CN"/>
              </w:rPr>
            </w:pPr>
            <w:r>
              <w:rPr>
                <w:rFonts w:hint="eastAsia" w:ascii="宋体" w:hAnsi="宋体" w:cs="宋体"/>
                <w:bCs/>
                <w:color w:val="auto"/>
                <w:sz w:val="18"/>
                <w:szCs w:val="18"/>
                <w:lang w:val="en-US" w:eastAsia="zh-CN"/>
              </w:rPr>
              <w:t>2、材质：白色，再生环保纸，</w:t>
            </w:r>
            <w:r>
              <w:rPr>
                <w:rFonts w:ascii="Segoe UI" w:hAnsi="Segoe UI" w:eastAsia="Segoe UI" w:cs="Segoe UI"/>
                <w:i w:val="0"/>
                <w:iCs w:val="0"/>
                <w:caps w:val="0"/>
                <w:color w:val="auto"/>
                <w:spacing w:val="0"/>
                <w:sz w:val="18"/>
                <w:szCs w:val="18"/>
                <w:shd w:val="clear" w:fill="FFFFFF"/>
              </w:rPr>
              <w:t>具备透气性</w:t>
            </w:r>
            <w:r>
              <w:rPr>
                <w:rFonts w:hint="eastAsia" w:ascii="Segoe UI" w:hAnsi="Segoe UI" w:eastAsia="宋体" w:cs="Segoe UI"/>
                <w:i w:val="0"/>
                <w:iCs w:val="0"/>
                <w:caps w:val="0"/>
                <w:color w:val="auto"/>
                <w:spacing w:val="0"/>
                <w:sz w:val="18"/>
                <w:szCs w:val="18"/>
                <w:shd w:val="clear" w:fill="FFFFFF"/>
                <w:lang w:eastAsia="zh-CN"/>
              </w:rPr>
              <w:t>；</w:t>
            </w:r>
          </w:p>
          <w:p w14:paraId="03B0F7FF">
            <w:pPr>
              <w:pStyle w:val="14"/>
              <w:widowControl/>
              <w:numPr>
                <w:ilvl w:val="0"/>
                <w:numId w:val="0"/>
              </w:numPr>
              <w:spacing w:line="240" w:lineRule="auto"/>
              <w:jc w:val="both"/>
              <w:rPr>
                <w:rFonts w:hint="eastAsia" w:ascii="宋体" w:hAnsi="宋体" w:eastAsia="宋体" w:cs="宋体"/>
                <w:i w:val="0"/>
                <w:iCs w:val="0"/>
                <w:caps w:val="0"/>
                <w:color w:val="auto"/>
                <w:spacing w:val="0"/>
                <w:sz w:val="18"/>
                <w:szCs w:val="18"/>
                <w:shd w:val="clear" w:fill="FFFFFF"/>
                <w:lang w:val="en-US" w:eastAsia="zh-CN"/>
              </w:rPr>
            </w:pPr>
            <w:r>
              <w:rPr>
                <w:rFonts w:hint="eastAsia" w:ascii="宋体" w:hAnsi="宋体" w:eastAsia="宋体" w:cs="宋体"/>
                <w:i w:val="0"/>
                <w:iCs w:val="0"/>
                <w:caps w:val="0"/>
                <w:color w:val="auto"/>
                <w:spacing w:val="0"/>
                <w:sz w:val="18"/>
                <w:szCs w:val="18"/>
                <w:shd w:val="clear" w:fill="FFFFFF"/>
                <w:lang w:val="en-US" w:eastAsia="zh-CN"/>
              </w:rPr>
              <w:t>3、亮度（白度）≥70%，洞眼总数≤50个/㎡，横向吸液高度≥20mm/100s，交货水分≤10.0%</w:t>
            </w:r>
            <w:r>
              <w:rPr>
                <w:rFonts w:hint="eastAsia" w:ascii="宋体" w:hAnsi="宋体" w:eastAsia="宋体" w:cs="宋体"/>
                <w:i w:val="0"/>
                <w:iCs w:val="0"/>
                <w:caps w:val="0"/>
                <w:color w:val="auto"/>
                <w:spacing w:val="0"/>
                <w:sz w:val="18"/>
                <w:szCs w:val="18"/>
                <w:shd w:val="clear" w:fill="FFFFFF"/>
                <w:lang w:eastAsia="zh-CN"/>
              </w:rPr>
              <w:t>；</w:t>
            </w:r>
          </w:p>
          <w:p w14:paraId="3E3786A1">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default" w:ascii="宋体" w:hAnsi="宋体" w:cs="宋体"/>
                <w:bCs/>
                <w:color w:val="auto"/>
                <w:sz w:val="18"/>
                <w:szCs w:val="18"/>
                <w:lang w:val="en-US" w:eastAsia="zh-CN"/>
              </w:rPr>
              <w:t>4、</w:t>
            </w:r>
            <w:r>
              <w:rPr>
                <w:rFonts w:hint="eastAsia" w:ascii="宋体" w:hAnsi="宋体" w:cs="宋体"/>
                <w:bCs/>
                <w:color w:val="auto"/>
                <w:sz w:val="18"/>
                <w:szCs w:val="18"/>
              </w:rPr>
              <w:t>表面洁净平整，无破洞、无异味、无明显杂质和污渍</w:t>
            </w:r>
            <w:r>
              <w:rPr>
                <w:rFonts w:hint="eastAsia" w:ascii="宋体" w:hAnsi="宋体" w:cs="宋体"/>
                <w:bCs/>
                <w:color w:val="auto"/>
                <w:sz w:val="18"/>
                <w:szCs w:val="18"/>
                <w:lang w:eastAsia="zh-CN"/>
              </w:rPr>
              <w:t>，</w:t>
            </w:r>
            <w:r>
              <w:rPr>
                <w:rFonts w:hint="eastAsia" w:ascii="宋体" w:hAnsi="宋体" w:cs="宋体"/>
                <w:bCs/>
                <w:color w:val="auto"/>
                <w:sz w:val="18"/>
                <w:szCs w:val="18"/>
                <w:lang w:val="en-US" w:eastAsia="zh-CN"/>
              </w:rPr>
              <w:t>无掉屑、无掉粉；</w:t>
            </w:r>
          </w:p>
          <w:p w14:paraId="5796DD61">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5、产品不得检出有大肠菌群、绿脓杆菌、金黄色葡萄球菌、溶血性链球菌等微生物；</w:t>
            </w:r>
          </w:p>
          <w:p w14:paraId="06B26B8C">
            <w:pPr>
              <w:pStyle w:val="14"/>
              <w:widowControl/>
              <w:numPr>
                <w:ilvl w:val="0"/>
                <w:numId w:val="0"/>
              </w:numPr>
              <w:spacing w:line="240" w:lineRule="auto"/>
              <w:jc w:val="both"/>
              <w:rPr>
                <w:rFonts w:hint="eastAsia" w:ascii="宋体" w:hAnsi="宋体" w:cs="宋体"/>
                <w:b/>
                <w:bCs w:val="0"/>
                <w:color w:val="auto"/>
                <w:sz w:val="18"/>
                <w:szCs w:val="18"/>
                <w:lang w:val="en-US" w:eastAsia="zh-CN"/>
              </w:rPr>
            </w:pPr>
            <w:r>
              <w:rPr>
                <w:rFonts w:hint="eastAsia" w:ascii="宋体" w:hAnsi="宋体" w:cs="宋体"/>
                <w:b/>
                <w:bCs w:val="0"/>
                <w:color w:val="auto"/>
                <w:sz w:val="18"/>
                <w:szCs w:val="18"/>
                <w:lang w:val="en-US" w:eastAsia="zh-CN"/>
              </w:rPr>
              <w:t>6</w:t>
            </w:r>
            <w:r>
              <w:rPr>
                <w:rFonts w:hint="default" w:ascii="宋体" w:hAnsi="宋体" w:cs="宋体"/>
                <w:b/>
                <w:bCs w:val="0"/>
                <w:color w:val="auto"/>
                <w:sz w:val="18"/>
                <w:szCs w:val="18"/>
                <w:lang w:val="en-US" w:eastAsia="zh-CN"/>
              </w:rPr>
              <w:t>、</w:t>
            </w:r>
            <w:r>
              <w:rPr>
                <w:rFonts w:hint="eastAsia" w:ascii="宋体" w:hAnsi="宋体" w:cs="宋体"/>
                <w:b/>
                <w:bCs w:val="0"/>
                <w:color w:val="auto"/>
                <w:sz w:val="18"/>
                <w:szCs w:val="18"/>
                <w:lang w:val="en-US" w:eastAsia="zh-CN"/>
              </w:rPr>
              <w:t>提供产品</w:t>
            </w:r>
            <w:r>
              <w:rPr>
                <w:rFonts w:hint="default" w:ascii="宋体" w:hAnsi="宋体" w:cs="宋体"/>
                <w:b/>
                <w:bCs w:val="0"/>
                <w:color w:val="auto"/>
                <w:sz w:val="18"/>
                <w:szCs w:val="18"/>
                <w:lang w:val="en-US" w:eastAsia="zh-CN"/>
              </w:rPr>
              <w:t>备案凭证</w:t>
            </w:r>
            <w:r>
              <w:rPr>
                <w:rFonts w:hint="eastAsia" w:ascii="宋体" w:hAnsi="宋体" w:cs="宋体"/>
                <w:b/>
                <w:bCs w:val="0"/>
                <w:color w:val="auto"/>
                <w:sz w:val="18"/>
                <w:szCs w:val="18"/>
                <w:lang w:val="en-US" w:eastAsia="zh-CN"/>
              </w:rPr>
              <w:t>和第三方质量检测报告（如有）。</w:t>
            </w:r>
          </w:p>
          <w:p w14:paraId="1516BAD6">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Cs/>
                <w:color w:val="auto"/>
                <w:sz w:val="18"/>
                <w:szCs w:val="18"/>
                <w:lang w:val="en-US" w:eastAsia="zh-CN"/>
              </w:rPr>
              <w:t>7</w:t>
            </w:r>
            <w:r>
              <w:rPr>
                <w:rFonts w:hint="eastAsia" w:ascii="宋体" w:hAnsi="宋体" w:cs="宋体"/>
                <w:bCs/>
                <w:color w:val="auto"/>
                <w:sz w:val="18"/>
                <w:szCs w:val="18"/>
              </w:rPr>
              <w:t>、产品销售包装标志：产品名称、商标、标准编号、生产日期和保质期或生产批号和限用日期、合格标志、生产企业（或产品责任单位）名称、详细地址等符合标准要求。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C80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BCD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宋体"/>
                <w:b/>
                <w:color w:val="auto"/>
                <w:szCs w:val="21"/>
                <w:highlight w:val="none"/>
                <w:lang w:val="en-US" w:eastAsia="zh-CN"/>
              </w:rPr>
              <w:t>响应报价要求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67F938">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响应供应商的最终响应报价为采购人的交货单价。交货单价即是合同期间的最终单价，在合同期内，价格不再随着市场同类商品市场价格的调整而进行调整。</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81517B">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本次</w:t>
            </w:r>
            <w:r>
              <w:rPr>
                <w:rFonts w:hint="eastAsia" w:ascii="宋体" w:hAnsi="宋体"/>
                <w:color w:val="auto"/>
                <w:szCs w:val="21"/>
                <w:lang w:val="en-US" w:eastAsia="zh-CN"/>
              </w:rPr>
              <w:t>响应</w:t>
            </w:r>
            <w:r>
              <w:rPr>
                <w:rFonts w:hint="eastAsia" w:ascii="宋体" w:hAnsi="宋体"/>
                <w:color w:val="auto"/>
                <w:szCs w:val="21"/>
              </w:rPr>
              <w:t>报价应为人民币含税全包价，包括</w:t>
            </w:r>
            <w:r>
              <w:rPr>
                <w:rFonts w:hint="eastAsia" w:ascii="宋体" w:hAnsi="宋体"/>
                <w:color w:val="auto"/>
                <w:szCs w:val="21"/>
                <w:lang w:val="en-US" w:eastAsia="zh-CN"/>
              </w:rPr>
              <w:t>货物</w:t>
            </w:r>
            <w:r>
              <w:rPr>
                <w:rFonts w:hint="eastAsia" w:ascii="宋体" w:hAnsi="宋体"/>
                <w:color w:val="auto"/>
                <w:szCs w:val="21"/>
              </w:rPr>
              <w:t>价格、包装费、运杂费、保险费、卸车费、配合费、检测费、配送费、税金</w:t>
            </w:r>
            <w:r>
              <w:rPr>
                <w:rFonts w:hint="eastAsia" w:ascii="宋体" w:hAnsi="宋体"/>
                <w:color w:val="auto"/>
                <w:szCs w:val="21"/>
                <w:lang w:eastAsia="zh-CN"/>
              </w:rPr>
              <w:t>以及</w:t>
            </w:r>
            <w:r>
              <w:rPr>
                <w:rFonts w:hint="eastAsia" w:ascii="宋体" w:hAnsi="宋体"/>
                <w:color w:val="auto"/>
                <w:szCs w:val="21"/>
                <w:lang w:val="en-US" w:eastAsia="zh-CN"/>
              </w:rPr>
              <w:t>本项目执行过程中</w:t>
            </w:r>
            <w:r>
              <w:rPr>
                <w:rFonts w:hint="eastAsia" w:ascii="宋体" w:hAnsi="宋体"/>
                <w:color w:val="auto"/>
                <w:szCs w:val="21"/>
              </w:rPr>
              <w:t>需要的其他费用</w:t>
            </w:r>
            <w:r>
              <w:rPr>
                <w:rFonts w:hint="eastAsia" w:ascii="宋体" w:hAnsi="宋体" w:eastAsia="宋体" w:cs="宋体"/>
                <w:i w:val="0"/>
                <w:iCs w:val="0"/>
                <w:caps w:val="0"/>
                <w:color w:val="auto"/>
                <w:spacing w:val="0"/>
                <w:sz w:val="21"/>
                <w:szCs w:val="21"/>
                <w:shd w:val="clear" w:fill="FFFFFF"/>
              </w:rPr>
              <w:t>或合同实施过程中不可预见的费用等，响应供应商不得再向采购人收取任何费用。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AABD19">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color w:val="auto"/>
                <w:sz w:val="21"/>
                <w:lang w:val="en-US" w:eastAsia="zh-CN"/>
              </w:rPr>
              <w:t>响应供应商</w:t>
            </w:r>
            <w:r>
              <w:rPr>
                <w:color w:val="auto"/>
                <w:sz w:val="21"/>
              </w:rPr>
              <w:t>必须对所投包号内全部内容进行</w:t>
            </w:r>
            <w:r>
              <w:rPr>
                <w:rFonts w:hint="eastAsia"/>
                <w:color w:val="auto"/>
                <w:sz w:val="21"/>
                <w:lang w:val="en-US" w:eastAsia="zh-CN"/>
              </w:rPr>
              <w:t>整体响应</w:t>
            </w:r>
            <w:r>
              <w:rPr>
                <w:rFonts w:hint="eastAsia" w:ascii="宋体" w:hAnsi="宋体"/>
                <w:color w:val="auto"/>
                <w:szCs w:val="21"/>
              </w:rPr>
              <w:t>，</w:t>
            </w:r>
            <w:r>
              <w:rPr>
                <w:rFonts w:hint="eastAsia" w:ascii="宋体" w:hAnsi="宋体"/>
                <w:b/>
                <w:bCs/>
                <w:color w:val="auto"/>
                <w:szCs w:val="21"/>
                <w:lang w:val="en-US" w:eastAsia="zh-CN"/>
              </w:rPr>
              <w:t>注明产品品牌（如有）</w:t>
            </w:r>
            <w:r>
              <w:rPr>
                <w:rFonts w:hint="eastAsia" w:ascii="宋体" w:hAnsi="宋体"/>
                <w:color w:val="auto"/>
                <w:szCs w:val="21"/>
                <w:lang w:val="en-US" w:eastAsia="zh-CN"/>
              </w:rPr>
              <w:t>，报价单价不得高于最高限价，且总报价不得高于采购预算价，缺项、漏项的报价为无效报价。</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06E80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B9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w:t>
            </w:r>
            <w:r>
              <w:rPr>
                <w:rFonts w:hint="eastAsia" w:ascii="宋体" w:hAnsi="宋体" w:cs="宋体"/>
                <w:b/>
                <w:color w:val="auto"/>
                <w:szCs w:val="21"/>
                <w:highlight w:val="none"/>
                <w:lang w:val="en-US" w:eastAsia="zh-CN"/>
              </w:rPr>
              <w:t>技术要求</w:t>
            </w: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成交供应商应提供已注册品牌制造商原装、全新、符合国家及采购人提出的有关质量标准的产品。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E4AE8B">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所有货物在开箱检验时必须完好，无破损，配置与装箱单相符。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254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4C9267">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成交供应商所提供产品的性能、配置参数等不能低于采购文件所提出的要求。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C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1AE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6B4D8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20BF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391FC6">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D2A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4F5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A3F52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4B4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66C499">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成交供应商不得经营未经注册、无合格证明、过期、失效或者淘汰的产品，如因产品质量原因造成的一切损失由成交供应商承担全部责任。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CB3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861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7EB37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D34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宋体"/>
                <w:b/>
                <w:color w:val="auto"/>
                <w:szCs w:val="21"/>
                <w:highlight w:val="none"/>
                <w:lang w:val="en-US" w:eastAsia="zh-CN"/>
              </w:rPr>
              <w:t>包装、装卸、运输及保险</w:t>
            </w:r>
          </w:p>
        </w:tc>
      </w:tr>
      <w:tr w14:paraId="33E07C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F206A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3667F">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BDF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399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AB0FD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620E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38B62">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成交供应商负责根据用户指定的地点，将货物送到现场过程中的全部运输，包括装卸车、货物现场的搬运，由此产生的费用均由成交供应商承担。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008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B3C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DD257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9EA5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D3DEE">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eastAsia="宋体" w:cs="宋体"/>
                <w:color w:val="auto"/>
                <w:szCs w:val="21"/>
                <w:highlight w:val="none"/>
                <w:lang w:val="en-US" w:eastAsia="zh-CN"/>
              </w:rPr>
              <w:t>如货物运输过程中因事故造成货物短缺、损坏，成交供应商应及时安排补、换货，以保证合同货物及时交付，补、换货的相关费用由成交供应商承担。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EA4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1D6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ADA0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33F7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2C5CA">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货物的质量保险由成交供应商负责，成交供应商负责其派出的现场服务人员人身意外保险。</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415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070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1E4F4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6C5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验收方式</w:t>
            </w:r>
          </w:p>
        </w:tc>
      </w:tr>
      <w:tr w14:paraId="72C1FA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81BE1">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ACA92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成交供应商将货物送货至采购人指定地点后，由采购人按照采购合同、相关采购文件要求、产品合格证和样品等进行核对，根据国家相关法律法规、质量标准，对货物的规格参数和质量进行验收。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C3B7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F2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D6FFA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52F6A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863CF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0EF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78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8BC9A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1000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BE0C9">
            <w:pPr>
              <w:widowControl w:val="0"/>
              <w:spacing w:line="360" w:lineRule="auto"/>
              <w:ind w:firstLine="420" w:firstLineChars="200"/>
              <w:jc w:val="both"/>
              <w:rPr>
                <w:rFonts w:hint="eastAsia" w:ascii="宋体" w:hAnsi="宋体" w:cs="宋体"/>
                <w:b w:val="0"/>
                <w:bCs/>
                <w:color w:val="auto"/>
                <w:sz w:val="21"/>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8C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F6F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9B33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A92D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9990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4B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D0F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F78AC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267855">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9CFBD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216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9AC0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5E3A0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B2E8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ACA6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76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515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16224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BFE8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477C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成交供应商提前交付采购人购买的产品等，必须事前得到采购人同意，否则由此引起的储存保管费用及标的物毁损灭失风险由成交供应商自行承担。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88A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87B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1254F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E74D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A99C1">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成交供应商按采购人采购计划中指定医院的地址送货，费用由成交供应商承担。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F80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EB6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66705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F92A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售后服务要求</w:t>
            </w:r>
          </w:p>
        </w:tc>
      </w:tr>
      <w:tr w14:paraId="153582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2EED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39358">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成交供应商所提供的货物应</w:t>
            </w:r>
            <w:r>
              <w:rPr>
                <w:rFonts w:hint="eastAsia" w:ascii="宋体" w:hAnsi="宋体"/>
                <w:color w:val="auto"/>
                <w:szCs w:val="21"/>
                <w:highlight w:val="none"/>
                <w:lang w:val="en-US" w:eastAsia="zh-CN"/>
              </w:rPr>
              <w:t>是原厂生产或该品牌授权生产、销售的</w:t>
            </w:r>
            <w:r>
              <w:rPr>
                <w:rFonts w:hint="eastAsia" w:ascii="宋体" w:hAnsi="宋体" w:eastAsia="宋体" w:cs="宋体"/>
                <w:color w:val="auto"/>
                <w:szCs w:val="21"/>
                <w:highlight w:val="none"/>
                <w:lang w:val="en-US" w:eastAsia="zh-CN"/>
              </w:rPr>
              <w:t>全新正品，其质量、规格、性能、品牌、有效期限等满足用户需求，</w:t>
            </w:r>
            <w:r>
              <w:rPr>
                <w:rFonts w:hint="eastAsia" w:ascii="宋体" w:hAnsi="宋体"/>
                <w:color w:val="auto"/>
                <w:szCs w:val="21"/>
                <w:highlight w:val="none"/>
                <w:lang w:val="en-US" w:eastAsia="zh-CN"/>
              </w:rPr>
              <w:t>无任何侵权行为，</w:t>
            </w:r>
            <w:r>
              <w:rPr>
                <w:rFonts w:hint="eastAsia" w:ascii="宋体" w:hAnsi="宋体" w:eastAsia="宋体" w:cs="宋体"/>
                <w:color w:val="auto"/>
                <w:szCs w:val="21"/>
                <w:highlight w:val="none"/>
                <w:lang w:val="en-US" w:eastAsia="zh-CN"/>
              </w:rPr>
              <w:t>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63D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3218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729C6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74CC0">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0957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F9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0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E88D7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979C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647B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F6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4C3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107D5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D06DF">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6CC6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A4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0BC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A389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09DE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F94FF6">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5F3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A85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728F8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48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付款方式</w:t>
            </w:r>
          </w:p>
        </w:tc>
      </w:tr>
      <w:tr w14:paraId="5B3CCE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06CB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DC05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签订合同后5个工作日内成交供应商需向采购人交合同总金额的</w:t>
            </w:r>
            <w:r>
              <w:rPr>
                <w:rFonts w:hint="eastAsia" w:ascii="宋体" w:hAnsi="宋体"/>
                <w:b/>
                <w:bCs/>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63CADA8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（1）如有违约事项，采购人根据约定条款扣款，剩余款项予以无息退还。</w:t>
            </w:r>
          </w:p>
          <w:p w14:paraId="2BF8B6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ABF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16E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5B37E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FCFC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AD0CBA">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D84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D45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7D03E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46EDF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49AF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620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CA6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7E53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70D6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EA73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4B9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FA1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4B9A6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5D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b/>
                <w:bCs/>
                <w:color w:val="auto"/>
                <w:szCs w:val="21"/>
                <w:highlight w:val="none"/>
                <w:lang w:val="en-US" w:eastAsia="zh-CN"/>
              </w:rPr>
              <w:t>违约责任</w:t>
            </w:r>
          </w:p>
        </w:tc>
      </w:tr>
      <w:tr w14:paraId="07C83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86AB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885B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eastAsia="宋体" w:cs="宋体"/>
                <w:color w:val="auto"/>
                <w:szCs w:val="21"/>
                <w:highlight w:val="none"/>
                <w:lang w:val="en-US" w:eastAsia="zh-CN"/>
              </w:rPr>
              <w:t>采购人应在合同规定时间内，按合同执行进度向成交供应商支付货款，逾期支付的，采购人向成交供应商按合同订立时全国银行间同业拆借中心公布的一年期贷款市场报价利率支付违约金。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C24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1D3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FBC66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1C52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BEB383">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A99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39A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0750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ACD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E12C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成交供应商交付的货物不符合合同规定的，采购人有权拒收，成交供应商向采购人支付合同总价的20％的违约金。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1CC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23D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9A45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2127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82E8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采购人无正当理由拒收货物的，采购人向成交供应商支付当次送货金额的 5‰的违约金。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CCD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5CD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E4123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5849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7B81F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货物在保质期内如无法提供质保服务，成交供应商承担采购人就此造成的一切更换费用和其他损失。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668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CAC0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8DC76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01C2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71CE5">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所有货物在使用过程中发现以次充好或使用假冒伪劣产品的，成交供应商须无条件更换货物并按假一赔三进行赔偿。此种情况超过2次或以上的，履约保证金不予退还，采购人有权单方终止合同。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9E3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535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11169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CFAB8">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887F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B2C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450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E462F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917B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ABD2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A50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23D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8506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364E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DF49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B49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B6C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471DF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ED234">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DCA3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违约方给守约方造成的损失，守约方可采取必要的途径或方式追索，由此引起的费用由违约方承担，包括但不仅限于</w:t>
            </w:r>
            <w:bookmarkStart w:id="17"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17"/>
            <w:r>
              <w:rPr>
                <w:rFonts w:hint="eastAsia" w:ascii="宋体" w:hAnsi="宋体" w:eastAsia="宋体" w:cs="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72B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41E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11CB7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65E27">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183E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其他违约责任按《中华人民共和国民法典》处理。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1D2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628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bl>
    <w:p w14:paraId="1A4D721E">
      <w:pPr>
        <w:pStyle w:val="8"/>
        <w:spacing w:line="360" w:lineRule="auto"/>
        <w:ind w:firstLine="0"/>
        <w:rPr>
          <w:rFonts w:hint="eastAsia" w:ascii="宋体" w:hAnsi="宋体" w:eastAsia="宋体" w:cs="宋体"/>
          <w:lang w:val="zh-TW" w:eastAsia="zh-TW"/>
        </w:rPr>
      </w:pPr>
    </w:p>
    <w:p w14:paraId="2616DFF6">
      <w:pPr>
        <w:pStyle w:val="8"/>
        <w:spacing w:line="360" w:lineRule="auto"/>
        <w:ind w:firstLine="0"/>
        <w:rPr>
          <w:rFonts w:hint="eastAsia" w:ascii="宋体" w:hAnsi="宋体" w:eastAsia="宋体" w:cs="宋体"/>
          <w:lang w:val="zh-TW" w:eastAsia="zh-TW"/>
        </w:rPr>
      </w:pPr>
    </w:p>
    <w:p w14:paraId="7CB77535">
      <w:pPr>
        <w:pStyle w:val="8"/>
        <w:spacing w:line="360" w:lineRule="auto"/>
        <w:ind w:firstLine="0"/>
        <w:rPr>
          <w:rFonts w:hint="eastAsia" w:ascii="宋体" w:hAnsi="宋体" w:eastAsia="宋体" w:cs="宋体"/>
          <w:lang w:val="zh-TW" w:eastAsia="zh-TW"/>
        </w:rPr>
      </w:pPr>
    </w:p>
    <w:p w14:paraId="42BE2E8E">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420D949B">
      <w:pPr>
        <w:pStyle w:val="8"/>
        <w:spacing w:line="360" w:lineRule="auto"/>
        <w:ind w:firstLine="0"/>
        <w:rPr>
          <w:rFonts w:hint="eastAsia" w:ascii="宋体" w:hAnsi="宋体" w:eastAsia="宋体" w:cs="宋体"/>
          <w:lang w:val="zh-TW" w:eastAsia="zh-TW"/>
        </w:rPr>
      </w:pPr>
    </w:p>
    <w:p w14:paraId="2C808ED6">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0B6CC2F0">
      <w:pPr>
        <w:pStyle w:val="9"/>
        <w:rPr>
          <w:rStyle w:val="15"/>
          <w:rFonts w:hint="eastAsia" w:hAnsi="宋体" w:cs="宋体"/>
          <w:b/>
          <w:bCs/>
          <w:color w:val="auto"/>
          <w:kern w:val="2"/>
          <w:sz w:val="21"/>
          <w:szCs w:val="21"/>
          <w:lang w:val="en-US" w:eastAsia="zh-CN"/>
        </w:rPr>
      </w:pPr>
    </w:p>
    <w:p w14:paraId="06638213">
      <w:pPr>
        <w:pStyle w:val="9"/>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十、售后服务承诺（格式自拟）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十一、供应商认为需要提供的其他材料（如产品彩页等资料，如无、可删）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4FAA5A7">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37065FEA">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1"/>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988"/>
        <w:gridCol w:w="982"/>
        <w:gridCol w:w="2145"/>
        <w:gridCol w:w="863"/>
        <w:gridCol w:w="1592"/>
        <w:gridCol w:w="1592"/>
      </w:tblGrid>
      <w:tr w14:paraId="28F86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57" w:type="dxa"/>
            <w:vAlign w:val="center"/>
          </w:tcPr>
          <w:p w14:paraId="626BD019">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序号</w:t>
            </w:r>
          </w:p>
        </w:tc>
        <w:tc>
          <w:tcPr>
            <w:tcW w:w="1988" w:type="dxa"/>
            <w:vAlign w:val="center"/>
          </w:tcPr>
          <w:p w14:paraId="27DF986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bCs/>
                <w:color w:val="auto"/>
                <w:kern w:val="0"/>
                <w:sz w:val="21"/>
                <w:szCs w:val="21"/>
                <w:vertAlign w:val="baseline"/>
                <w:lang w:val="en-US" w:eastAsia="zh-CN" w:bidi="ar"/>
              </w:rPr>
              <w:t>采购物品</w:t>
            </w:r>
          </w:p>
        </w:tc>
        <w:tc>
          <w:tcPr>
            <w:tcW w:w="982" w:type="dxa"/>
            <w:vAlign w:val="center"/>
          </w:tcPr>
          <w:p w14:paraId="176738C5">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sz w:val="22"/>
                <w:szCs w:val="22"/>
                <w:lang w:val="en-US" w:eastAsia="zh-CN"/>
              </w:rPr>
              <w:t>品牌</w:t>
            </w:r>
          </w:p>
        </w:tc>
        <w:tc>
          <w:tcPr>
            <w:tcW w:w="2145" w:type="dxa"/>
            <w:shd w:val="clear" w:color="auto" w:fill="FFFFFF"/>
            <w:vAlign w:val="center"/>
          </w:tcPr>
          <w:p w14:paraId="1DF493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规格型号</w:t>
            </w:r>
          </w:p>
        </w:tc>
        <w:tc>
          <w:tcPr>
            <w:tcW w:w="863" w:type="dxa"/>
            <w:vAlign w:val="center"/>
          </w:tcPr>
          <w:p w14:paraId="0DF7C91B">
            <w:pPr>
              <w:keepNext w:val="0"/>
              <w:keepLines w:val="0"/>
              <w:widowControl/>
              <w:suppressLineNumbers w:val="0"/>
              <w:jc w:val="center"/>
              <w:textAlignment w:val="center"/>
              <w:rPr>
                <w:rFonts w:hint="default" w:ascii="宋体" w:hAnsi="宋体" w:eastAsia="宋体" w:cs="宋体"/>
                <w:b/>
                <w:bCs/>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单位</w:t>
            </w:r>
          </w:p>
        </w:tc>
        <w:tc>
          <w:tcPr>
            <w:tcW w:w="1592" w:type="dxa"/>
            <w:vAlign w:val="center"/>
          </w:tcPr>
          <w:p w14:paraId="4A3B36EB">
            <w:pPr>
              <w:pStyle w:val="21"/>
              <w:spacing w:before="75" w:line="240" w:lineRule="auto"/>
              <w:ind w:right="72" w:rightChars="0"/>
              <w:jc w:val="center"/>
              <w:rPr>
                <w:rFonts w:hint="default" w:ascii="宋体" w:hAnsi="宋体" w:eastAsia="宋体" w:cs="宋体"/>
                <w:b w:val="0"/>
                <w:bCs w:val="0"/>
                <w:sz w:val="21"/>
                <w:szCs w:val="21"/>
                <w:lang w:val="en-US" w:eastAsia="zh-CN"/>
              </w:rPr>
            </w:pPr>
            <w:r>
              <w:rPr>
                <w:rFonts w:hint="eastAsia" w:cs="宋体"/>
                <w:b/>
                <w:bCs/>
                <w:color w:val="auto"/>
                <w:spacing w:val="5"/>
                <w:sz w:val="21"/>
                <w:szCs w:val="21"/>
                <w:lang w:val="en-US" w:eastAsia="zh-CN"/>
              </w:rPr>
              <w:t>最高单价限价</w:t>
            </w:r>
            <w:r>
              <w:rPr>
                <w:rFonts w:hint="eastAsia" w:ascii="宋体" w:hAnsi="宋体" w:eastAsia="宋体" w:cs="宋体"/>
                <w:b/>
                <w:bCs/>
                <w:color w:val="auto"/>
                <w:spacing w:val="5"/>
                <w:sz w:val="21"/>
                <w:szCs w:val="21"/>
              </w:rPr>
              <w:t>(元)</w:t>
            </w:r>
          </w:p>
        </w:tc>
        <w:tc>
          <w:tcPr>
            <w:tcW w:w="1592" w:type="dxa"/>
            <w:vAlign w:val="center"/>
          </w:tcPr>
          <w:p w14:paraId="3D1B48AC">
            <w:pPr>
              <w:keepNext w:val="0"/>
              <w:keepLines w:val="0"/>
              <w:widowControl/>
              <w:suppressLineNumbers w:val="0"/>
              <w:jc w:val="center"/>
              <w:textAlignment w:val="center"/>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报价单价（元）</w:t>
            </w:r>
          </w:p>
        </w:tc>
      </w:tr>
      <w:tr w14:paraId="11F0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7" w:type="dxa"/>
            <w:vAlign w:val="center"/>
          </w:tcPr>
          <w:p w14:paraId="0A6E72FC">
            <w:pPr>
              <w:jc w:val="center"/>
              <w:rPr>
                <w:rFonts w:hint="eastAsia" w:ascii="宋体" w:hAnsi="宋体" w:eastAsia="宋体" w:cs="宋体"/>
                <w:b w:val="0"/>
                <w:bCs w:val="0"/>
                <w:color w:val="auto"/>
                <w:kern w:val="0"/>
                <w:sz w:val="24"/>
                <w:szCs w:val="24"/>
                <w:vertAlign w:val="baseline"/>
                <w:lang w:val="en-US" w:eastAsia="zh-CN" w:bidi="ar"/>
              </w:rPr>
            </w:pPr>
            <w:r>
              <w:rPr>
                <w:rFonts w:hint="eastAsia" w:ascii="宋体" w:hAnsi="宋体" w:eastAsia="宋体" w:cs="宋体"/>
                <w:b w:val="0"/>
                <w:bCs w:val="0"/>
                <w:color w:val="auto"/>
                <w:kern w:val="0"/>
                <w:sz w:val="24"/>
                <w:szCs w:val="24"/>
                <w:vertAlign w:val="baseline"/>
                <w:lang w:val="en-US" w:eastAsia="zh-CN" w:bidi="ar"/>
              </w:rPr>
              <w:t>1</w:t>
            </w:r>
          </w:p>
        </w:tc>
        <w:tc>
          <w:tcPr>
            <w:tcW w:w="1988" w:type="dxa"/>
            <w:vAlign w:val="center"/>
          </w:tcPr>
          <w:p w14:paraId="1F6081E2">
            <w:pPr>
              <w:jc w:val="center"/>
              <w:rPr>
                <w:rFonts w:hint="eastAsia" w:ascii="宋体" w:hAnsi="宋体" w:eastAsia="宋体" w:cs="宋体"/>
                <w:b w:val="0"/>
                <w:bCs w:val="0"/>
                <w:color w:val="auto"/>
                <w:kern w:val="0"/>
                <w:sz w:val="24"/>
                <w:szCs w:val="24"/>
                <w:vertAlign w:val="baseline"/>
                <w:lang w:val="en-US" w:eastAsia="zh-CN" w:bidi="ar"/>
              </w:rPr>
            </w:pPr>
            <w:r>
              <w:rPr>
                <w:rFonts w:hint="eastAsia" w:ascii="宋体" w:hAnsi="宋体" w:eastAsia="宋体" w:cs="宋体"/>
                <w:b w:val="0"/>
                <w:bCs w:val="0"/>
                <w:color w:val="auto"/>
                <w:kern w:val="0"/>
                <w:sz w:val="24"/>
                <w:szCs w:val="24"/>
                <w:vertAlign w:val="baseline"/>
                <w:lang w:val="en-US" w:eastAsia="zh-CN" w:bidi="ar"/>
              </w:rPr>
              <w:t>一次性纸床单</w:t>
            </w:r>
          </w:p>
        </w:tc>
        <w:tc>
          <w:tcPr>
            <w:tcW w:w="982" w:type="dxa"/>
            <w:vAlign w:val="center"/>
          </w:tcPr>
          <w:p w14:paraId="772FC947">
            <w:pPr>
              <w:jc w:val="center"/>
              <w:rPr>
                <w:rFonts w:hint="eastAsia" w:ascii="宋体" w:hAnsi="宋体" w:eastAsia="宋体" w:cs="宋体"/>
                <w:b w:val="0"/>
                <w:bCs w:val="0"/>
                <w:color w:val="auto"/>
                <w:kern w:val="0"/>
                <w:sz w:val="24"/>
                <w:szCs w:val="24"/>
                <w:vertAlign w:val="baseline"/>
                <w:lang w:val="en-US" w:eastAsia="zh-CN" w:bidi="ar"/>
              </w:rPr>
            </w:pPr>
          </w:p>
        </w:tc>
        <w:tc>
          <w:tcPr>
            <w:tcW w:w="2145" w:type="dxa"/>
            <w:vAlign w:val="center"/>
          </w:tcPr>
          <w:p w14:paraId="0BBA92F7">
            <w:pPr>
              <w:keepNext w:val="0"/>
              <w:keepLines w:val="0"/>
              <w:widowControl/>
              <w:suppressLineNumbers w:val="0"/>
              <w:jc w:val="center"/>
              <w:textAlignment w:val="center"/>
              <w:rPr>
                <w:rFonts w:hint="eastAsia" w:ascii="宋体" w:hAnsi="宋体" w:eastAsia="宋体" w:cs="宋体"/>
                <w:b w:val="0"/>
                <w:bCs w:val="0"/>
                <w:color w:val="auto"/>
                <w:kern w:val="0"/>
                <w:sz w:val="24"/>
                <w:szCs w:val="24"/>
                <w:vertAlign w:val="baseline"/>
                <w:lang w:val="en-US" w:eastAsia="zh-CN" w:bidi="ar"/>
              </w:rPr>
            </w:pPr>
          </w:p>
        </w:tc>
        <w:tc>
          <w:tcPr>
            <w:tcW w:w="863" w:type="dxa"/>
            <w:vAlign w:val="center"/>
          </w:tcPr>
          <w:p w14:paraId="4AC3030C">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p>
        </w:tc>
        <w:tc>
          <w:tcPr>
            <w:tcW w:w="1592" w:type="dxa"/>
            <w:vAlign w:val="center"/>
          </w:tcPr>
          <w:p w14:paraId="14B0390B">
            <w:pPr>
              <w:keepNext w:val="0"/>
              <w:keepLines w:val="0"/>
              <w:widowControl/>
              <w:suppressLineNumbers w:val="0"/>
              <w:jc w:val="center"/>
              <w:textAlignment w:val="center"/>
              <w:rPr>
                <w:rFonts w:hint="eastAsia" w:ascii="宋体" w:hAnsi="宋体" w:eastAsia="宋体" w:cs="宋体"/>
                <w:b w:val="0"/>
                <w:bCs w:val="0"/>
                <w:color w:val="auto"/>
                <w:kern w:val="0"/>
                <w:sz w:val="28"/>
                <w:szCs w:val="28"/>
                <w:vertAlign w:val="baseline"/>
                <w:lang w:val="en-US" w:eastAsia="zh-CN" w:bidi="ar"/>
              </w:rPr>
            </w:pPr>
            <w:r>
              <w:rPr>
                <w:rFonts w:hint="eastAsia" w:ascii="宋体" w:hAnsi="宋体" w:eastAsia="宋体" w:cs="宋体"/>
                <w:i w:val="0"/>
                <w:iCs w:val="0"/>
                <w:color w:val="auto"/>
                <w:kern w:val="0"/>
                <w:sz w:val="20"/>
                <w:szCs w:val="20"/>
                <w:u w:val="none"/>
                <w:lang w:val="en-US" w:eastAsia="zh-CN" w:bidi="ar"/>
              </w:rPr>
              <w:t>50</w:t>
            </w:r>
          </w:p>
        </w:tc>
        <w:tc>
          <w:tcPr>
            <w:tcW w:w="1592" w:type="dxa"/>
            <w:vAlign w:val="center"/>
          </w:tcPr>
          <w:p w14:paraId="27883957">
            <w:pPr>
              <w:keepNext w:val="0"/>
              <w:keepLines w:val="0"/>
              <w:widowControl/>
              <w:suppressLineNumbers w:val="0"/>
              <w:jc w:val="center"/>
              <w:textAlignment w:val="center"/>
              <w:rPr>
                <w:rFonts w:hint="eastAsia" w:ascii="宋体" w:hAnsi="宋体" w:eastAsia="宋体" w:cs="宋体"/>
                <w:b w:val="0"/>
                <w:bCs w:val="0"/>
                <w:color w:val="auto"/>
                <w:kern w:val="0"/>
                <w:sz w:val="28"/>
                <w:szCs w:val="28"/>
                <w:vertAlign w:val="baseline"/>
                <w:lang w:val="en-US" w:eastAsia="zh-CN" w:bidi="ar"/>
              </w:rPr>
            </w:pPr>
          </w:p>
        </w:tc>
      </w:tr>
    </w:tbl>
    <w:p w14:paraId="2A07BCF7">
      <w:pPr>
        <w:widowControl/>
        <w:spacing w:line="360" w:lineRule="auto"/>
        <w:jc w:val="left"/>
        <w:rPr>
          <w:rFonts w:hint="default" w:ascii="宋体" w:hAnsi="宋体" w:eastAsia="宋体" w:cs="宋体"/>
          <w:sz w:val="24"/>
          <w:szCs w:val="24"/>
          <w:lang w:val="en-US" w:eastAsia="zh-CN"/>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Segoe UI">
    <w:panose1 w:val="020B0502040204020203"/>
    <w:charset w:val="00"/>
    <w:family w:val="auto"/>
    <w:pitch w:val="default"/>
    <w:sig w:usb0="E4002EFF" w:usb1="C000E47F"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45D5CBC1"/>
    <w:multiLevelType w:val="singleLevel"/>
    <w:tmpl w:val="45D5CBC1"/>
    <w:lvl w:ilvl="0" w:tentative="0">
      <w:start w:val="6"/>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8A1340A"/>
    <w:rsid w:val="094D472E"/>
    <w:rsid w:val="0C416FD5"/>
    <w:rsid w:val="0CA21D1B"/>
    <w:rsid w:val="1A0E1E23"/>
    <w:rsid w:val="1DC11C99"/>
    <w:rsid w:val="1E840AC7"/>
    <w:rsid w:val="20D61E5F"/>
    <w:rsid w:val="20E33B6F"/>
    <w:rsid w:val="24C939D7"/>
    <w:rsid w:val="28DA146A"/>
    <w:rsid w:val="28DD795B"/>
    <w:rsid w:val="28DF6635"/>
    <w:rsid w:val="2AAD76B4"/>
    <w:rsid w:val="2DE16817"/>
    <w:rsid w:val="300A6A2B"/>
    <w:rsid w:val="313072B0"/>
    <w:rsid w:val="335464C2"/>
    <w:rsid w:val="3BD95B58"/>
    <w:rsid w:val="3CF11FCD"/>
    <w:rsid w:val="3E6B5D05"/>
    <w:rsid w:val="42A904DA"/>
    <w:rsid w:val="48AD3673"/>
    <w:rsid w:val="490E789E"/>
    <w:rsid w:val="490F4F35"/>
    <w:rsid w:val="4CA662EC"/>
    <w:rsid w:val="53BC3594"/>
    <w:rsid w:val="596622FF"/>
    <w:rsid w:val="5C5E6EE4"/>
    <w:rsid w:val="5D9558BC"/>
    <w:rsid w:val="612D28B6"/>
    <w:rsid w:val="6231693C"/>
    <w:rsid w:val="62DD25DC"/>
    <w:rsid w:val="6B1F7BA5"/>
    <w:rsid w:val="6B4C6025"/>
    <w:rsid w:val="6BB6035B"/>
    <w:rsid w:val="6C561999"/>
    <w:rsid w:val="6D6B7EC6"/>
    <w:rsid w:val="70922C0A"/>
    <w:rsid w:val="72D245E7"/>
    <w:rsid w:val="745254AE"/>
    <w:rsid w:val="76BE71B6"/>
    <w:rsid w:val="79D14349"/>
    <w:rsid w:val="7C270BB8"/>
    <w:rsid w:val="7CD837B0"/>
    <w:rsid w:val="7FF96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 w:type="character" w:customStyle="1" w:styleId="19">
    <w:name w:val="font71"/>
    <w:basedOn w:val="12"/>
    <w:qFormat/>
    <w:uiPriority w:val="0"/>
    <w:rPr>
      <w:rFonts w:hint="default" w:ascii="Calibri" w:hAnsi="Calibri" w:cs="Calibri"/>
      <w:color w:val="000000"/>
      <w:sz w:val="21"/>
      <w:szCs w:val="21"/>
      <w:u w:val="none"/>
    </w:rPr>
  </w:style>
  <w:style w:type="character" w:customStyle="1" w:styleId="20">
    <w:name w:val="font61"/>
    <w:basedOn w:val="12"/>
    <w:qFormat/>
    <w:uiPriority w:val="0"/>
    <w:rPr>
      <w:rFonts w:hint="eastAsia" w:ascii="宋体" w:hAnsi="宋体" w:eastAsia="宋体" w:cs="宋体"/>
      <w:color w:val="000000"/>
      <w:sz w:val="21"/>
      <w:szCs w:val="21"/>
      <w:u w:val="none"/>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7892</Words>
  <Characters>8006</Characters>
  <Lines>0</Lines>
  <Paragraphs>0</Paragraphs>
  <TotalTime>0</TotalTime>
  <ScaleCrop>false</ScaleCrop>
  <LinksUpToDate>false</LinksUpToDate>
  <CharactersWithSpaces>8350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2026-05-27T10:04:10Z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