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12FF2A"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中山市东升医院工会会员2026年生日蛋糕卡采购项目调研公告</w:t>
      </w:r>
    </w:p>
    <w:p w14:paraId="2FED51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为落实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中山市东升医院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职工福利待遇，体现医院人文关怀，根据《基层工会经费收支管理办法》及医院相关规定，院工会拟开展202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年度职工生日慰问工作，现我院对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中山市东升医院工会会员2026年生日蛋糕卡采购项目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进行市场调研，欢迎符合资格条件的供应商提供实施方案。本实施方案仅作本项目前期方案调研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作为后续该项目参数设置及预算确定的重要依据，不作为中标资格遴选。有关事项公告如下：</w:t>
      </w:r>
    </w:p>
    <w:p w14:paraId="2F8872A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一、项目概况：</w:t>
      </w:r>
    </w:p>
    <w:p w14:paraId="6043DB3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1.项目名称：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中山市东升医院工会会员2026年生日蛋糕卡采购项目</w:t>
      </w:r>
    </w:p>
    <w:p w14:paraId="7EC683B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采购数量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535份</w:t>
      </w:r>
    </w:p>
    <w:p w14:paraId="56635E3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20"/>
        <w:jc w:val="both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3.采购单位：中山市东升医院工会委员会</w:t>
      </w:r>
    </w:p>
    <w:p w14:paraId="241FE40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rightChars="0" w:firstLine="420" w:firstLineChars="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二、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服务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要求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：</w:t>
      </w:r>
    </w:p>
    <w:p w14:paraId="5001DE9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2"/>
        <w:textAlignment w:val="auto"/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1.供应商资质要求：投标供应商须为正规烘焙品牌方直营主体，</w:t>
      </w:r>
      <w:r>
        <w:rPr>
          <w:rFonts w:hint="eastAsia" w:ascii="宋体" w:hAnsi="宋体" w:eastAsia="宋体" w:cs="宋体"/>
          <w:sz w:val="28"/>
          <w:szCs w:val="28"/>
        </w:rPr>
        <w:t>具备合法有效的食品经营相关资质，</w:t>
      </w: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有线下门店，严禁第三方代理商、平台服务商、聚合卡商家投标，从源头杜绝第三方捆绑、代发、跨品牌整合卡等问题，确保卡种权属清晰、无中间环节。</w:t>
      </w:r>
    </w:p>
    <w:p w14:paraId="7EFBE5A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2"/>
        <w:textAlignment w:val="auto"/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2.卡面面值与结算规则：工会单张结算单价固定200元，品牌方须提供单张卡面面值≥220元的自有直售蛋糕卡，可全额足额抵扣消费，无最低消费、无隐形加价、无额外捆绑消费、无任何使用门槛。</w:t>
      </w:r>
    </w:p>
    <w:p w14:paraId="7B22B8B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2"/>
        <w:textAlignment w:val="auto"/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3.卡片规范：卡片为实体IC卡，卡面清晰标注品牌全称、卡面面值、有效期、直营核销门店范围、品牌官方售后电话。</w:t>
      </w:r>
    </w:p>
    <w:p w14:paraId="1F5A987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2"/>
        <w:textAlignment w:val="auto"/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4.使用规则：</w:t>
      </w:r>
      <w:r>
        <w:rPr>
          <w:rFonts w:hint="eastAsia" w:ascii="宋体" w:hAnsi="宋体" w:eastAsia="宋体" w:cs="宋体"/>
          <w:sz w:val="28"/>
          <w:szCs w:val="28"/>
        </w:rPr>
        <w:t xml:space="preserve">① </w:t>
      </w: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生日蛋糕卡支持多次核销、使用，</w:t>
      </w:r>
      <w:r>
        <w:rPr>
          <w:rFonts w:hint="eastAsia" w:ascii="宋体" w:hAnsi="宋体" w:eastAsia="宋体" w:cs="宋体"/>
          <w:sz w:val="28"/>
          <w:szCs w:val="28"/>
        </w:rPr>
        <w:t>卡面余额在有效期内长期有效</w:t>
      </w: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 xml:space="preserve">② </w:t>
      </w: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职工凭蛋糕卡购买商品，蛋糕卡可在供应商提供的所有门店购买所有商品。</w:t>
      </w:r>
      <w:r>
        <w:rPr>
          <w:rFonts w:hint="eastAsia" w:ascii="宋体" w:hAnsi="宋体" w:eastAsia="宋体" w:cs="宋体"/>
          <w:sz w:val="28"/>
          <w:szCs w:val="28"/>
        </w:rPr>
        <w:t>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蛋糕卡享有与现金消费同等优惠，享受同时期店内各种优惠、促销活动等。</w:t>
      </w:r>
    </w:p>
    <w:p w14:paraId="342A50F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2"/>
        <w:textAlignment w:val="auto"/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5.供应商不得限制持卡者的消费时间和品种，持卡者可根据店内供应情况进行选择，禁止强制消费。</w:t>
      </w:r>
    </w:p>
    <w:p w14:paraId="5EDC940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2"/>
        <w:textAlignment w:val="auto"/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6.</w:t>
      </w:r>
      <w:r>
        <w:rPr>
          <w:rStyle w:val="5"/>
          <w:rFonts w:hint="eastAsia" w:ascii="宋体" w:hAnsi="宋体" w:eastAsia="宋体" w:cs="宋体"/>
          <w:b w:val="0"/>
          <w:bCs w:val="0"/>
          <w:color w:val="1F2329"/>
          <w:sz w:val="28"/>
          <w:szCs w:val="28"/>
        </w:rPr>
        <w:t>直营门店要求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供应商须在中山市东升医院院区半径 1km 内设置直营门店，门店经营状态稳定、核销流程便捷，可支持到店自提核销。</w:t>
      </w:r>
    </w:p>
    <w:p w14:paraId="7DBF5D6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2"/>
        <w:textAlignment w:val="auto"/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7.有效期：卡面有效期自工会会员领取之日起有效期不少于12个月</w:t>
      </w:r>
    </w:p>
    <w:p w14:paraId="0E777F5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2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-SA"/>
        </w:rPr>
        <w:t>8.售后保障：</w:t>
      </w:r>
      <w:r>
        <w:rPr>
          <w:rFonts w:hint="eastAsia" w:ascii="宋体" w:hAnsi="宋体" w:eastAsia="宋体" w:cs="宋体"/>
          <w:sz w:val="28"/>
          <w:szCs w:val="28"/>
        </w:rPr>
        <w:t xml:space="preserve">①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合同履行期内，若供应商直营门店无法正常经营，须提前 7 个工作日书面通知工会，若会员提出退款要求，供应商需按</w:t>
      </w:r>
      <w:r>
        <w:rPr>
          <w:rStyle w:val="5"/>
          <w:rFonts w:hint="eastAsia" w:ascii="宋体" w:hAnsi="宋体" w:eastAsia="宋体" w:cs="宋体"/>
          <w:b w:val="0"/>
          <w:bCs w:val="0"/>
          <w:color w:val="1F2329"/>
          <w:sz w:val="28"/>
          <w:szCs w:val="28"/>
        </w:rPr>
        <w:t>折扣率折算回原价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，及时退还卡内未消费余额；② 针对电子蛋糕卡，若因供应商系统故障、卡码异常、核销通道卡顿等</w:t>
      </w:r>
      <w:r>
        <w:rPr>
          <w:rStyle w:val="5"/>
          <w:rFonts w:hint="eastAsia" w:ascii="宋体" w:hAnsi="宋体" w:eastAsia="宋体" w:cs="宋体"/>
          <w:b w:val="0"/>
          <w:bCs w:val="0"/>
          <w:color w:val="1F2329"/>
          <w:sz w:val="28"/>
          <w:szCs w:val="28"/>
        </w:rPr>
        <w:t>自身原因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导致无法正常使用，供应商须在 24 小时内响应处置，1 个工作日内完成卡码补发、线下核销或等值退款；③ 实体卡若出现消磁、损坏等问题，供应商需免费为会员补办新卡，卡内余额无缝衔接。</w:t>
      </w:r>
    </w:p>
    <w:p w14:paraId="0058700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555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请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符合要求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的供应商于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2026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15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16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</w:rPr>
        <w:t>相关经营范围的营业执照复印件、供应商名称、联系人及联系电话、项目服务方案，包含但不限于供应商资质要求、服务方案、项目清单报价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  <w:lang w:eastAsia="zh-CN"/>
        </w:rPr>
        <w:t>和附件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  <w:lang w:eastAsia="zh-CN"/>
        </w:rPr>
        <w:t>项目问卷调查表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的盖章版和电子版（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Work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文档）发到邮箱：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zssdsyyzbk@126.com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（邮件标题请以公司名字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+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调研项目名称）参与报名。</w:t>
      </w:r>
    </w:p>
    <w:p w14:paraId="27ED399F">
      <w:pPr>
        <w:jc w:val="left"/>
        <w:rPr>
          <w:rFonts w:hint="default"/>
          <w:lang w:val="en-US" w:eastAsia="zh-CN"/>
        </w:rPr>
      </w:pPr>
    </w:p>
    <w:p w14:paraId="4B7837D8">
      <w:pPr>
        <w:jc w:val="left"/>
        <w:rPr>
          <w:rFonts w:hint="default"/>
          <w:lang w:val="en-US" w:eastAsia="zh-CN"/>
        </w:rPr>
      </w:pPr>
    </w:p>
    <w:p w14:paraId="6109F5D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联系人：梁工</w:t>
      </w:r>
    </w:p>
    <w:p w14:paraId="6A66D70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联系电话：0760-88889925</w:t>
      </w:r>
    </w:p>
    <w:p w14:paraId="1D8AA2E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邮箱：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instrText xml:space="preserve"> HYPERLINK "mailto:zssdsyyzbk@126.com" </w:instrTex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spacing w:val="0"/>
          <w:sz w:val="28"/>
          <w:szCs w:val="28"/>
          <w:bdr w:val="none" w:color="auto" w:sz="0" w:space="0"/>
          <w:shd w:val="clear" w:fill="FFFFFF"/>
        </w:rPr>
        <w:t>zssdsyyzbk@126.com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fldChar w:fldCharType="end"/>
      </w:r>
    </w:p>
    <w:p w14:paraId="5007925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5AFF7CE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2908112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7B285B2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5F2AB9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16CE19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1ECFF9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422CF91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617F1B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43F776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2A1A891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327075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0C0AA5E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</w:p>
    <w:p w14:paraId="110A515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bookmarkStart w:id="0" w:name="_GoBack"/>
      <w:bookmarkEnd w:id="0"/>
    </w:p>
    <w:p w14:paraId="5D227F0E"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中山市东升医院工会会员2026年生日蛋糕卡采购项目</w:t>
      </w:r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问卷调查表</w:t>
      </w:r>
    </w:p>
    <w:p w14:paraId="5966DC4E">
      <w:pPr>
        <w:spacing w:before="257" w:line="219" w:lineRule="auto"/>
      </w:pPr>
      <w:r>
        <w:rPr>
          <w:rFonts w:hint="eastAsia" w:ascii="宋体" w:hAnsi="宋体" w:eastAsia="宋体" w:cs="宋体"/>
          <w:b/>
          <w:bCs/>
          <w:spacing w:val="-7"/>
          <w:sz w:val="30"/>
          <w:szCs w:val="30"/>
          <w:lang w:eastAsia="zh-CN"/>
        </w:rPr>
        <w:t>一、采购需求</w:t>
      </w:r>
      <w:r>
        <w:rPr>
          <w:rFonts w:ascii="宋体" w:hAnsi="宋体" w:eastAsia="宋体" w:cs="宋体"/>
          <w:b/>
          <w:bCs/>
          <w:spacing w:val="-7"/>
          <w:sz w:val="30"/>
          <w:szCs w:val="30"/>
        </w:rPr>
        <w:t>偏离表</w:t>
      </w:r>
    </w:p>
    <w:p w14:paraId="373C8BE4">
      <w:pPr>
        <w:spacing w:before="65" w:line="228" w:lineRule="auto"/>
        <w:ind w:left="424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5"/>
          <w:sz w:val="20"/>
          <w:szCs w:val="20"/>
        </w:rPr>
        <w:t>填写要求：</w:t>
      </w:r>
    </w:p>
    <w:p w14:paraId="0F64F54D">
      <w:pPr>
        <w:spacing w:before="220" w:line="227" w:lineRule="auto"/>
        <w:ind w:left="432"/>
        <w:rPr>
          <w:rFonts w:ascii="宋体" w:hAnsi="宋体" w:eastAsia="宋体" w:cs="宋体"/>
          <w:sz w:val="20"/>
          <w:szCs w:val="20"/>
        </w:rPr>
      </w:pPr>
      <w:r>
        <w:rPr>
          <w:rFonts w:ascii="Calibri" w:hAnsi="Calibri" w:eastAsia="Calibri" w:cs="Calibri"/>
          <w:spacing w:val="8"/>
          <w:sz w:val="20"/>
          <w:szCs w:val="20"/>
        </w:rPr>
        <w:t>1</w:t>
      </w:r>
      <w:r>
        <w:rPr>
          <w:rFonts w:ascii="Calibri" w:hAnsi="Calibri" w:eastAsia="Calibri" w:cs="Calibri"/>
          <w:spacing w:val="-23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8"/>
          <w:sz w:val="20"/>
          <w:szCs w:val="20"/>
        </w:rPr>
        <w:t>、请按采购需求的要求逐条响应，正负偏离参数请备</w:t>
      </w:r>
      <w:r>
        <w:rPr>
          <w:rFonts w:ascii="宋体" w:hAnsi="宋体" w:eastAsia="宋体" w:cs="宋体"/>
          <w:spacing w:val="7"/>
          <w:sz w:val="20"/>
          <w:szCs w:val="20"/>
        </w:rPr>
        <w:t>注说明。</w:t>
      </w:r>
    </w:p>
    <w:p w14:paraId="77A9D5A4">
      <w:pPr>
        <w:spacing w:before="221" w:line="228" w:lineRule="auto"/>
        <w:ind w:left="426"/>
        <w:rPr>
          <w:rFonts w:ascii="宋体" w:hAnsi="宋体" w:eastAsia="宋体" w:cs="宋体"/>
          <w:spacing w:val="7"/>
          <w:sz w:val="20"/>
          <w:szCs w:val="20"/>
        </w:rPr>
      </w:pPr>
      <w:r>
        <w:rPr>
          <w:rFonts w:ascii="Calibri" w:hAnsi="Calibri" w:eastAsia="Calibri" w:cs="Calibri"/>
          <w:spacing w:val="7"/>
          <w:sz w:val="20"/>
          <w:szCs w:val="20"/>
        </w:rPr>
        <w:t>2</w:t>
      </w:r>
      <w:r>
        <w:rPr>
          <w:rFonts w:ascii="Calibri" w:hAnsi="Calibri" w:eastAsia="Calibri" w:cs="Calibri"/>
          <w:spacing w:val="-14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</w:rPr>
        <w:t>、其中带★的参数是必须完全响应的参数。</w:t>
      </w:r>
    </w:p>
    <w:p w14:paraId="20722D9B">
      <w:pPr>
        <w:spacing w:before="221" w:line="228" w:lineRule="auto"/>
        <w:ind w:left="426"/>
        <w:rPr>
          <w:rFonts w:ascii="宋体" w:hAnsi="宋体" w:eastAsia="宋体" w:cs="宋体"/>
          <w:spacing w:val="7"/>
          <w:sz w:val="20"/>
          <w:szCs w:val="20"/>
        </w:rPr>
      </w:pPr>
    </w:p>
    <w:tbl>
      <w:tblPr>
        <w:tblStyle w:val="7"/>
        <w:tblW w:w="912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5373"/>
        <w:gridCol w:w="1541"/>
        <w:gridCol w:w="1510"/>
      </w:tblGrid>
      <w:tr w14:paraId="7CF78F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</w:trPr>
        <w:tc>
          <w:tcPr>
            <w:tcW w:w="705" w:type="dxa"/>
            <w:vAlign w:val="center"/>
          </w:tcPr>
          <w:p w14:paraId="14F28E84">
            <w:pPr>
              <w:spacing w:before="65" w:line="229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5"/>
                <w:sz w:val="21"/>
                <w:szCs w:val="21"/>
              </w:rPr>
              <w:t>序号</w:t>
            </w:r>
          </w:p>
        </w:tc>
        <w:tc>
          <w:tcPr>
            <w:tcW w:w="5373" w:type="dxa"/>
            <w:vAlign w:val="center"/>
          </w:tcPr>
          <w:p w14:paraId="491D25F4">
            <w:pPr>
              <w:spacing w:before="65" w:line="227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  <w:sz w:val="21"/>
                <w:szCs w:val="21"/>
              </w:rPr>
              <w:t>采购需求的要求</w:t>
            </w:r>
          </w:p>
        </w:tc>
        <w:tc>
          <w:tcPr>
            <w:tcW w:w="1541" w:type="dxa"/>
            <w:vAlign w:val="center"/>
          </w:tcPr>
          <w:p w14:paraId="3985CE07">
            <w:pPr>
              <w:spacing w:before="180" w:line="356" w:lineRule="auto"/>
              <w:ind w:right="241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sz w:val="21"/>
                <w:szCs w:val="21"/>
              </w:rPr>
              <w:t>完全响应或</w:t>
            </w:r>
            <w:r>
              <w:rPr>
                <w:rFonts w:hint="eastAsia" w:ascii="宋体" w:hAnsi="宋体" w:eastAsia="宋体" w:cs="宋体"/>
                <w:b/>
                <w:bCs/>
                <w:spacing w:val="6"/>
                <w:sz w:val="21"/>
                <w:szCs w:val="21"/>
              </w:rPr>
              <w:t>正/负偏离</w:t>
            </w:r>
          </w:p>
        </w:tc>
        <w:tc>
          <w:tcPr>
            <w:tcW w:w="1510" w:type="dxa"/>
            <w:vAlign w:val="center"/>
          </w:tcPr>
          <w:p w14:paraId="4E32AE5A">
            <w:pPr>
              <w:spacing w:before="65" w:line="228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sz w:val="21"/>
                <w:szCs w:val="21"/>
              </w:rPr>
              <w:t>偏离情况</w:t>
            </w:r>
          </w:p>
        </w:tc>
      </w:tr>
      <w:tr w14:paraId="0F86EC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3" w:hRule="atLeast"/>
        </w:trPr>
        <w:tc>
          <w:tcPr>
            <w:tcW w:w="705" w:type="dxa"/>
            <w:vAlign w:val="center"/>
          </w:tcPr>
          <w:p w14:paraId="4BAAEB1A">
            <w:pPr>
              <w:spacing w:before="65" w:line="27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</w:rPr>
              <w:t>1</w:t>
            </w:r>
          </w:p>
        </w:tc>
        <w:tc>
          <w:tcPr>
            <w:tcW w:w="5373" w:type="dxa"/>
            <w:vAlign w:val="center"/>
          </w:tcPr>
          <w:p w14:paraId="7122E75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供应商资质要求：投标供应商须为正规烘焙品牌方直营主体，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具备合法有效的食品经营相关资质，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有线下门店，严禁第三方代理商、平台服务商、聚合卡商家投标，从源头杜绝第三方捆绑、代发、跨品牌整合卡等问题，确保卡种权属清晰、无中间环节。</w:t>
            </w:r>
          </w:p>
        </w:tc>
        <w:tc>
          <w:tcPr>
            <w:tcW w:w="1541" w:type="dxa"/>
            <w:vAlign w:val="center"/>
          </w:tcPr>
          <w:p w14:paraId="2B8C6E08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414828D7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9D85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7" w:hRule="atLeast"/>
        </w:trPr>
        <w:tc>
          <w:tcPr>
            <w:tcW w:w="705" w:type="dxa"/>
            <w:vAlign w:val="center"/>
          </w:tcPr>
          <w:p w14:paraId="4098D3DC">
            <w:pPr>
              <w:spacing w:before="65" w:line="270" w:lineRule="exact"/>
              <w:jc w:val="center"/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5373" w:type="dxa"/>
            <w:vAlign w:val="center"/>
          </w:tcPr>
          <w:p w14:paraId="17F70D8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卡面面值与结算规则：工会单张结算单价固定200元，品牌方须提供单张卡面面值≥220元的自有直售蛋糕卡，可全额足额抵扣消费，无最低消费、无隐形加价、无额外捆绑消费、无任何使用门槛。</w:t>
            </w:r>
          </w:p>
        </w:tc>
        <w:tc>
          <w:tcPr>
            <w:tcW w:w="1541" w:type="dxa"/>
            <w:vAlign w:val="center"/>
          </w:tcPr>
          <w:p w14:paraId="27900034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A3652BC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11DCC86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82B860B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7326CAC2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A0154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05" w:type="dxa"/>
            <w:vAlign w:val="center"/>
          </w:tcPr>
          <w:p w14:paraId="329017F4">
            <w:pPr>
              <w:spacing w:before="65" w:line="270" w:lineRule="exact"/>
              <w:jc w:val="center"/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5373" w:type="dxa"/>
            <w:vAlign w:val="center"/>
          </w:tcPr>
          <w:p w14:paraId="682EC7C4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卡片规范：卡片为实体IC卡，卡面清晰标注品牌全称、卡面面值、有效期、直营核销门店范围、品牌官方售后电话。</w:t>
            </w:r>
          </w:p>
        </w:tc>
        <w:tc>
          <w:tcPr>
            <w:tcW w:w="1541" w:type="dxa"/>
            <w:vAlign w:val="center"/>
          </w:tcPr>
          <w:p w14:paraId="41626F82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D4899B9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ADD9E97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4DABA69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03D77C60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AA306B6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56E8366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E902542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9AC2A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7" w:hRule="atLeast"/>
        </w:trPr>
        <w:tc>
          <w:tcPr>
            <w:tcW w:w="705" w:type="dxa"/>
            <w:vAlign w:val="center"/>
          </w:tcPr>
          <w:p w14:paraId="5F60DF14">
            <w:pPr>
              <w:spacing w:before="65" w:line="270" w:lineRule="exact"/>
              <w:jc w:val="center"/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5373" w:type="dxa"/>
            <w:vAlign w:val="center"/>
          </w:tcPr>
          <w:p w14:paraId="35E84ED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使用规则：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① 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生日蛋糕卡支持多次核销、使用，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卡面余额在有效期内长期有效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② 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职工凭蛋糕卡购买商品，蛋糕卡可在供应商提供的所有门店购买所有商品。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③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蛋糕卡享有与现金消费同等优惠，享受同时期店内各种优惠、促销活动等。</w:t>
            </w:r>
          </w:p>
          <w:p w14:paraId="2E20CDDD"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41" w:type="dxa"/>
            <w:vAlign w:val="center"/>
          </w:tcPr>
          <w:p w14:paraId="60BAFEA6">
            <w:pPr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521DB8CF">
            <w:pPr>
              <w:pStyle w:val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59C53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</w:trPr>
        <w:tc>
          <w:tcPr>
            <w:tcW w:w="705" w:type="dxa"/>
            <w:vAlign w:val="center"/>
          </w:tcPr>
          <w:p w14:paraId="5050866F">
            <w:pPr>
              <w:spacing w:before="65" w:line="270" w:lineRule="exact"/>
              <w:jc w:val="center"/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5373" w:type="dxa"/>
            <w:vAlign w:val="center"/>
          </w:tcPr>
          <w:p w14:paraId="61E634AB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供应商不得限制持卡者的消费时间和品种，持卡者可根据店内供应情况进行选择，禁止强制消费。</w:t>
            </w:r>
          </w:p>
        </w:tc>
        <w:tc>
          <w:tcPr>
            <w:tcW w:w="1541" w:type="dxa"/>
            <w:vAlign w:val="center"/>
          </w:tcPr>
          <w:p w14:paraId="71737809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4B54845C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A805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</w:trPr>
        <w:tc>
          <w:tcPr>
            <w:tcW w:w="705" w:type="dxa"/>
            <w:vAlign w:val="center"/>
          </w:tcPr>
          <w:p w14:paraId="680C9119">
            <w:pPr>
              <w:spacing w:before="65" w:line="270" w:lineRule="exact"/>
              <w:jc w:val="center"/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5373" w:type="dxa"/>
            <w:vAlign w:val="center"/>
          </w:tcPr>
          <w:p w14:paraId="49F04976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color w:val="1F2329"/>
                <w:sz w:val="24"/>
                <w:szCs w:val="24"/>
              </w:rPr>
              <w:t>直营门店要求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供应商须在中山市东升医院院区半径 1km 内设置直营门店，门店经营状态稳定、核销流程便捷，可支持到店自提核销。</w:t>
            </w:r>
          </w:p>
        </w:tc>
        <w:tc>
          <w:tcPr>
            <w:tcW w:w="1541" w:type="dxa"/>
            <w:vAlign w:val="center"/>
          </w:tcPr>
          <w:p w14:paraId="233B125A">
            <w:pPr>
              <w:bidi w:val="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0FDABF3E">
            <w:pPr>
              <w:pStyle w:val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29147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8" w:hRule="atLeast"/>
        </w:trPr>
        <w:tc>
          <w:tcPr>
            <w:tcW w:w="705" w:type="dxa"/>
            <w:vAlign w:val="center"/>
          </w:tcPr>
          <w:p w14:paraId="652EB871">
            <w:pPr>
              <w:spacing w:before="65" w:line="270" w:lineRule="exact"/>
              <w:jc w:val="center"/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5373" w:type="dxa"/>
            <w:vAlign w:val="center"/>
          </w:tcPr>
          <w:p w14:paraId="3708F052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有效期：卡面有效期自工会会员领取之日起有效期不少于12个月</w:t>
            </w:r>
          </w:p>
        </w:tc>
        <w:tc>
          <w:tcPr>
            <w:tcW w:w="1541" w:type="dxa"/>
            <w:vAlign w:val="center"/>
          </w:tcPr>
          <w:p w14:paraId="74C35F56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5AFF3CB9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85CF0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3" w:hRule="atLeast"/>
        </w:trPr>
        <w:tc>
          <w:tcPr>
            <w:tcW w:w="705" w:type="dxa"/>
            <w:vAlign w:val="center"/>
          </w:tcPr>
          <w:p w14:paraId="47C0DAC3">
            <w:pPr>
              <w:spacing w:before="65" w:line="270" w:lineRule="exact"/>
              <w:jc w:val="center"/>
              <w:rPr>
                <w:rFonts w:hint="default" w:ascii="宋体" w:hAnsi="宋体" w:eastAsia="宋体" w:cs="宋体"/>
                <w:positio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5373" w:type="dxa"/>
            <w:vAlign w:val="center"/>
          </w:tcPr>
          <w:p w14:paraId="096B19E7">
            <w:pPr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售后保障：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①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合同履行期内，若供应商直营门店无法正常经营，须提前 7 个工作日书面通知工会，若会员提出退款要求，供应商需按</w:t>
            </w: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color w:val="1F2329"/>
                <w:sz w:val="24"/>
                <w:szCs w:val="24"/>
              </w:rPr>
              <w:t>折扣率折算回原价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，及时退还卡内未消费余额；② 针对电子蛋糕卡，若因供应商系统故障、卡码异常、核销通道卡顿等</w:t>
            </w: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color w:val="1F2329"/>
                <w:sz w:val="24"/>
                <w:szCs w:val="24"/>
              </w:rPr>
              <w:t>自身原因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导致无法正常使用，供应商须在 24 小时内响应处置，1 个工作日内完成卡码补发、线下核销或等值退款；③ 实体卡若出现消磁、损坏等问题，供应商需免费为会员补办新卡，卡内余额无缝衔接。</w:t>
            </w:r>
          </w:p>
        </w:tc>
        <w:tc>
          <w:tcPr>
            <w:tcW w:w="1541" w:type="dxa"/>
            <w:vAlign w:val="center"/>
          </w:tcPr>
          <w:p w14:paraId="6FAB0EE6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38D0601F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9E42D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3" w:hRule="atLeast"/>
        </w:trPr>
        <w:tc>
          <w:tcPr>
            <w:tcW w:w="705" w:type="dxa"/>
            <w:vAlign w:val="center"/>
          </w:tcPr>
          <w:p w14:paraId="5567CC85">
            <w:pPr>
              <w:spacing w:before="65" w:line="270" w:lineRule="exact"/>
              <w:jc w:val="center"/>
              <w:rPr>
                <w:rFonts w:hint="default" w:ascii="宋体" w:hAnsi="宋体" w:eastAsia="宋体" w:cs="宋体"/>
                <w:position w:val="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5373" w:type="dxa"/>
            <w:vAlign w:val="center"/>
          </w:tcPr>
          <w:p w14:paraId="27A39C20">
            <w:pPr>
              <w:jc w:val="left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支付方式：按季度结算。采购人在收到成交供应商的全额款项发票申请资料且核对无误后，分四期平均支付货款，从收到发票当天算起60个工作日内支付全额货款的四分之一（每季度末支付一期）。</w:t>
            </w:r>
          </w:p>
        </w:tc>
        <w:tc>
          <w:tcPr>
            <w:tcW w:w="1541" w:type="dxa"/>
            <w:vAlign w:val="center"/>
          </w:tcPr>
          <w:p w14:paraId="58775E37"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10" w:type="dxa"/>
            <w:vAlign w:val="center"/>
          </w:tcPr>
          <w:p w14:paraId="00BCFE45"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4159A618">
      <w:pPr>
        <w:jc w:val="left"/>
        <w:rPr>
          <w:rFonts w:hint="eastAsia" w:ascii="宋体" w:hAnsi="宋体" w:eastAsia="宋体" w:cs="宋体"/>
          <w:snapToGrid w:val="0"/>
          <w:color w:val="000000"/>
          <w:spacing w:val="-2"/>
          <w:kern w:val="2"/>
          <w:sz w:val="21"/>
          <w:szCs w:val="21"/>
          <w:highlight w:val="none"/>
          <w:lang w:val="en-US" w:eastAsia="zh-CN" w:bidi="ar"/>
        </w:rPr>
      </w:pPr>
    </w:p>
    <w:p w14:paraId="347074B6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napToGrid w:val="0"/>
          <w:color w:val="000000"/>
          <w:spacing w:val="-2"/>
          <w:kern w:val="2"/>
          <w:sz w:val="32"/>
          <w:szCs w:val="32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2"/>
          <w:kern w:val="2"/>
          <w:sz w:val="32"/>
          <w:szCs w:val="32"/>
          <w:lang w:val="en-US" w:eastAsia="zh-CN" w:bidi="ar"/>
        </w:rPr>
        <w:t>二、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-2"/>
          <w:kern w:val="2"/>
          <w:sz w:val="32"/>
          <w:szCs w:val="32"/>
          <w:highlight w:val="none"/>
          <w:lang w:val="en-US" w:eastAsia="zh-CN" w:bidi="ar"/>
        </w:rPr>
        <w:t>如有项目需求补充请下面提出建议</w:t>
      </w:r>
    </w:p>
    <w:p w14:paraId="2539527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1..</w:t>
      </w:r>
    </w:p>
    <w:p w14:paraId="7FA80D7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2..</w:t>
      </w:r>
    </w:p>
    <w:p w14:paraId="5BCEAD2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3..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C95D6C"/>
    <w:rsid w:val="25960813"/>
    <w:rsid w:val="43873B5A"/>
    <w:rsid w:val="68C95D6C"/>
    <w:rsid w:val="72C9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2026-04-08T11:29:00Z</dcterms:created>
  <dc:creator>18924981193</dc:creator>
  <cp:lastModifiedBy>18924981193</cp:lastModifiedBy>
  <dcterms:modified xsi:type="dcterms:W3CDTF">2026-04-08T12:21:34Z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B9CB026ADE2045459C64B335B45B72F5_11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