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10549F5E">
      <w:pPr>
        <w:spacing w:before="153" w:line="295" w:lineRule="auto"/>
        <w:ind w:right="191"/>
        <w:jc w:val="center"/>
        <w:outlineLvl w:val="0"/>
        <w:rPr>
          <w:rFonts w:hint="eastAsia" w:ascii="宋体" w:hAnsi="宋体" w:eastAsia="宋体" w:cs="宋体"/>
          <w:b/>
          <w:bCs/>
          <w:spacing w:val="-1"/>
          <w:sz w:val="47"/>
          <w:szCs w:val="47"/>
          <w:lang w:val="en-US" w:eastAsia="zh-CN"/>
        </w:rPr>
      </w:pPr>
      <w:r>
        <w:rPr>
          <w:rFonts w:hint="eastAsia" w:ascii="宋体" w:hAnsi="宋体" w:eastAsia="宋体" w:cs="宋体"/>
          <w:b/>
          <w:bCs/>
          <w:spacing w:val="-1"/>
          <w:sz w:val="47"/>
          <w:szCs w:val="47"/>
          <w:lang w:val="en-US" w:eastAsia="zh-CN"/>
        </w:rPr>
        <w:t>中山市东升医院危险废物处置服务</w:t>
      </w: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val="en-US" w:eastAsia="zh-CN"/>
        </w:rPr>
        <w:t>项目（三次）</w:t>
      </w: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spacing w:before="229" w:line="378" w:lineRule="auto"/>
        <w:ind w:left="120" w:right="113" w:firstLine="421"/>
        <w:jc w:val="both"/>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4AE4FFC3">
      <w:pPr>
        <w:spacing w:before="76"/>
      </w:pPr>
    </w:p>
    <w:p w14:paraId="145C478F">
      <w:pPr>
        <w:spacing w:before="76"/>
      </w:pPr>
    </w:p>
    <w:p w14:paraId="06CE8DBD">
      <w:pPr>
        <w:spacing w:before="76"/>
      </w:pPr>
    </w:p>
    <w:tbl>
      <w:tblPr>
        <w:tblStyle w:val="9"/>
        <w:tblW w:w="85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64"/>
        <w:gridCol w:w="2943"/>
        <w:gridCol w:w="2413"/>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jc w:val="center"/>
        </w:trPr>
        <w:tc>
          <w:tcPr>
            <w:tcW w:w="3164"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2943" w:type="dxa"/>
            <w:vAlign w:val="center"/>
          </w:tcPr>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val="en-US" w:eastAsia="zh-CN"/>
              </w:rPr>
              <w:t>报价金额</w:t>
            </w: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元</w:t>
            </w:r>
            <w:r>
              <w:rPr>
                <w:rFonts w:hint="eastAsia" w:ascii="宋体" w:hAnsi="宋体" w:eastAsia="宋体" w:cs="宋体"/>
                <w:b/>
                <w:bCs/>
                <w:spacing w:val="-8"/>
                <w:sz w:val="24"/>
                <w:szCs w:val="24"/>
                <w:lang w:eastAsia="zh-CN"/>
              </w:rPr>
              <w:t>）</w:t>
            </w:r>
          </w:p>
        </w:tc>
        <w:tc>
          <w:tcPr>
            <w:tcW w:w="2413"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4" w:hRule="atLeast"/>
          <w:jc w:val="center"/>
        </w:trPr>
        <w:tc>
          <w:tcPr>
            <w:tcW w:w="3164" w:type="dxa"/>
            <w:vAlign w:val="center"/>
          </w:tcPr>
          <w:p w14:paraId="15FE9704">
            <w:pPr>
              <w:ind w:left="142" w:right="108"/>
              <w:jc w:val="center"/>
              <w:rPr>
                <w:rFonts w:ascii="宋体" w:hAnsi="宋体" w:eastAsia="宋体" w:cs="宋体"/>
                <w:sz w:val="24"/>
                <w:szCs w:val="24"/>
                <w:lang w:eastAsia="zh-CN"/>
              </w:rPr>
            </w:pPr>
            <w:r>
              <w:rPr>
                <w:rFonts w:hint="eastAsia" w:ascii="宋体" w:hAnsi="宋体" w:eastAsia="宋体" w:cs="宋体"/>
                <w:spacing w:val="2"/>
                <w:sz w:val="24"/>
                <w:szCs w:val="24"/>
                <w:lang w:val="en-US" w:eastAsia="zh-CN"/>
              </w:rPr>
              <w:t>中山市东升医院危险废物处置服务项目（三次）</w:t>
            </w:r>
          </w:p>
        </w:tc>
        <w:tc>
          <w:tcPr>
            <w:tcW w:w="2943"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元</w:t>
            </w:r>
          </w:p>
        </w:tc>
        <w:tc>
          <w:tcPr>
            <w:tcW w:w="2413" w:type="dxa"/>
            <w:vAlign w:val="center"/>
          </w:tcPr>
          <w:p w14:paraId="417A2084">
            <w:pPr>
              <w:jc w:val="center"/>
              <w:rPr>
                <w:rFonts w:hint="default" w:eastAsia="宋体"/>
                <w:lang w:val="en-US" w:eastAsia="zh-CN"/>
              </w:rPr>
            </w:pPr>
          </w:p>
        </w:tc>
      </w:tr>
    </w:tbl>
    <w:p w14:paraId="0CFDB52E">
      <w:pPr>
        <w:pStyle w:val="3"/>
        <w:spacing w:line="371" w:lineRule="auto"/>
      </w:pPr>
    </w:p>
    <w:p w14:paraId="2E5522CF">
      <w:pPr>
        <w:pStyle w:val="3"/>
        <w:spacing w:line="371" w:lineRule="auto"/>
      </w:pPr>
    </w:p>
    <w:p w14:paraId="1EFC8127">
      <w:pPr>
        <w:pStyle w:val="3"/>
        <w:spacing w:line="246" w:lineRule="auto"/>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18B39A63">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textAlignment w:val="baseline"/>
        <w:rPr>
          <w:rFonts w:ascii="宋体" w:hAnsi="宋体" w:eastAsia="宋体" w:cs="宋体"/>
          <w:b/>
          <w:bCs/>
          <w:spacing w:val="7"/>
          <w:sz w:val="20"/>
          <w:szCs w:val="20"/>
          <w:lang w:eastAsia="zh-CN"/>
        </w:rPr>
      </w:pPr>
      <w:r>
        <w:rPr>
          <w:rFonts w:hint="eastAsia" w:ascii="宋体" w:hAnsi="宋体" w:eastAsia="宋体" w:cs="宋体"/>
          <w:b/>
          <w:bCs/>
          <w:spacing w:val="7"/>
          <w:sz w:val="20"/>
          <w:szCs w:val="20"/>
          <w:lang w:val="en-US" w:eastAsia="zh-CN"/>
        </w:rPr>
        <w:t>本项目金额包括税费、设备使用、人工、材料采购、保险、运输、处理等所有费用。</w:t>
      </w:r>
    </w:p>
    <w:p w14:paraId="4771C8B0">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textAlignment w:val="baseline"/>
        <w:rPr>
          <w:rFonts w:ascii="宋体" w:hAnsi="宋体" w:eastAsia="宋体" w:cs="宋体"/>
          <w:b/>
          <w:bCs/>
          <w:spacing w:val="7"/>
          <w:sz w:val="20"/>
          <w:szCs w:val="20"/>
          <w:lang w:eastAsia="zh-CN"/>
        </w:rPr>
      </w:pPr>
      <w:r>
        <w:rPr>
          <w:rFonts w:hint="eastAsia" w:ascii="宋体" w:hAnsi="宋体" w:eastAsia="宋体" w:cs="宋体"/>
          <w:b/>
          <w:bCs/>
          <w:spacing w:val="7"/>
          <w:sz w:val="20"/>
          <w:szCs w:val="20"/>
          <w:lang w:val="en-US" w:eastAsia="zh-CN"/>
        </w:rPr>
        <w:t>报价金额必须为固定报价，不接受区间报价，报价范围不能为负数，否则将被认定为无效投标。</w:t>
      </w:r>
      <w:r>
        <w:rPr>
          <w:rFonts w:hint="eastAsia" w:ascii="宋体" w:hAnsi="宋体" w:eastAsia="宋体" w:cs="宋体"/>
          <w:b/>
          <w:bCs/>
          <w:spacing w:val="7"/>
          <w:sz w:val="20"/>
          <w:szCs w:val="20"/>
          <w:lang w:eastAsia="zh-CN"/>
        </w:rPr>
        <w:t>供应商须按要求填写所有信息，报价的金额最多保留一位小</w:t>
      </w:r>
      <w:r>
        <w:rPr>
          <w:rFonts w:hint="eastAsia" w:ascii="宋体" w:hAnsi="宋体" w:eastAsia="宋体" w:cs="宋体"/>
          <w:b/>
          <w:bCs/>
          <w:spacing w:val="7"/>
          <w:sz w:val="20"/>
          <w:szCs w:val="20"/>
          <w:lang w:val="en-US" w:eastAsia="zh-CN"/>
        </w:rPr>
        <w:t>数</w:t>
      </w:r>
      <w:r>
        <w:rPr>
          <w:rFonts w:hint="eastAsia" w:ascii="宋体" w:hAnsi="宋体" w:eastAsia="宋体" w:cs="宋体"/>
          <w:b/>
          <w:bCs/>
          <w:spacing w:val="7"/>
          <w:sz w:val="20"/>
          <w:szCs w:val="20"/>
          <w:lang w:eastAsia="zh-CN"/>
        </w:rPr>
        <w:t>点，不得随意更改本表格式。</w:t>
      </w:r>
    </w:p>
    <w:p w14:paraId="06173646">
      <w:pPr>
        <w:pStyle w:val="3"/>
        <w:spacing w:line="247" w:lineRule="auto"/>
        <w:rPr>
          <w:lang w:eastAsia="zh-CN"/>
        </w:rPr>
      </w:pPr>
    </w:p>
    <w:p w14:paraId="5E5536D4">
      <w:pPr>
        <w:spacing w:before="79" w:line="219" w:lineRule="auto"/>
        <w:ind w:left="122"/>
        <w:rPr>
          <w:rFonts w:ascii="宋体" w:hAnsi="宋体" w:eastAsia="宋体" w:cs="宋体"/>
          <w:spacing w:val="2"/>
          <w:sz w:val="24"/>
          <w:szCs w:val="24"/>
          <w:lang w:eastAsia="zh-CN"/>
        </w:rPr>
      </w:pPr>
    </w:p>
    <w:p w14:paraId="443346DB">
      <w:pPr>
        <w:spacing w:before="79" w:line="219" w:lineRule="auto"/>
        <w:ind w:left="122"/>
        <w:rPr>
          <w:rFonts w:ascii="宋体" w:hAnsi="宋体" w:eastAsia="宋体" w:cs="宋体"/>
          <w:spacing w:val="2"/>
          <w:sz w:val="24"/>
          <w:szCs w:val="24"/>
          <w:lang w:eastAsia="zh-CN"/>
        </w:rPr>
      </w:pPr>
    </w:p>
    <w:p w14:paraId="7FE1AE2A">
      <w:pPr>
        <w:spacing w:before="79" w:line="219" w:lineRule="auto"/>
        <w:ind w:left="122"/>
        <w:rPr>
          <w:rFonts w:ascii="宋体" w:hAnsi="宋体" w:eastAsia="宋体" w:cs="宋体"/>
          <w:spacing w:val="2"/>
          <w:sz w:val="24"/>
          <w:szCs w:val="24"/>
          <w:lang w:eastAsia="zh-CN"/>
        </w:rPr>
      </w:pPr>
    </w:p>
    <w:p w14:paraId="6B7B6E8C">
      <w:pPr>
        <w:spacing w:before="79" w:line="219" w:lineRule="auto"/>
        <w:ind w:left="122"/>
        <w:rPr>
          <w:rFonts w:ascii="宋体" w:hAnsi="宋体" w:eastAsia="宋体" w:cs="宋体"/>
          <w:spacing w:val="2"/>
          <w:sz w:val="24"/>
          <w:szCs w:val="24"/>
          <w:lang w:eastAsia="zh-CN"/>
        </w:rPr>
      </w:pPr>
    </w:p>
    <w:p w14:paraId="4E8D04A3">
      <w:pPr>
        <w:spacing w:before="79" w:line="219" w:lineRule="auto"/>
        <w:ind w:left="122"/>
        <w:rPr>
          <w:rFonts w:ascii="宋体" w:hAnsi="宋体" w:eastAsia="宋体" w:cs="宋体"/>
          <w:spacing w:val="2"/>
          <w:sz w:val="24"/>
          <w:szCs w:val="24"/>
          <w:lang w:eastAsia="zh-CN"/>
        </w:rPr>
      </w:pPr>
    </w:p>
    <w:p w14:paraId="0BE7F949">
      <w:pPr>
        <w:spacing w:before="79" w:line="219" w:lineRule="auto"/>
        <w:ind w:left="122"/>
        <w:rPr>
          <w:rFonts w:ascii="宋体" w:hAnsi="宋体" w:eastAsia="宋体" w:cs="宋体"/>
          <w:spacing w:val="2"/>
          <w:sz w:val="24"/>
          <w:szCs w:val="24"/>
          <w:lang w:eastAsia="zh-CN"/>
        </w:rPr>
      </w:pPr>
    </w:p>
    <w:p w14:paraId="0DBCA2B2">
      <w:pPr>
        <w:spacing w:before="79" w:line="219" w:lineRule="auto"/>
        <w:rPr>
          <w:rFonts w:ascii="宋体" w:hAnsi="宋体" w:eastAsia="宋体" w:cs="宋体"/>
          <w:spacing w:val="2"/>
          <w:sz w:val="24"/>
          <w:szCs w:val="24"/>
          <w:lang w:eastAsia="zh-CN"/>
        </w:rPr>
      </w:pPr>
    </w:p>
    <w:p w14:paraId="5F66F77B">
      <w:pPr>
        <w:spacing w:before="79" w:line="219" w:lineRule="auto"/>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361" w:bottom="907" w:left="1361" w:header="0" w:footer="0" w:gutter="0"/>
          <w:cols w:space="720" w:num="1"/>
        </w:sectPr>
      </w:pPr>
    </w:p>
    <w:p w14:paraId="30D1DA3C">
      <w:pPr>
        <w:spacing w:before="41" w:line="228" w:lineRule="auto"/>
        <w:ind w:left="26"/>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spacing w:before="184" w:line="219" w:lineRule="auto"/>
        <w:ind w:left="25"/>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中山市东升医院危险废物处置服务项目（三次）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4858F39C">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pPr>
      <w:r>
        <w:rPr>
          <w:rFonts w:ascii="宋体" w:hAnsi="宋体" w:eastAsia="宋体" w:cs="宋体"/>
          <w:b/>
          <w:bCs/>
          <w:spacing w:val="7"/>
          <w:sz w:val="20"/>
          <w:szCs w:val="20"/>
          <w:lang w:eastAsia="zh-CN"/>
        </w:rPr>
        <w:t>三、具有独立承担民事责任的能力(营业执照)</w:t>
      </w:r>
      <w:r>
        <w:rPr>
          <w:rFonts w:hint="eastAsia" w:ascii="宋体" w:hAnsi="宋体" w:eastAsia="宋体" w:cs="宋体"/>
          <w:b/>
          <w:bCs/>
          <w:spacing w:val="7"/>
          <w:sz w:val="20"/>
          <w:szCs w:val="20"/>
          <w:lang w:eastAsia="zh-CN"/>
        </w:rPr>
        <w:t>，分支机构投标的，须提供总公司和分公司营业执照复印件，总公司出具给分支机构的授权书；</w:t>
      </w: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供应商</w:t>
      </w:r>
      <w:bookmarkStart w:id="0" w:name="_GoBack"/>
      <w:bookmarkEnd w:id="0"/>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3"/>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中山市东升医院危险废物处置服务项目（三次）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3"/>
        <w:spacing w:line="283" w:lineRule="auto"/>
        <w:rPr>
          <w:lang w:eastAsia="zh-CN"/>
        </w:rPr>
      </w:pPr>
    </w:p>
    <w:p w14:paraId="6F145D85">
      <w:pPr>
        <w:pStyle w:val="3"/>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3"/>
        <w:spacing w:line="277" w:lineRule="auto"/>
        <w:rPr>
          <w:lang w:eastAsia="zh-CN"/>
        </w:rPr>
      </w:pPr>
    </w:p>
    <w:p w14:paraId="130A4A24">
      <w:pPr>
        <w:pStyle w:val="3"/>
        <w:spacing w:line="277" w:lineRule="auto"/>
        <w:rPr>
          <w:lang w:eastAsia="zh-CN"/>
        </w:rPr>
      </w:pPr>
    </w:p>
    <w:p w14:paraId="379E201F">
      <w:pPr>
        <w:pStyle w:val="3"/>
        <w:spacing w:line="277" w:lineRule="auto"/>
        <w:rPr>
          <w:lang w:eastAsia="zh-CN"/>
        </w:rPr>
      </w:pPr>
    </w:p>
    <w:p w14:paraId="4C47DA1B">
      <w:pPr>
        <w:pStyle w:val="3"/>
        <w:spacing w:line="278" w:lineRule="auto"/>
        <w:rPr>
          <w:lang w:eastAsia="zh-CN"/>
        </w:rPr>
      </w:pPr>
    </w:p>
    <w:p w14:paraId="4CD07A94">
      <w:pPr>
        <w:pStyle w:val="3"/>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1DA97DB8">
      <w:pPr>
        <w:spacing w:before="41" w:line="378" w:lineRule="auto"/>
        <w:ind w:left="22" w:right="18"/>
        <w:rPr>
          <w:rFonts w:ascii="宋体" w:hAnsi="宋体" w:eastAsia="宋体" w:cs="宋体"/>
          <w:sz w:val="20"/>
          <w:szCs w:val="20"/>
          <w:lang w:eastAsia="zh-CN"/>
        </w:rPr>
      </w:pPr>
      <w:r>
        <w:rPr>
          <w:rFonts w:ascii="宋体" w:hAnsi="宋体" w:eastAsia="宋体" w:cs="宋体"/>
          <w:b/>
          <w:bCs/>
          <w:spacing w:val="6"/>
          <w:sz w:val="20"/>
          <w:szCs w:val="20"/>
          <w:lang w:eastAsia="zh-CN"/>
        </w:rPr>
        <w:t>七、提供</w:t>
      </w:r>
      <w:r>
        <w:rPr>
          <w:rFonts w:ascii="宋体" w:hAnsi="宋体" w:eastAsia="宋体" w:cs="宋体"/>
          <w:spacing w:val="-42"/>
          <w:sz w:val="20"/>
          <w:szCs w:val="20"/>
          <w:lang w:eastAsia="zh-CN"/>
        </w:rPr>
        <w:t xml:space="preserve"> </w:t>
      </w:r>
      <w:r>
        <w:rPr>
          <w:rFonts w:ascii="宋体" w:hAnsi="宋体" w:eastAsia="宋体" w:cs="宋体"/>
          <w:spacing w:val="-40"/>
          <w:sz w:val="20"/>
          <w:szCs w:val="20"/>
          <w:lang w:eastAsia="zh-CN"/>
        </w:rPr>
        <w:t xml:space="preserve"> </w:t>
      </w:r>
      <w:r>
        <w:rPr>
          <w:rFonts w:ascii="宋体" w:hAnsi="宋体" w:eastAsia="宋体" w:cs="宋体"/>
          <w:b/>
          <w:bCs/>
          <w:spacing w:val="6"/>
          <w:sz w:val="20"/>
          <w:szCs w:val="20"/>
          <w:lang w:eastAsia="zh-CN"/>
        </w:rPr>
        <w:t>近</w:t>
      </w:r>
      <w:r>
        <w:rPr>
          <w:rFonts w:ascii="宋体" w:hAnsi="宋体" w:eastAsia="宋体" w:cs="宋体"/>
          <w:spacing w:val="-29"/>
          <w:sz w:val="20"/>
          <w:szCs w:val="20"/>
          <w:lang w:eastAsia="zh-CN"/>
        </w:rPr>
        <w:t xml:space="preserve"> </w:t>
      </w:r>
      <w:r>
        <w:rPr>
          <w:rFonts w:ascii="Times New Roman" w:hAnsi="Times New Roman" w:eastAsia="Times New Roman" w:cs="Times New Roman"/>
          <w:b/>
          <w:bCs/>
          <w:spacing w:val="6"/>
          <w:sz w:val="20"/>
          <w:szCs w:val="20"/>
          <w:lang w:eastAsia="zh-CN"/>
        </w:rPr>
        <w:t>12</w:t>
      </w:r>
      <w:r>
        <w:rPr>
          <w:rFonts w:ascii="Times New Roman" w:hAnsi="Times New Roman" w:eastAsia="Times New Roman" w:cs="Times New Roman"/>
          <w:b/>
          <w:bCs/>
          <w:spacing w:val="5"/>
          <w:sz w:val="20"/>
          <w:szCs w:val="20"/>
          <w:lang w:eastAsia="zh-CN"/>
        </w:rPr>
        <w:t xml:space="preserve"> </w:t>
      </w:r>
      <w:r>
        <w:rPr>
          <w:rFonts w:ascii="宋体" w:hAnsi="宋体" w:eastAsia="宋体" w:cs="宋体"/>
          <w:b/>
          <w:bCs/>
          <w:spacing w:val="5"/>
          <w:sz w:val="20"/>
          <w:szCs w:val="20"/>
          <w:lang w:eastAsia="zh-CN"/>
        </w:rPr>
        <w:t>个月内任何</w:t>
      </w:r>
      <w:r>
        <w:rPr>
          <w:rFonts w:ascii="宋体" w:hAnsi="宋体" w:eastAsia="宋体" w:cs="宋体"/>
          <w:spacing w:val="-31"/>
          <w:sz w:val="20"/>
          <w:szCs w:val="20"/>
          <w:lang w:eastAsia="zh-CN"/>
        </w:rPr>
        <w:t xml:space="preserve"> </w:t>
      </w:r>
      <w:r>
        <w:rPr>
          <w:rFonts w:ascii="Times New Roman" w:hAnsi="Times New Roman" w:eastAsia="Times New Roman" w:cs="Times New Roman"/>
          <w:b/>
          <w:bCs/>
          <w:spacing w:val="5"/>
          <w:sz w:val="20"/>
          <w:szCs w:val="20"/>
          <w:lang w:eastAsia="zh-CN"/>
        </w:rPr>
        <w:t xml:space="preserve">1 </w:t>
      </w:r>
      <w:r>
        <w:rPr>
          <w:rFonts w:ascii="宋体" w:hAnsi="宋体" w:eastAsia="宋体" w:cs="宋体"/>
          <w:b/>
          <w:bCs/>
          <w:spacing w:val="5"/>
          <w:sz w:val="20"/>
          <w:szCs w:val="20"/>
          <w:lang w:eastAsia="zh-CN"/>
        </w:rPr>
        <w:t>个月编制的财务报表复印</w:t>
      </w:r>
      <w:r>
        <w:rPr>
          <w:rFonts w:ascii="宋体" w:hAnsi="宋体" w:eastAsia="宋体" w:cs="宋体"/>
          <w:b/>
          <w:bCs/>
          <w:spacing w:val="-1"/>
          <w:sz w:val="20"/>
          <w:szCs w:val="20"/>
          <w:lang w:eastAsia="zh-CN"/>
        </w:rPr>
        <w:t>件</w:t>
      </w:r>
    </w:p>
    <w:p w14:paraId="796EEE16">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八、近</w:t>
      </w:r>
      <w:r>
        <w:rPr>
          <w:rFonts w:ascii="宋体" w:hAnsi="宋体" w:eastAsia="宋体" w:cs="宋体"/>
          <w:spacing w:val="-34"/>
          <w:sz w:val="20"/>
          <w:szCs w:val="20"/>
          <w:lang w:eastAsia="zh-CN"/>
        </w:rPr>
        <w:t xml:space="preserve"> </w:t>
      </w:r>
      <w:r>
        <w:rPr>
          <w:rFonts w:ascii="Times New Roman" w:hAnsi="Times New Roman" w:eastAsia="Times New Roman" w:cs="Times New Roman"/>
          <w:b/>
          <w:bCs/>
          <w:spacing w:val="8"/>
          <w:sz w:val="20"/>
          <w:szCs w:val="20"/>
          <w:lang w:eastAsia="zh-CN"/>
        </w:rPr>
        <w:t xml:space="preserve">12 </w:t>
      </w:r>
      <w:r>
        <w:rPr>
          <w:rFonts w:ascii="宋体" w:hAnsi="宋体" w:eastAsia="宋体" w:cs="宋体"/>
          <w:b/>
          <w:bCs/>
          <w:spacing w:val="8"/>
          <w:sz w:val="20"/>
          <w:szCs w:val="20"/>
          <w:lang w:eastAsia="zh-CN"/>
        </w:rPr>
        <w:t>个月内任何时间的</w:t>
      </w:r>
      <w:r>
        <w:rPr>
          <w:rFonts w:ascii="宋体" w:hAnsi="宋体" w:eastAsia="宋体" w:cs="宋体"/>
          <w:b/>
          <w:bCs/>
          <w:spacing w:val="8"/>
          <w:sz w:val="20"/>
          <w:szCs w:val="20"/>
          <w:shd w:val="clear" w:color="auto" w:fill="FFFF00"/>
          <w:lang w:eastAsia="zh-CN"/>
        </w:rPr>
        <w:t>纳税证明资料复印件</w:t>
      </w:r>
      <w:r>
        <w:rPr>
          <w:rFonts w:ascii="宋体" w:hAnsi="宋体" w:eastAsia="宋体" w:cs="宋体"/>
          <w:b/>
          <w:bCs/>
          <w:spacing w:val="8"/>
          <w:sz w:val="20"/>
          <w:szCs w:val="20"/>
          <w:lang w:eastAsia="zh-CN"/>
        </w:rPr>
        <w:t>，如</w:t>
      </w:r>
      <w:r>
        <w:rPr>
          <w:rFonts w:ascii="宋体" w:hAnsi="宋体" w:eastAsia="宋体" w:cs="宋体"/>
          <w:b/>
          <w:bCs/>
          <w:spacing w:val="7"/>
          <w:sz w:val="20"/>
          <w:szCs w:val="20"/>
          <w:lang w:eastAsia="zh-CN"/>
        </w:rPr>
        <w:t>依法免税的，应提供相应文件证明</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spacing w:before="40" w:line="378" w:lineRule="auto"/>
        <w:ind w:left="23" w:firstLine="5"/>
        <w:rPr>
          <w:rFonts w:ascii="宋体" w:hAnsi="宋体" w:eastAsia="宋体" w:cs="宋体"/>
          <w:sz w:val="20"/>
          <w:szCs w:val="20"/>
          <w:lang w:eastAsia="zh-CN"/>
        </w:rPr>
      </w:pPr>
      <w:r>
        <w:rPr>
          <w:rFonts w:ascii="宋体" w:hAnsi="宋体" w:eastAsia="宋体" w:cs="宋体"/>
          <w:b/>
          <w:bCs/>
          <w:spacing w:val="3"/>
          <w:sz w:val="20"/>
          <w:szCs w:val="20"/>
          <w:lang w:eastAsia="zh-CN"/>
        </w:rPr>
        <w:t>九、近</w:t>
      </w:r>
      <w:r>
        <w:rPr>
          <w:rFonts w:ascii="宋体" w:hAnsi="宋体" w:eastAsia="宋体" w:cs="宋体"/>
          <w:spacing w:val="-21"/>
          <w:sz w:val="20"/>
          <w:szCs w:val="20"/>
          <w:lang w:eastAsia="zh-CN"/>
        </w:rPr>
        <w:t xml:space="preserve"> </w:t>
      </w:r>
      <w:r>
        <w:rPr>
          <w:rFonts w:ascii="Times New Roman" w:hAnsi="Times New Roman" w:eastAsia="Times New Roman" w:cs="Times New Roman"/>
          <w:b/>
          <w:bCs/>
          <w:spacing w:val="3"/>
          <w:sz w:val="20"/>
          <w:szCs w:val="20"/>
          <w:lang w:eastAsia="zh-CN"/>
        </w:rPr>
        <w:t xml:space="preserve">12 </w:t>
      </w:r>
      <w:r>
        <w:rPr>
          <w:rFonts w:ascii="宋体" w:hAnsi="宋体" w:eastAsia="宋体" w:cs="宋体"/>
          <w:b/>
          <w:bCs/>
          <w:spacing w:val="3"/>
          <w:sz w:val="20"/>
          <w:szCs w:val="20"/>
          <w:lang w:eastAsia="zh-CN"/>
        </w:rPr>
        <w:t>个月内任何时间的</w:t>
      </w:r>
      <w:r>
        <w:rPr>
          <w:rFonts w:ascii="宋体" w:hAnsi="宋体" w:eastAsia="宋体" w:cs="宋体"/>
          <w:b/>
          <w:bCs/>
          <w:spacing w:val="3"/>
          <w:sz w:val="20"/>
          <w:szCs w:val="20"/>
          <w:shd w:val="clear" w:color="auto" w:fill="FFFF00"/>
          <w:lang w:eastAsia="zh-CN"/>
        </w:rPr>
        <w:t>缴交社保证明资料复印件</w:t>
      </w:r>
      <w:r>
        <w:rPr>
          <w:rFonts w:ascii="宋体" w:hAnsi="宋体" w:eastAsia="宋体" w:cs="宋体"/>
          <w:b/>
          <w:bCs/>
          <w:spacing w:val="3"/>
          <w:sz w:val="20"/>
          <w:szCs w:val="20"/>
          <w:lang w:eastAsia="zh-CN"/>
        </w:rPr>
        <w:t>，如依法不需要缴纳社会保障资金的，</w:t>
      </w:r>
      <w:r>
        <w:rPr>
          <w:rFonts w:ascii="宋体" w:hAnsi="宋体" w:eastAsia="宋体" w:cs="宋体"/>
          <w:b/>
          <w:bCs/>
          <w:spacing w:val="7"/>
          <w:sz w:val="20"/>
          <w:szCs w:val="20"/>
          <w:lang w:eastAsia="zh-CN"/>
        </w:rPr>
        <w:t>应提供相应文件证明</w:t>
      </w:r>
    </w:p>
    <w:p w14:paraId="6E0D33B8">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360" w:lineRule="exact"/>
        <w:ind w:left="22" w:right="18" w:firstLine="1"/>
        <w:jc w:val="both"/>
        <w:textAlignment w:val="baseline"/>
        <w:rPr>
          <w:rFonts w:ascii="宋体" w:hAnsi="宋体" w:eastAsia="宋体" w:cs="宋体"/>
          <w:sz w:val="20"/>
          <w:szCs w:val="20"/>
          <w:lang w:eastAsia="zh-CN"/>
        </w:rPr>
      </w:pPr>
      <w:r>
        <w:rPr>
          <w:rFonts w:ascii="宋体" w:hAnsi="宋体" w:eastAsia="宋体" w:cs="宋体"/>
          <w:b/>
          <w:bCs/>
          <w:spacing w:val="8"/>
          <w:sz w:val="20"/>
          <w:szCs w:val="20"/>
          <w:lang w:eastAsia="zh-CN"/>
        </w:rPr>
        <w:t>十、</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未被列入“信用中国”网站</w:t>
      </w:r>
      <w:r>
        <w:rPr>
          <w:rFonts w:ascii="Calibri" w:hAnsi="Calibri" w:eastAsia="Calibri" w:cs="Calibri"/>
          <w:b/>
          <w:bCs/>
          <w:spacing w:val="8"/>
          <w:sz w:val="20"/>
          <w:szCs w:val="20"/>
          <w:lang w:eastAsia="zh-CN"/>
        </w:rPr>
        <w:t>(</w:t>
      </w:r>
      <w:r>
        <w:fldChar w:fldCharType="begin"/>
      </w:r>
      <w:r>
        <w:instrText xml:space="preserve"> HYPERLINK "https://www.creditchina.gov.cn"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creditchina</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8"/>
          <w:sz w:val="20"/>
          <w:szCs w:val="20"/>
          <w:shd w:val="clear" w:color="auto" w:fill="FFFF00"/>
          <w:lang w:eastAsia="zh-CN"/>
        </w:rPr>
        <w:t>)</w:t>
      </w:r>
      <w:r>
        <w:rPr>
          <w:rFonts w:ascii="宋体" w:hAnsi="宋体" w:eastAsia="宋体" w:cs="宋体"/>
          <w:b/>
          <w:bCs/>
          <w:spacing w:val="8"/>
          <w:sz w:val="20"/>
          <w:szCs w:val="20"/>
          <w:shd w:val="clear" w:color="auto" w:fill="FFFF00"/>
          <w:lang w:eastAsia="zh-CN"/>
        </w:rPr>
        <w:t>“记录失信被执行人或重大</w:t>
      </w:r>
      <w:r>
        <w:rPr>
          <w:rFonts w:ascii="宋体" w:hAnsi="宋体" w:eastAsia="宋体" w:cs="宋体"/>
          <w:b/>
          <w:bCs/>
          <w:spacing w:val="6"/>
          <w:sz w:val="20"/>
          <w:szCs w:val="20"/>
          <w:shd w:val="clear" w:color="auto" w:fill="FFFF00"/>
          <w:lang w:eastAsia="zh-CN"/>
        </w:rPr>
        <w:t>税收违法案件当事人名单；不处于中国政府采购网</w:t>
      </w:r>
      <w:r>
        <w:rPr>
          <w:rFonts w:ascii="Calibri" w:hAnsi="Calibri" w:eastAsia="Calibri" w:cs="Calibri"/>
          <w:b/>
          <w:bCs/>
          <w:spacing w:val="6"/>
          <w:sz w:val="20"/>
          <w:szCs w:val="20"/>
          <w:shd w:val="clear" w:color="auto" w:fill="FFFF00"/>
          <w:lang w:eastAsia="zh-CN"/>
        </w:rPr>
        <w:t>(</w:t>
      </w:r>
      <w:r>
        <w:fldChar w:fldCharType="begin"/>
      </w:r>
      <w:r>
        <w:instrText xml:space="preserve"> HYPERLINK "https://www.ccgp.gov.cn"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ccgp</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6"/>
          <w:sz w:val="20"/>
          <w:szCs w:val="20"/>
          <w:shd w:val="clear" w:color="auto" w:fill="FFFF00"/>
          <w:lang w:eastAsia="zh-CN"/>
        </w:rPr>
        <w:t>)</w:t>
      </w:r>
      <w:r>
        <w:rPr>
          <w:rFonts w:ascii="宋体" w:hAnsi="宋体" w:eastAsia="宋体" w:cs="宋体"/>
          <w:b/>
          <w:bCs/>
          <w:spacing w:val="6"/>
          <w:sz w:val="20"/>
          <w:szCs w:val="20"/>
          <w:shd w:val="clear" w:color="auto" w:fill="FFFF00"/>
          <w:lang w:eastAsia="zh-CN"/>
        </w:rPr>
        <w:t>“政府采购严重违法失</w:t>
      </w:r>
      <w:r>
        <w:rPr>
          <w:rFonts w:ascii="宋体" w:hAnsi="宋体" w:eastAsia="宋体" w:cs="宋体"/>
          <w:b/>
          <w:bCs/>
          <w:spacing w:val="7"/>
          <w:sz w:val="20"/>
          <w:szCs w:val="20"/>
          <w:shd w:val="clear" w:color="auto" w:fill="FFFF00"/>
          <w:lang w:eastAsia="zh-CN"/>
        </w:rPr>
        <w:t>信行为信息记录</w:t>
      </w:r>
      <w:r>
        <w:rPr>
          <w:rFonts w:ascii="宋体" w:hAnsi="宋体" w:eastAsia="宋体" w:cs="宋体"/>
          <w:spacing w:val="-69"/>
          <w:sz w:val="20"/>
          <w:szCs w:val="20"/>
          <w:lang w:eastAsia="zh-CN"/>
        </w:rPr>
        <w:t xml:space="preserve"> </w:t>
      </w:r>
      <w:r>
        <w:rPr>
          <w:rFonts w:ascii="宋体" w:hAnsi="宋体" w:eastAsia="宋体" w:cs="宋体"/>
          <w:b/>
          <w:bCs/>
          <w:spacing w:val="7"/>
          <w:sz w:val="20"/>
          <w:szCs w:val="20"/>
          <w:lang w:eastAsia="zh-CN"/>
        </w:rPr>
        <w:t>”中的禁止参加政府采购活动期间。</w:t>
      </w:r>
      <w:r>
        <w:rPr>
          <w:rFonts w:ascii="宋体" w:hAnsi="宋体" w:eastAsia="宋体" w:cs="宋体"/>
          <w:b/>
          <w:bCs/>
          <w:color w:val="FF0000"/>
          <w:spacing w:val="7"/>
          <w:sz w:val="20"/>
          <w:szCs w:val="20"/>
          <w:lang w:eastAsia="zh-CN"/>
        </w:rPr>
        <w:t>（提供以上截图）</w:t>
      </w:r>
    </w:p>
    <w:p w14:paraId="4679266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79DF8394">
      <w:pPr>
        <w:keepNext w:val="0"/>
        <w:keepLines w:val="0"/>
        <w:pageBreakBefore w:val="0"/>
        <w:widowControl/>
        <w:kinsoku w:val="0"/>
        <w:wordWrap/>
        <w:overflowPunct/>
        <w:topLinePunct w:val="0"/>
        <w:autoSpaceDE w:val="0"/>
        <w:autoSpaceDN w:val="0"/>
        <w:bidi w:val="0"/>
        <w:adjustRightInd w:val="0"/>
        <w:snapToGrid w:val="0"/>
        <w:spacing w:line="320" w:lineRule="exact"/>
        <w:ind w:left="23" w:right="17" w:firstLine="0"/>
        <w:textAlignment w:val="baseline"/>
        <w:rPr>
          <w:rFonts w:hint="eastAsia" w:ascii="宋体" w:hAnsi="宋体" w:eastAsia="宋体" w:cs="宋体"/>
          <w:b/>
          <w:bCs/>
          <w:spacing w:val="9"/>
          <w:sz w:val="20"/>
          <w:szCs w:val="20"/>
          <w:lang w:val="en-US" w:eastAsia="zh-CN"/>
        </w:rPr>
      </w:pPr>
      <w:r>
        <w:rPr>
          <w:rFonts w:ascii="宋体" w:hAnsi="宋体" w:eastAsia="宋体" w:cs="宋体"/>
          <w:b/>
          <w:bCs/>
          <w:spacing w:val="9"/>
          <w:sz w:val="20"/>
          <w:szCs w:val="20"/>
          <w:lang w:eastAsia="zh-CN"/>
        </w:rPr>
        <w:t>十一、</w:t>
      </w:r>
      <w:r>
        <w:rPr>
          <w:rFonts w:hint="eastAsia" w:ascii="宋体" w:hAnsi="宋体" w:eastAsia="宋体" w:cs="宋体"/>
          <w:b/>
          <w:bCs/>
          <w:spacing w:val="9"/>
          <w:sz w:val="20"/>
          <w:szCs w:val="20"/>
          <w:lang w:val="en-US" w:eastAsia="zh-CN"/>
        </w:rPr>
        <w:t>须具有效的相关经营范围《危险废物经营许可证》和《道路运输经营许可证》资质。</w:t>
      </w:r>
    </w:p>
    <w:p w14:paraId="52FCC882">
      <w:pPr>
        <w:rPr>
          <w:rFonts w:hint="eastAsia" w:ascii="宋体" w:hAnsi="宋体" w:eastAsia="宋体" w:cs="宋体"/>
          <w:b/>
          <w:bCs/>
          <w:spacing w:val="9"/>
          <w:sz w:val="20"/>
          <w:szCs w:val="20"/>
          <w:lang w:val="en-US" w:eastAsia="zh-CN"/>
        </w:rPr>
      </w:pPr>
      <w:r>
        <w:rPr>
          <w:rFonts w:hint="eastAsia" w:ascii="宋体" w:hAnsi="宋体" w:eastAsia="宋体" w:cs="宋体"/>
          <w:b/>
          <w:bCs/>
          <w:spacing w:val="9"/>
          <w:sz w:val="20"/>
          <w:szCs w:val="20"/>
          <w:lang w:val="en-US" w:eastAsia="zh-CN"/>
        </w:rPr>
        <w:br w:type="page"/>
      </w:r>
    </w:p>
    <w:p w14:paraId="395DBEFA">
      <w:pPr>
        <w:spacing w:before="137" w:line="227" w:lineRule="auto"/>
        <w:rPr>
          <w:rFonts w:hint="default" w:ascii="宋体" w:hAnsi="宋体" w:eastAsia="宋体" w:cs="宋体"/>
          <w:b/>
          <w:bCs/>
          <w:spacing w:val="7"/>
          <w:sz w:val="20"/>
          <w:szCs w:val="20"/>
          <w:lang w:val="en-US" w:eastAsia="zh-CN"/>
        </w:rPr>
        <w:sectPr>
          <w:pgSz w:w="11900" w:h="16840"/>
          <w:pgMar w:top="907" w:right="1701" w:bottom="907" w:left="1701" w:header="0" w:footer="0" w:gutter="0"/>
          <w:cols w:space="720" w:num="1"/>
        </w:sect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二</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人员资质证明。</w:t>
      </w:r>
    </w:p>
    <w:p w14:paraId="1AD104C4">
      <w:pPr>
        <w:spacing w:before="137"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三</w:t>
      </w:r>
      <w:r>
        <w:rPr>
          <w:rFonts w:ascii="宋体" w:hAnsi="宋体" w:eastAsia="宋体" w:cs="宋体"/>
          <w:b/>
          <w:bCs/>
          <w:spacing w:val="7"/>
          <w:sz w:val="20"/>
          <w:szCs w:val="20"/>
          <w:lang w:eastAsia="zh-CN"/>
        </w:rPr>
        <w:t>、采购需求偏离表</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spacing w:before="65" w:line="228" w:lineRule="auto"/>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spacing w:before="220" w:line="227" w:lineRule="auto"/>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spacing w:before="221" w:line="228" w:lineRule="auto"/>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spacing w:before="221" w:line="228" w:lineRule="auto"/>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p w14:paraId="1BEB5AA2">
      <w:pPr>
        <w:spacing w:before="163"/>
        <w:rPr>
          <w:lang w:eastAsia="zh-CN"/>
        </w:rPr>
      </w:pPr>
    </w:p>
    <w:tbl>
      <w:tblPr>
        <w:tblStyle w:val="9"/>
        <w:tblW w:w="9382" w:type="dxa"/>
        <w:tblInd w:w="-25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113" w:type="dxa"/>
          <w:left w:w="113" w:type="dxa"/>
          <w:bottom w:w="113" w:type="dxa"/>
          <w:right w:w="113" w:type="dxa"/>
        </w:tblCellMar>
      </w:tblPr>
      <w:tblGrid>
        <w:gridCol w:w="780"/>
        <w:gridCol w:w="5865"/>
        <w:gridCol w:w="1335"/>
        <w:gridCol w:w="1402"/>
      </w:tblGrid>
      <w:tr w14:paraId="1C0D1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962" w:hRule="atLeast"/>
        </w:trPr>
        <w:tc>
          <w:tcPr>
            <w:tcW w:w="780" w:type="dxa"/>
            <w:vAlign w:val="center"/>
          </w:tcPr>
          <w:p w14:paraId="5BDB5DDC">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865" w:type="dxa"/>
            <w:vAlign w:val="center"/>
          </w:tcPr>
          <w:p w14:paraId="3674397B">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335" w:type="dxa"/>
            <w:vAlign w:val="center"/>
          </w:tcPr>
          <w:p w14:paraId="53D5C9DE">
            <w:pPr>
              <w:spacing w:before="180" w:line="300" w:lineRule="exact"/>
              <w:ind w:right="241"/>
              <w:jc w:val="center"/>
              <w:rPr>
                <w:rFonts w:ascii="宋体" w:hAnsi="宋体" w:eastAsia="宋体" w:cs="宋体"/>
                <w:b/>
                <w:bCs/>
              </w:rPr>
            </w:pPr>
            <w:r>
              <w:rPr>
                <w:rFonts w:hint="eastAsia" w:ascii="宋体" w:hAnsi="宋体" w:eastAsia="宋体" w:cs="宋体"/>
                <w:b/>
                <w:bCs/>
                <w:spacing w:val="7"/>
              </w:rPr>
              <w:t>完全响应或</w:t>
            </w:r>
            <w:r>
              <w:rPr>
                <w:rFonts w:hint="eastAsia" w:ascii="宋体" w:hAnsi="宋体" w:eastAsia="宋体" w:cs="宋体"/>
                <w:b/>
                <w:bCs/>
                <w:spacing w:val="6"/>
              </w:rPr>
              <w:t>正/负偏离</w:t>
            </w:r>
          </w:p>
        </w:tc>
        <w:tc>
          <w:tcPr>
            <w:tcW w:w="1402" w:type="dxa"/>
            <w:vAlign w:val="center"/>
          </w:tcPr>
          <w:p w14:paraId="189B2D09">
            <w:pPr>
              <w:spacing w:before="65" w:line="300" w:lineRule="exact"/>
              <w:jc w:val="center"/>
              <w:rPr>
                <w:rFonts w:ascii="宋体" w:hAnsi="宋体" w:eastAsia="宋体" w:cs="宋体"/>
                <w:b/>
                <w:bCs/>
              </w:rPr>
            </w:pPr>
            <w:r>
              <w:rPr>
                <w:rFonts w:hint="eastAsia" w:ascii="宋体" w:hAnsi="宋体" w:eastAsia="宋体" w:cs="宋体"/>
                <w:b/>
                <w:bCs/>
                <w:spacing w:val="7"/>
              </w:rPr>
              <w:t>偏离情况</w:t>
            </w:r>
          </w:p>
        </w:tc>
      </w:tr>
      <w:tr w14:paraId="471DF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780" w:type="dxa"/>
            <w:vAlign w:val="center"/>
          </w:tcPr>
          <w:p w14:paraId="65A6A3D8">
            <w:pPr>
              <w:spacing w:before="65" w:line="270" w:lineRule="exact"/>
              <w:jc w:val="center"/>
              <w:rPr>
                <w:rFonts w:ascii="宋体" w:hAnsi="宋体" w:eastAsia="宋体" w:cs="宋体"/>
              </w:rPr>
            </w:pPr>
            <w:r>
              <w:rPr>
                <w:rFonts w:hint="eastAsia" w:ascii="宋体" w:hAnsi="宋体" w:eastAsia="宋体" w:cs="宋体"/>
                <w:position w:val="1"/>
              </w:rPr>
              <w:t>1</w:t>
            </w:r>
          </w:p>
        </w:tc>
        <w:tc>
          <w:tcPr>
            <w:tcW w:w="5865" w:type="dxa"/>
          </w:tcPr>
          <w:p w14:paraId="016875E6">
            <w:pPr>
              <w:pStyle w:val="5"/>
              <w:keepNext w:val="0"/>
              <w:keepLines w:val="0"/>
              <w:pageBreakBefore w:val="0"/>
              <w:widowControl w:val="0"/>
              <w:kinsoku/>
              <w:wordWrap/>
              <w:overflowPunct/>
              <w:topLinePunct w:val="0"/>
              <w:autoSpaceDE w:val="0"/>
              <w:autoSpaceDN/>
              <w:bidi w:val="0"/>
              <w:adjustRightInd/>
              <w:snapToGrid/>
              <w:spacing w:before="0" w:beforeAutospacing="0" w:after="0" w:afterAutospacing="0" w:line="260" w:lineRule="exact"/>
              <w:textAlignment w:val="baseline"/>
              <w:rPr>
                <w:rFonts w:hint="eastAsia" w:ascii="宋体" w:hAnsi="宋体" w:eastAsia="宋体" w:cs="宋体"/>
                <w:spacing w:val="8"/>
                <w:sz w:val="20"/>
                <w:szCs w:val="20"/>
                <w:lang w:val="en-US" w:eastAsia="zh-CN"/>
              </w:rPr>
            </w:pPr>
            <w:r>
              <w:rPr>
                <w:rFonts w:hint="eastAsia" w:ascii="宋体" w:hAnsi="宋体" w:eastAsia="宋体" w:cs="宋体"/>
                <w:spacing w:val="8"/>
                <w:sz w:val="20"/>
                <w:szCs w:val="20"/>
                <w:lang w:val="en-US" w:eastAsia="zh-CN"/>
              </w:rPr>
              <w:t>一、项目概况</w:t>
            </w:r>
          </w:p>
          <w:p w14:paraId="3F13C667">
            <w:pPr>
              <w:pStyle w:val="5"/>
              <w:keepNext w:val="0"/>
              <w:keepLines w:val="0"/>
              <w:pageBreakBefore w:val="0"/>
              <w:widowControl w:val="0"/>
              <w:kinsoku/>
              <w:wordWrap/>
              <w:overflowPunct/>
              <w:topLinePunct w:val="0"/>
              <w:autoSpaceDE w:val="0"/>
              <w:autoSpaceDN/>
              <w:bidi w:val="0"/>
              <w:adjustRightInd/>
              <w:snapToGrid/>
              <w:spacing w:before="0" w:beforeAutospacing="0" w:after="0" w:afterAutospacing="0" w:line="260" w:lineRule="exact"/>
              <w:textAlignment w:val="baseline"/>
              <w:rPr>
                <w:rFonts w:hint="eastAsia" w:ascii="宋体" w:hAnsi="宋体" w:eastAsia="宋体" w:cs="宋体"/>
                <w:spacing w:val="8"/>
                <w:sz w:val="20"/>
                <w:szCs w:val="20"/>
                <w:lang w:val="en-US" w:eastAsia="zh-CN"/>
              </w:rPr>
            </w:pPr>
            <w:r>
              <w:rPr>
                <w:rFonts w:hint="eastAsia" w:ascii="宋体" w:hAnsi="宋体" w:eastAsia="宋体" w:cs="宋体"/>
                <w:spacing w:val="8"/>
                <w:sz w:val="20"/>
                <w:szCs w:val="20"/>
                <w:lang w:val="en-US" w:eastAsia="zh-CN"/>
              </w:rPr>
              <w:t>1. 项目名称：中山市东升医院危险废物处置服务项目（三次）</w:t>
            </w:r>
          </w:p>
          <w:p w14:paraId="554F60FF">
            <w:pPr>
              <w:pStyle w:val="5"/>
              <w:keepNext w:val="0"/>
              <w:keepLines w:val="0"/>
              <w:pageBreakBefore w:val="0"/>
              <w:widowControl w:val="0"/>
              <w:kinsoku/>
              <w:wordWrap/>
              <w:overflowPunct/>
              <w:topLinePunct w:val="0"/>
              <w:autoSpaceDE w:val="0"/>
              <w:autoSpaceDN/>
              <w:bidi w:val="0"/>
              <w:adjustRightInd/>
              <w:snapToGrid/>
              <w:spacing w:before="0" w:beforeAutospacing="0" w:after="0" w:afterAutospacing="0" w:line="260" w:lineRule="exact"/>
              <w:textAlignment w:val="baseline"/>
              <w:rPr>
                <w:rFonts w:hint="eastAsia" w:ascii="宋体" w:hAnsi="宋体" w:eastAsia="宋体" w:cs="宋体"/>
                <w:spacing w:val="8"/>
                <w:sz w:val="20"/>
                <w:szCs w:val="20"/>
                <w:lang w:val="en-US" w:eastAsia="zh-CN"/>
              </w:rPr>
            </w:pPr>
            <w:r>
              <w:rPr>
                <w:rFonts w:hint="eastAsia" w:ascii="宋体" w:hAnsi="宋体" w:eastAsia="宋体" w:cs="宋体"/>
                <w:spacing w:val="8"/>
                <w:sz w:val="20"/>
                <w:szCs w:val="20"/>
                <w:lang w:val="en-US" w:eastAsia="zh-CN"/>
              </w:rPr>
              <w:t>2. 项目编号：FW-CW-JYK-2025112</w:t>
            </w:r>
          </w:p>
          <w:p w14:paraId="233E84D3">
            <w:pPr>
              <w:pStyle w:val="5"/>
              <w:keepNext w:val="0"/>
              <w:keepLines w:val="0"/>
              <w:pageBreakBefore w:val="0"/>
              <w:widowControl w:val="0"/>
              <w:kinsoku/>
              <w:wordWrap/>
              <w:overflowPunct/>
              <w:topLinePunct w:val="0"/>
              <w:autoSpaceDE w:val="0"/>
              <w:autoSpaceDN/>
              <w:bidi w:val="0"/>
              <w:adjustRightInd/>
              <w:snapToGrid/>
              <w:spacing w:before="0" w:beforeAutospacing="0" w:after="0" w:afterAutospacing="0" w:line="260" w:lineRule="exact"/>
              <w:textAlignment w:val="baseline"/>
              <w:rPr>
                <w:rFonts w:hint="eastAsia" w:ascii="宋体" w:hAnsi="宋体" w:eastAsia="宋体" w:cs="宋体"/>
                <w:spacing w:val="8"/>
                <w:sz w:val="20"/>
                <w:szCs w:val="20"/>
                <w:lang w:val="en-US" w:eastAsia="zh-CN"/>
              </w:rPr>
            </w:pPr>
            <w:r>
              <w:rPr>
                <w:rFonts w:hint="eastAsia" w:ascii="宋体" w:hAnsi="宋体" w:eastAsia="宋体" w:cs="宋体"/>
                <w:spacing w:val="8"/>
                <w:sz w:val="20"/>
                <w:szCs w:val="20"/>
                <w:lang w:val="en-US" w:eastAsia="zh-CN"/>
              </w:rPr>
              <w:t>3. 项目金额：16000元（包括税费、设备使用、人工、材料采购、保险、运输、处理等所有费用）</w:t>
            </w:r>
          </w:p>
          <w:p w14:paraId="3B39E0E6">
            <w:pPr>
              <w:pStyle w:val="5"/>
              <w:keepNext w:val="0"/>
              <w:keepLines w:val="0"/>
              <w:pageBreakBefore w:val="0"/>
              <w:widowControl w:val="0"/>
              <w:kinsoku/>
              <w:wordWrap/>
              <w:overflowPunct/>
              <w:topLinePunct w:val="0"/>
              <w:autoSpaceDE w:val="0"/>
              <w:autoSpaceDN/>
              <w:bidi w:val="0"/>
              <w:adjustRightInd/>
              <w:snapToGrid/>
              <w:spacing w:before="0" w:beforeAutospacing="0" w:after="0" w:afterAutospacing="0" w:line="260" w:lineRule="exact"/>
              <w:textAlignment w:val="baseline"/>
              <w:rPr>
                <w:rFonts w:hint="eastAsia" w:ascii="宋体" w:hAnsi="宋体" w:eastAsia="宋体" w:cs="宋体"/>
                <w:spacing w:val="8"/>
                <w:sz w:val="20"/>
                <w:szCs w:val="20"/>
                <w:lang w:val="en-US" w:eastAsia="zh-CN"/>
              </w:rPr>
            </w:pPr>
            <w:r>
              <w:rPr>
                <w:rFonts w:hint="eastAsia" w:ascii="宋体" w:hAnsi="宋体" w:eastAsia="宋体" w:cs="宋体"/>
                <w:spacing w:val="8"/>
                <w:sz w:val="20"/>
                <w:szCs w:val="20"/>
                <w:lang w:val="en-US" w:eastAsia="zh-CN"/>
              </w:rPr>
              <w:t>4. 服务期限：自签订合同起一年</w:t>
            </w:r>
          </w:p>
          <w:p w14:paraId="0FDF5E27">
            <w:pPr>
              <w:pStyle w:val="5"/>
              <w:keepNext w:val="0"/>
              <w:keepLines w:val="0"/>
              <w:pageBreakBefore w:val="0"/>
              <w:widowControl w:val="0"/>
              <w:kinsoku/>
              <w:wordWrap/>
              <w:overflowPunct/>
              <w:topLinePunct w:val="0"/>
              <w:autoSpaceDE w:val="0"/>
              <w:autoSpaceDN/>
              <w:bidi w:val="0"/>
              <w:adjustRightInd/>
              <w:snapToGrid/>
              <w:spacing w:before="0" w:beforeAutospacing="0" w:after="0" w:afterAutospacing="0" w:line="260" w:lineRule="exact"/>
              <w:textAlignment w:val="baseline"/>
              <w:rPr>
                <w:rFonts w:ascii="宋体" w:hAnsi="宋体" w:eastAsia="宋体" w:cs="宋体"/>
                <w:sz w:val="20"/>
                <w:szCs w:val="20"/>
              </w:rPr>
            </w:pPr>
            <w:r>
              <w:rPr>
                <w:rFonts w:hint="eastAsia" w:ascii="宋体" w:hAnsi="宋体" w:eastAsia="宋体" w:cs="宋体"/>
                <w:spacing w:val="8"/>
                <w:sz w:val="20"/>
                <w:szCs w:val="20"/>
                <w:lang w:val="en-US" w:eastAsia="zh-CN"/>
              </w:rPr>
              <w:t>5. 未经采购人同意，成交供应商不得以任何方式转包或分包本项目。</w:t>
            </w:r>
          </w:p>
        </w:tc>
        <w:tc>
          <w:tcPr>
            <w:tcW w:w="1335" w:type="dxa"/>
          </w:tcPr>
          <w:p w14:paraId="5B3B314A">
            <w:pPr>
              <w:pStyle w:val="10"/>
              <w:rPr>
                <w:rFonts w:ascii="宋体" w:hAnsi="宋体" w:eastAsia="宋体" w:cs="宋体"/>
                <w:lang w:eastAsia="zh-CN"/>
              </w:rPr>
            </w:pPr>
          </w:p>
        </w:tc>
        <w:tc>
          <w:tcPr>
            <w:tcW w:w="1402" w:type="dxa"/>
          </w:tcPr>
          <w:p w14:paraId="28582A36">
            <w:pPr>
              <w:pStyle w:val="10"/>
              <w:rPr>
                <w:rFonts w:ascii="宋体" w:hAnsi="宋体" w:eastAsia="宋体" w:cs="宋体"/>
                <w:lang w:eastAsia="zh-CN"/>
              </w:rPr>
            </w:pPr>
          </w:p>
        </w:tc>
      </w:tr>
      <w:tr w14:paraId="1DD114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537" w:hRule="atLeast"/>
        </w:trPr>
        <w:tc>
          <w:tcPr>
            <w:tcW w:w="780" w:type="dxa"/>
            <w:vAlign w:val="center"/>
          </w:tcPr>
          <w:p w14:paraId="2D18E0F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865" w:type="dxa"/>
          </w:tcPr>
          <w:p w14:paraId="57C2FE80">
            <w:pPr>
              <w:keepNext w:val="0"/>
              <w:keepLines w:val="0"/>
              <w:pageBreakBefore w:val="0"/>
              <w:widowControl w:val="0"/>
              <w:wordWrap/>
              <w:overflowPunct/>
              <w:topLinePunct w:val="0"/>
              <w:autoSpaceDE w:val="0"/>
              <w:bidi w:val="0"/>
              <w:spacing w:line="26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二、项目现场情况：</w:t>
            </w:r>
          </w:p>
          <w:p w14:paraId="73F48CB4">
            <w:pPr>
              <w:keepNext w:val="0"/>
              <w:keepLines w:val="0"/>
              <w:pageBreakBefore w:val="0"/>
              <w:widowControl w:val="0"/>
              <w:wordWrap/>
              <w:overflowPunct/>
              <w:topLinePunct w:val="0"/>
              <w:autoSpaceDE w:val="0"/>
              <w:bidi w:val="0"/>
              <w:spacing w:line="260" w:lineRule="exact"/>
              <w:textAlignment w:val="baseline"/>
              <w:rPr>
                <w:rFonts w:ascii="宋体" w:hAnsi="宋体" w:eastAsia="宋体" w:cs="宋体"/>
                <w:sz w:val="20"/>
                <w:szCs w:val="20"/>
                <w:lang w:eastAsia="zh-CN"/>
              </w:rPr>
            </w:pPr>
            <w:r>
              <w:rPr>
                <w:rFonts w:hint="eastAsia" w:ascii="宋体" w:hAnsi="宋体" w:eastAsia="宋体" w:cs="宋体"/>
                <w:sz w:val="20"/>
                <w:szCs w:val="20"/>
                <w:lang w:val="en-US" w:eastAsia="zh-CN"/>
              </w:rPr>
              <w:t>中山市东升医院病理科每年产生危险废物（二甲苯，甲醛和器皿）约为0.5吨。</w:t>
            </w:r>
          </w:p>
        </w:tc>
        <w:tc>
          <w:tcPr>
            <w:tcW w:w="1335" w:type="dxa"/>
          </w:tcPr>
          <w:p w14:paraId="11B334CA">
            <w:pPr>
              <w:pStyle w:val="10"/>
              <w:rPr>
                <w:rFonts w:ascii="宋体" w:hAnsi="宋体" w:eastAsia="宋体" w:cs="宋体"/>
                <w:lang w:eastAsia="zh-CN"/>
              </w:rPr>
            </w:pPr>
          </w:p>
        </w:tc>
        <w:tc>
          <w:tcPr>
            <w:tcW w:w="1402" w:type="dxa"/>
          </w:tcPr>
          <w:p w14:paraId="0566467E">
            <w:pPr>
              <w:pStyle w:val="10"/>
              <w:rPr>
                <w:rFonts w:ascii="宋体" w:hAnsi="宋体" w:eastAsia="宋体" w:cs="宋体"/>
                <w:lang w:eastAsia="zh-CN"/>
              </w:rPr>
            </w:pPr>
          </w:p>
        </w:tc>
      </w:tr>
      <w:tr w14:paraId="2ACC3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780" w:type="dxa"/>
            <w:vAlign w:val="center"/>
          </w:tcPr>
          <w:p w14:paraId="7A7E1C2D">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865" w:type="dxa"/>
          </w:tcPr>
          <w:p w14:paraId="32F90968">
            <w:pPr>
              <w:keepNext w:val="0"/>
              <w:keepLines w:val="0"/>
              <w:pageBreakBefore w:val="0"/>
              <w:widowControl w:val="0"/>
              <w:wordWrap/>
              <w:overflowPunct/>
              <w:topLinePunct w:val="0"/>
              <w:autoSpaceDE w:val="0"/>
              <w:bidi w:val="0"/>
              <w:spacing w:line="26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三、供应商资格</w:t>
            </w:r>
          </w:p>
          <w:p w14:paraId="3DA57515">
            <w:pPr>
              <w:keepNext w:val="0"/>
              <w:keepLines w:val="0"/>
              <w:pageBreakBefore w:val="0"/>
              <w:widowControl w:val="0"/>
              <w:wordWrap/>
              <w:overflowPunct/>
              <w:topLinePunct w:val="0"/>
              <w:autoSpaceDE w:val="0"/>
              <w:bidi w:val="0"/>
              <w:spacing w:line="26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供应商必须是具有独立承担民事责任能力的在中华人民共和国境内注册的企业法人或其他组织；</w:t>
            </w:r>
          </w:p>
          <w:p w14:paraId="676CBD25">
            <w:pPr>
              <w:keepNext w:val="0"/>
              <w:keepLines w:val="0"/>
              <w:pageBreakBefore w:val="0"/>
              <w:widowControl w:val="0"/>
              <w:wordWrap/>
              <w:overflowPunct/>
              <w:topLinePunct w:val="0"/>
              <w:autoSpaceDE w:val="0"/>
              <w:bidi w:val="0"/>
              <w:spacing w:line="26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供应商须具有效的相关经营范围《危险废物经营许可证》和《道路运输经营许可证》资质，并提供营业执照、其他相关专业服务经营和人员资质；</w:t>
            </w:r>
          </w:p>
          <w:p w14:paraId="725C5F4F">
            <w:pPr>
              <w:keepNext w:val="0"/>
              <w:keepLines w:val="0"/>
              <w:pageBreakBefore w:val="0"/>
              <w:widowControl w:val="0"/>
              <w:wordWrap/>
              <w:overflowPunct/>
              <w:topLinePunct w:val="0"/>
              <w:autoSpaceDE w:val="0"/>
              <w:bidi w:val="0"/>
              <w:spacing w:line="26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 响应供应商应具有项目的承接能力、合同的履约能力、售后供应能力和良好的信誉；</w:t>
            </w:r>
          </w:p>
          <w:p w14:paraId="62745349">
            <w:pPr>
              <w:keepNext w:val="0"/>
              <w:keepLines w:val="0"/>
              <w:pageBreakBefore w:val="0"/>
              <w:widowControl w:val="0"/>
              <w:wordWrap/>
              <w:overflowPunct/>
              <w:topLinePunct w:val="0"/>
              <w:autoSpaceDE w:val="0"/>
              <w:bidi w:val="0"/>
              <w:spacing w:line="260" w:lineRule="exact"/>
              <w:textAlignment w:val="baseline"/>
              <w:rPr>
                <w:rFonts w:ascii="宋体" w:hAnsi="宋体" w:eastAsia="宋体" w:cs="宋体"/>
                <w:sz w:val="20"/>
                <w:szCs w:val="20"/>
                <w:lang w:eastAsia="zh-CN"/>
              </w:rPr>
            </w:pPr>
            <w:r>
              <w:rPr>
                <w:rFonts w:hint="eastAsia" w:ascii="宋体" w:hAnsi="宋体" w:eastAsia="宋体" w:cs="宋体"/>
                <w:sz w:val="20"/>
                <w:szCs w:val="20"/>
                <w:lang w:val="en-US" w:eastAsia="zh-CN"/>
              </w:rPr>
              <w:t>4. 供应商在参与公开招标活动中未有违法违纪行为并受过处罚；单位负责人为同一人或者存在直接控股、管理关系的不同供应商，不得参加同一项目；供应商无围标、串标行为。</w:t>
            </w:r>
          </w:p>
        </w:tc>
        <w:tc>
          <w:tcPr>
            <w:tcW w:w="1335" w:type="dxa"/>
          </w:tcPr>
          <w:p w14:paraId="6483D143">
            <w:pPr>
              <w:pStyle w:val="10"/>
              <w:rPr>
                <w:rFonts w:ascii="宋体" w:hAnsi="宋体" w:eastAsia="宋体" w:cs="宋体"/>
                <w:lang w:eastAsia="zh-CN"/>
              </w:rPr>
            </w:pPr>
          </w:p>
        </w:tc>
        <w:tc>
          <w:tcPr>
            <w:tcW w:w="1402" w:type="dxa"/>
          </w:tcPr>
          <w:p w14:paraId="774B4E9C">
            <w:pPr>
              <w:pStyle w:val="10"/>
              <w:rPr>
                <w:rFonts w:ascii="宋体" w:hAnsi="宋体" w:eastAsia="宋体" w:cs="宋体"/>
                <w:lang w:eastAsia="zh-CN"/>
              </w:rPr>
            </w:pPr>
          </w:p>
        </w:tc>
      </w:tr>
      <w:tr w14:paraId="515EF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225" w:hRule="atLeast"/>
        </w:trPr>
        <w:tc>
          <w:tcPr>
            <w:tcW w:w="780" w:type="dxa"/>
            <w:vAlign w:val="center"/>
          </w:tcPr>
          <w:p w14:paraId="66BBC161">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865" w:type="dxa"/>
          </w:tcPr>
          <w:p w14:paraId="1C33AD1F">
            <w:pPr>
              <w:keepNext w:val="0"/>
              <w:keepLines w:val="0"/>
              <w:pageBreakBefore w:val="0"/>
              <w:widowControl w:val="0"/>
              <w:wordWrap/>
              <w:overflowPunct/>
              <w:topLinePunct w:val="0"/>
              <w:autoSpaceDE w:val="0"/>
              <w:bidi w:val="0"/>
              <w:spacing w:line="26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四、服务要求：</w:t>
            </w:r>
          </w:p>
          <w:p w14:paraId="7C51E2AA">
            <w:pPr>
              <w:keepNext w:val="0"/>
              <w:keepLines w:val="0"/>
              <w:pageBreakBefore w:val="0"/>
              <w:widowControl w:val="0"/>
              <w:wordWrap/>
              <w:overflowPunct/>
              <w:topLinePunct w:val="0"/>
              <w:autoSpaceDE w:val="0"/>
              <w:bidi w:val="0"/>
              <w:spacing w:line="26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按照国家标准《中华人民共和国固体废物污染环境防治法》开展危险废物运输及处理服务工作。</w:t>
            </w:r>
          </w:p>
          <w:p w14:paraId="0D0C6E64">
            <w:pPr>
              <w:keepNext w:val="0"/>
              <w:keepLines w:val="0"/>
              <w:pageBreakBefore w:val="0"/>
              <w:widowControl w:val="0"/>
              <w:wordWrap/>
              <w:overflowPunct/>
              <w:topLinePunct w:val="0"/>
              <w:autoSpaceDE w:val="0"/>
              <w:bidi w:val="0"/>
              <w:spacing w:line="26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供应商需每半年至少上门收集一次，或根据我院通知在3个工作日内响应。日常服务响应时间应在正常工作日、工作时间内进行。</w:t>
            </w:r>
          </w:p>
          <w:p w14:paraId="6A25A5CC">
            <w:pPr>
              <w:keepNext w:val="0"/>
              <w:keepLines w:val="0"/>
              <w:pageBreakBefore w:val="0"/>
              <w:widowControl w:val="0"/>
              <w:wordWrap/>
              <w:overflowPunct/>
              <w:topLinePunct w:val="0"/>
              <w:autoSpaceDE w:val="0"/>
              <w:bidi w:val="0"/>
              <w:spacing w:line="26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 医院病理科危险废物是与标本同在一器皿内，成交供应商需无偿提供标本组织和危险废物（二甲苯，甲醛和器皿）分离，危险废物由供应商处理，标本组织分离后打包医院自行处理。</w:t>
            </w:r>
          </w:p>
          <w:p w14:paraId="352A4C7C">
            <w:pPr>
              <w:keepNext w:val="0"/>
              <w:keepLines w:val="0"/>
              <w:pageBreakBefore w:val="0"/>
              <w:widowControl w:val="0"/>
              <w:wordWrap/>
              <w:overflowPunct/>
              <w:topLinePunct w:val="0"/>
              <w:autoSpaceDE w:val="0"/>
              <w:bidi w:val="0"/>
              <w:spacing w:line="26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 包装要求：由供应商提供200L或以上专用HDPE桶或等效容器。</w:t>
            </w:r>
          </w:p>
          <w:p w14:paraId="69E11243">
            <w:pPr>
              <w:keepNext w:val="0"/>
              <w:keepLines w:val="0"/>
              <w:pageBreakBefore w:val="0"/>
              <w:widowControl w:val="0"/>
              <w:wordWrap/>
              <w:overflowPunct/>
              <w:topLinePunct w:val="0"/>
              <w:autoSpaceDE w:val="0"/>
              <w:bidi w:val="0"/>
              <w:spacing w:line="26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 运输与处置： 必须使用合规危废运输车辆，并最终送至其持证经营的处置设施进行安全处置。供应商要加强对员工的日常安全教育与安全管理，避免任何安全事故的发生，因管理不善而造成的安全生产事故，由供应商承担全部责任。</w:t>
            </w:r>
          </w:p>
          <w:p w14:paraId="5F27B362">
            <w:pPr>
              <w:keepNext w:val="0"/>
              <w:keepLines w:val="0"/>
              <w:pageBreakBefore w:val="0"/>
              <w:widowControl w:val="0"/>
              <w:wordWrap/>
              <w:overflowPunct/>
              <w:topLinePunct w:val="0"/>
              <w:autoSpaceDE w:val="0"/>
              <w:bidi w:val="0"/>
              <w:spacing w:line="260" w:lineRule="exact"/>
              <w:textAlignment w:val="baseline"/>
              <w:rPr>
                <w:rFonts w:ascii="宋体" w:hAnsi="宋体" w:eastAsia="宋体" w:cs="宋体"/>
                <w:sz w:val="20"/>
                <w:szCs w:val="20"/>
                <w:lang w:eastAsia="zh-CN"/>
              </w:rPr>
            </w:pPr>
            <w:r>
              <w:rPr>
                <w:rFonts w:hint="eastAsia" w:ascii="宋体" w:hAnsi="宋体" w:eastAsia="宋体" w:cs="宋体"/>
                <w:sz w:val="20"/>
                <w:szCs w:val="20"/>
                <w:lang w:val="en-US" w:eastAsia="zh-CN"/>
              </w:rPr>
              <w:t>6. 文件交付： 每次转移后5个工作日内，提供加盖公章的有效《危险废物转移联单》，并对该项目内容在广东省固体废物环境监管信息平台进行申报（供应商主导，采购人配合）。</w:t>
            </w:r>
          </w:p>
        </w:tc>
        <w:tc>
          <w:tcPr>
            <w:tcW w:w="1335" w:type="dxa"/>
          </w:tcPr>
          <w:p w14:paraId="193D8761">
            <w:pPr>
              <w:pStyle w:val="10"/>
              <w:rPr>
                <w:rFonts w:ascii="宋体" w:hAnsi="宋体" w:eastAsia="宋体" w:cs="宋体"/>
                <w:lang w:eastAsia="zh-CN"/>
              </w:rPr>
            </w:pPr>
          </w:p>
        </w:tc>
        <w:tc>
          <w:tcPr>
            <w:tcW w:w="1402" w:type="dxa"/>
          </w:tcPr>
          <w:p w14:paraId="091A4CD4">
            <w:pPr>
              <w:pStyle w:val="10"/>
              <w:rPr>
                <w:rFonts w:ascii="宋体" w:hAnsi="宋体" w:eastAsia="宋体" w:cs="宋体"/>
                <w:lang w:eastAsia="zh-CN"/>
              </w:rPr>
            </w:pPr>
          </w:p>
        </w:tc>
      </w:tr>
      <w:tr w14:paraId="15F7B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468" w:hRule="atLeast"/>
        </w:trPr>
        <w:tc>
          <w:tcPr>
            <w:tcW w:w="780" w:type="dxa"/>
            <w:vAlign w:val="center"/>
          </w:tcPr>
          <w:p w14:paraId="7F4016B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865" w:type="dxa"/>
          </w:tcPr>
          <w:p w14:paraId="39093D91">
            <w:pPr>
              <w:keepNext w:val="0"/>
              <w:keepLines w:val="0"/>
              <w:pageBreakBefore w:val="0"/>
              <w:widowControl w:val="0"/>
              <w:wordWrap/>
              <w:overflowPunct/>
              <w:topLinePunct w:val="0"/>
              <w:autoSpaceDE w:val="0"/>
              <w:bidi w:val="0"/>
              <w:spacing w:line="260" w:lineRule="exact"/>
              <w:textAlignment w:val="baseline"/>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五、付款方式</w:t>
            </w:r>
          </w:p>
          <w:p w14:paraId="1E5BCF2E">
            <w:pPr>
              <w:keepNext w:val="0"/>
              <w:keepLines w:val="0"/>
              <w:pageBreakBefore w:val="0"/>
              <w:widowControl w:val="0"/>
              <w:wordWrap/>
              <w:overflowPunct/>
              <w:topLinePunct w:val="0"/>
              <w:autoSpaceDE w:val="0"/>
              <w:bidi w:val="0"/>
              <w:spacing w:line="260" w:lineRule="exact"/>
              <w:textAlignment w:val="baseline"/>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项目总金额分两期付款，每期在安全处置危险废物并完成申报后成交供应商开具等额发票，采购人在收到发票并审核无误后60个工作日内完成付款。</w:t>
            </w:r>
          </w:p>
          <w:p w14:paraId="000B80E3">
            <w:pPr>
              <w:keepNext w:val="0"/>
              <w:keepLines w:val="0"/>
              <w:pageBreakBefore w:val="0"/>
              <w:widowControl w:val="0"/>
              <w:wordWrap/>
              <w:overflowPunct/>
              <w:topLinePunct w:val="0"/>
              <w:autoSpaceDE w:val="0"/>
              <w:bidi w:val="0"/>
              <w:spacing w:line="260" w:lineRule="exact"/>
              <w:textAlignment w:val="baseline"/>
              <w:rPr>
                <w:rFonts w:ascii="宋体" w:hAnsi="宋体" w:eastAsia="宋体" w:cs="宋体"/>
                <w:sz w:val="20"/>
                <w:szCs w:val="20"/>
                <w:lang w:eastAsia="zh-CN"/>
              </w:rPr>
            </w:pPr>
            <w:r>
              <w:rPr>
                <w:rFonts w:hint="eastAsia" w:ascii="宋体" w:hAnsi="宋体" w:eastAsia="宋体" w:cs="宋体"/>
                <w:color w:val="auto"/>
                <w:sz w:val="20"/>
                <w:szCs w:val="20"/>
                <w:shd w:val="clear" w:color="auto" w:fill="FFFFFF"/>
                <w:lang w:val="en-US" w:eastAsia="zh-CN" w:bidi="ar"/>
              </w:rPr>
              <w:t>2. 特别说明：合同约定的付款期限，遵守《保障中小企业款项支付条例》的规定。如供应商为中小企业，付款期限最长不超过60日。</w:t>
            </w:r>
          </w:p>
        </w:tc>
        <w:tc>
          <w:tcPr>
            <w:tcW w:w="1335" w:type="dxa"/>
          </w:tcPr>
          <w:p w14:paraId="400EB205">
            <w:pPr>
              <w:pStyle w:val="10"/>
              <w:rPr>
                <w:rFonts w:ascii="宋体" w:hAnsi="宋体" w:eastAsia="宋体" w:cs="宋体"/>
                <w:lang w:eastAsia="zh-CN"/>
              </w:rPr>
            </w:pPr>
          </w:p>
        </w:tc>
        <w:tc>
          <w:tcPr>
            <w:tcW w:w="1402" w:type="dxa"/>
          </w:tcPr>
          <w:p w14:paraId="4379F7B4">
            <w:pPr>
              <w:pStyle w:val="10"/>
              <w:rPr>
                <w:rFonts w:ascii="宋体" w:hAnsi="宋体" w:eastAsia="宋体" w:cs="宋体"/>
                <w:lang w:eastAsia="zh-CN"/>
              </w:rPr>
            </w:pPr>
          </w:p>
        </w:tc>
      </w:tr>
    </w:tbl>
    <w:p w14:paraId="011E2F9B">
      <w:pPr>
        <w:rPr>
          <w:lang w:eastAsia="zh-CN"/>
        </w:rPr>
      </w:pPr>
    </w:p>
    <w:p w14:paraId="3447D6D1">
      <w:pPr>
        <w:rPr>
          <w:lang w:eastAsia="zh-CN"/>
        </w:rPr>
      </w:pPr>
      <w:r>
        <w:rPr>
          <w:lang w:eastAsia="zh-CN"/>
        </w:rPr>
        <w:br w:type="page"/>
      </w:r>
    </w:p>
    <w:p w14:paraId="37C98485">
      <w:pPr>
        <w:spacing w:before="41"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四</w:t>
      </w:r>
      <w:r>
        <w:rPr>
          <w:rFonts w:ascii="宋体" w:hAnsi="宋体" w:eastAsia="宋体" w:cs="宋体"/>
          <w:b/>
          <w:bCs/>
          <w:spacing w:val="7"/>
          <w:sz w:val="20"/>
          <w:szCs w:val="20"/>
          <w:lang w:eastAsia="zh-CN"/>
        </w:rPr>
        <w:t>、项目整体实施方案（格式自拟）</w:t>
      </w:r>
    </w:p>
    <w:p w14:paraId="22B4EC2E">
      <w:pPr>
        <w:rPr>
          <w:rFonts w:hint="eastAsia" w:ascii="宋体" w:hAnsi="宋体" w:eastAsia="宋体" w:cs="宋体"/>
          <w:b/>
          <w:bCs/>
          <w:spacing w:val="7"/>
          <w:sz w:val="20"/>
          <w:szCs w:val="20"/>
          <w:lang w:eastAsia="zh-CN"/>
        </w:rPr>
      </w:pPr>
      <w:r>
        <w:rPr>
          <w:rFonts w:hint="eastAsia" w:ascii="宋体" w:hAnsi="宋体" w:eastAsia="宋体" w:cs="宋体"/>
          <w:b/>
          <w:bCs/>
          <w:spacing w:val="7"/>
          <w:sz w:val="20"/>
          <w:szCs w:val="20"/>
          <w:lang w:eastAsia="zh-CN"/>
        </w:rPr>
        <w:br w:type="page"/>
      </w:r>
    </w:p>
    <w:p w14:paraId="1B55C4C2">
      <w:pPr>
        <w:rPr>
          <w:rFonts w:ascii="宋体" w:hAnsi="宋体" w:eastAsia="宋体" w:cs="宋体"/>
          <w:sz w:val="20"/>
          <w:szCs w:val="20"/>
          <w:lang w:eastAsia="zh-CN"/>
        </w:rPr>
      </w:pPr>
      <w:r>
        <w:rPr>
          <w:rFonts w:hint="eastAsia" w:ascii="宋体" w:hAnsi="宋体" w:eastAsia="宋体" w:cs="宋体"/>
          <w:b/>
          <w:bCs/>
          <w:spacing w:val="7"/>
          <w:sz w:val="20"/>
          <w:szCs w:val="20"/>
          <w:lang w:val="en-US" w:eastAsia="zh-CN"/>
        </w:rPr>
        <w:t>十五</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认为需要提供的其他材料（如无、可删）</w:t>
      </w:r>
    </w:p>
    <w:p w14:paraId="6D0D903D">
      <w:pPr>
        <w:rPr>
          <w:lang w:eastAsia="zh-CN"/>
        </w:rPr>
      </w:pPr>
    </w:p>
    <w:sectPr>
      <w:pgSz w:w="11900" w:h="16840"/>
      <w:pgMar w:top="907" w:right="1701" w:bottom="907" w:left="170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0F499"/>
    <w:multiLevelType w:val="singleLevel"/>
    <w:tmpl w:val="8B80F49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DF1B45"/>
    <w:rsid w:val="01E26336"/>
    <w:rsid w:val="05D250F6"/>
    <w:rsid w:val="07DE22A7"/>
    <w:rsid w:val="0A1B60BD"/>
    <w:rsid w:val="0A382368"/>
    <w:rsid w:val="0AE9476C"/>
    <w:rsid w:val="0E881903"/>
    <w:rsid w:val="0E9C78E3"/>
    <w:rsid w:val="126C008B"/>
    <w:rsid w:val="13666B31"/>
    <w:rsid w:val="16DD5993"/>
    <w:rsid w:val="18C80C4B"/>
    <w:rsid w:val="1E9D0594"/>
    <w:rsid w:val="1EA21FDF"/>
    <w:rsid w:val="1EDF5020"/>
    <w:rsid w:val="20607AD1"/>
    <w:rsid w:val="20BE2A44"/>
    <w:rsid w:val="22732647"/>
    <w:rsid w:val="23487B36"/>
    <w:rsid w:val="2695736E"/>
    <w:rsid w:val="26B446CD"/>
    <w:rsid w:val="2A147A14"/>
    <w:rsid w:val="36073C0B"/>
    <w:rsid w:val="3B082DE1"/>
    <w:rsid w:val="3EB26D88"/>
    <w:rsid w:val="40671DCB"/>
    <w:rsid w:val="40C03509"/>
    <w:rsid w:val="4A4831FA"/>
    <w:rsid w:val="4C030C69"/>
    <w:rsid w:val="50573AD2"/>
    <w:rsid w:val="5178029F"/>
    <w:rsid w:val="556A1102"/>
    <w:rsid w:val="5774562F"/>
    <w:rsid w:val="58514D81"/>
    <w:rsid w:val="5E5E5F4E"/>
    <w:rsid w:val="73252077"/>
    <w:rsid w:val="7372318C"/>
    <w:rsid w:val="75E87F4B"/>
    <w:rsid w:val="790F76AC"/>
    <w:rsid w:val="7EEC0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ody Text"/>
    <w:basedOn w:val="1"/>
    <w:semiHidden/>
    <w:qFormat/>
    <w:uiPriority w:val="0"/>
  </w:style>
  <w:style w:type="paragraph" w:styleId="4">
    <w:name w:val="Body Text Indent 2"/>
    <w:basedOn w:val="1"/>
    <w:link w:val="11"/>
    <w:qFormat/>
    <w:uiPriority w:val="0"/>
    <w:pPr>
      <w:spacing w:after="120" w:line="480" w:lineRule="auto"/>
      <w:ind w:left="420" w:leftChars="200"/>
    </w:pPr>
    <w:rPr>
      <w:szCs w:val="20"/>
    </w:rPr>
  </w:style>
  <w:style w:type="paragraph" w:styleId="5">
    <w:name w:val="Normal (Web)"/>
    <w:basedOn w:val="1"/>
    <w:qFormat/>
    <w:uiPriority w:val="0"/>
    <w:pPr>
      <w:spacing w:before="100" w:beforeAutospacing="1" w:after="100" w:afterAutospacing="1"/>
    </w:pPr>
    <w:rPr>
      <w:rFonts w:cs="Times New Roman"/>
      <w:sz w:val="24"/>
      <w:lang w:eastAsia="zh-CN"/>
    </w:rPr>
  </w:style>
  <w:style w:type="character" w:styleId="8">
    <w:name w:val="Strong"/>
    <w:basedOn w:val="7"/>
    <w:qFormat/>
    <w:uiPriority w:val="0"/>
    <w:rPr>
      <w:b/>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style>
  <w:style w:type="character" w:customStyle="1" w:styleId="11">
    <w:name w:val="正文文本缩进 2 Char"/>
    <w:link w:val="4"/>
    <w:autoRedefine/>
    <w:qFormat/>
    <w:uiPriority w:val="0"/>
    <w:rPr>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18</Pages>
  <Words>3752</Words>
  <Characters>3906</Characters>
  <Lines>55</Lines>
  <Paragraphs>15</Paragraphs>
  <TotalTime>4</TotalTime>
  <ScaleCrop>false</ScaleCrop>
  <LinksUpToDate>false</LinksUpToDate>
  <CharactersWithSpaces>4258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2026-05-11T03:40:24Z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82EF3B5B713A461EAD7CC1D03AFF31E6_13</vt:lpwstr>
  </property>
  <property fmtid="{D5CDD505-2E9C-101B-9397-08002B2CF9AE}" pid="4" name="KSOTemplateDocerSaveRecord">
    <vt:lpwstr>eyJoZGlkIjoiZjMxODI1ZDk1NTM3ZThjZDIyMDM0N2Q4Njc3ODMwMjMiLCJ1c2VySWQiOiIyNjI5MDY5MzEifQ==</vt:lpwstr>
  </property>
</Properties>
</file>