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ABEF9C">
      <w:pPr>
        <w:keepNext w:val="0"/>
        <w:keepLines w:val="0"/>
        <w:pageBreakBefore w:val="0"/>
        <w:kinsoku/>
        <w:wordWrap/>
        <w:overflowPunct/>
        <w:topLinePunct w:val="0"/>
        <w:autoSpaceDE/>
        <w:autoSpaceDN/>
        <w:bidi w:val="0"/>
        <w:adjustRightInd/>
        <w:snapToGrid/>
        <w:spacing w:line="480" w:lineRule="exact"/>
        <w:jc w:val="center"/>
        <w:rPr>
          <w:rFonts w:hint="eastAsia" w:ascii="宋体" w:hAnsi="宋体" w:eastAsia="宋体" w:cs="宋体"/>
          <w:sz w:val="28"/>
          <w:szCs w:val="28"/>
          <w:lang w:val="en-US" w:eastAsia="zh-CN"/>
        </w:rPr>
      </w:pPr>
      <w:r>
        <w:rPr>
          <w:rFonts w:hint="eastAsia" w:ascii="宋体" w:hAnsi="宋体" w:eastAsia="宋体" w:cs="宋体"/>
          <w:b/>
          <w:bCs/>
          <w:sz w:val="44"/>
          <w:szCs w:val="44"/>
          <w:lang w:eastAsia="zh-CN"/>
        </w:rPr>
        <w:t>中山市东升医院</w:t>
      </w:r>
      <w:r>
        <w:rPr>
          <w:rFonts w:hint="eastAsia" w:ascii="宋体" w:hAnsi="宋体" w:eastAsia="宋体" w:cs="宋体"/>
          <w:b/>
          <w:bCs/>
          <w:sz w:val="44"/>
          <w:szCs w:val="44"/>
          <w:lang w:val="en-US" w:eastAsia="zh-CN"/>
        </w:rPr>
        <w:t>2026-2028年度</w:t>
      </w:r>
      <w:r>
        <w:rPr>
          <w:rFonts w:hint="eastAsia" w:ascii="宋体" w:hAnsi="宋体" w:eastAsia="宋体" w:cs="宋体"/>
          <w:b/>
          <w:bCs/>
          <w:sz w:val="44"/>
          <w:szCs w:val="44"/>
        </w:rPr>
        <w:t>共享轮椅服务项目用户需求书</w:t>
      </w:r>
      <w:r>
        <w:rPr>
          <w:rFonts w:hint="eastAsia" w:ascii="宋体" w:hAnsi="宋体" w:eastAsia="宋体" w:cs="宋体"/>
          <w:b/>
          <w:bCs/>
          <w:sz w:val="44"/>
          <w:szCs w:val="44"/>
          <w:lang w:eastAsia="zh-CN"/>
        </w:rPr>
        <w:t>（暂定）</w:t>
      </w:r>
    </w:p>
    <w:p w14:paraId="3B82A693">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一、项目概述</w:t>
      </w:r>
    </w:p>
    <w:p w14:paraId="452DC44D">
      <w:pPr>
        <w:keepNext w:val="0"/>
        <w:keepLines w:val="0"/>
        <w:pageBreakBefore w:val="0"/>
        <w:kinsoku/>
        <w:wordWrap/>
        <w:overflowPunct/>
        <w:topLinePunct w:val="0"/>
        <w:autoSpaceDE/>
        <w:autoSpaceDN/>
        <w:bidi w:val="0"/>
        <w:adjustRightInd/>
        <w:snapToGrid/>
        <w:spacing w:line="480" w:lineRule="exact"/>
        <w:ind w:firstLine="560" w:firstLineChars="200"/>
        <w:jc w:val="left"/>
        <w:rPr>
          <w:rFonts w:hint="eastAsia" w:ascii="宋体" w:hAnsi="宋体" w:eastAsia="宋体" w:cs="宋体"/>
          <w:sz w:val="28"/>
          <w:szCs w:val="28"/>
        </w:rPr>
      </w:pPr>
      <w:r>
        <w:rPr>
          <w:rFonts w:hint="eastAsia" w:ascii="宋体" w:hAnsi="宋体" w:eastAsia="宋体" w:cs="宋体"/>
          <w:sz w:val="28"/>
          <w:szCs w:val="28"/>
        </w:rPr>
        <w:t>为进一步优化医院就医服务配套设施，改善患者就医体验，解决就诊群众临时轮椅使用需求，拟在医院指定区域引进共享轮椅便民服务项目。本项目采用场地租赁模式，医院提供投放场地，由供应商全额投资、投放设备、自主运营、自负盈亏，并全权负责设备全生命周期管理与维护。</w:t>
      </w:r>
    </w:p>
    <w:p w14:paraId="35999313">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二、合作模式</w:t>
      </w:r>
    </w:p>
    <w:p w14:paraId="60EEBD37">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场地支持：医院提供院内适宜场地（门诊大厅、急诊科门口、住院部入口等），供应商根据医院规划合理布设共享轮椅设备点位，保障服务覆盖全院主要诊疗区域。</w:t>
      </w:r>
    </w:p>
    <w:p w14:paraId="70B89988">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投资运营：</w:t>
      </w:r>
      <w:r>
        <w:rPr>
          <w:rFonts w:hint="eastAsia" w:ascii="宋体" w:hAnsi="宋体" w:eastAsia="宋体" w:cs="宋体"/>
          <w:sz w:val="28"/>
          <w:szCs w:val="28"/>
          <w:highlight w:val="none"/>
          <w:lang w:eastAsia="zh-CN"/>
        </w:rPr>
        <w:t>为方便患者使用，降低轮椅租借费用，减轻患者负担，采购人同意供应商在指定区域内投放共享轮椅，不收取供应商任何费用。</w:t>
      </w:r>
      <w:r>
        <w:rPr>
          <w:rFonts w:hint="eastAsia" w:ascii="宋体" w:hAnsi="宋体" w:eastAsia="宋体" w:cs="宋体"/>
          <w:sz w:val="28"/>
          <w:szCs w:val="28"/>
        </w:rPr>
        <w:t>由供应商全额出资提供符合国家标准的共享轮椅及配套智能租借设备（包含智能锁、扫码终端、归位桩等），设备产权归供应商所有。</w:t>
      </w:r>
    </w:p>
    <w:p w14:paraId="32F2724A">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（三）</w:t>
      </w:r>
      <w:r>
        <w:rPr>
          <w:rFonts w:hint="eastAsia" w:ascii="宋体" w:hAnsi="宋体" w:eastAsia="宋体" w:cs="宋体"/>
          <w:sz w:val="28"/>
          <w:szCs w:val="28"/>
        </w:rPr>
        <w:t>运营运维：供应商全权负责项目日常运营管理、设备安装调试、定期检修、清洁消毒、故障维修、损耗更换、点位调整等全部工作，保障设备全天候正常可用。医院不参与收益分成，不承担任何运营成本及经营风险。</w:t>
      </w:r>
    </w:p>
    <w:p w14:paraId="6B35B720">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b/>
          <w:bCs/>
          <w:sz w:val="28"/>
          <w:szCs w:val="28"/>
        </w:rPr>
        <w:t>三、服务期限</w:t>
      </w:r>
      <w:r>
        <w:rPr>
          <w:rFonts w:hint="eastAsia" w:ascii="宋体" w:hAnsi="宋体" w:eastAsia="宋体" w:cs="宋体"/>
          <w:b/>
          <w:bCs/>
          <w:sz w:val="28"/>
          <w:szCs w:val="28"/>
          <w:lang w:eastAsia="zh-CN"/>
        </w:rPr>
        <w:t>：</w:t>
      </w:r>
      <w:r>
        <w:rPr>
          <w:rFonts w:hint="eastAsia" w:ascii="宋体" w:hAnsi="宋体" w:eastAsia="宋体" w:cs="宋体"/>
          <w:sz w:val="28"/>
          <w:szCs w:val="28"/>
        </w:rPr>
        <w:t>服务期限为</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3</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年，</w:t>
      </w:r>
      <w:r>
        <w:rPr>
          <w:rFonts w:hint="eastAsia" w:ascii="宋体" w:hAnsi="宋体" w:eastAsia="宋体" w:cs="宋体"/>
          <w:sz w:val="28"/>
          <w:szCs w:val="28"/>
          <w:lang w:eastAsia="zh-CN"/>
        </w:rPr>
        <w:t>自合同</w:t>
      </w:r>
      <w:r>
        <w:rPr>
          <w:rFonts w:hint="eastAsia" w:ascii="宋体" w:hAnsi="宋体" w:eastAsia="宋体" w:cs="宋体"/>
          <w:sz w:val="28"/>
          <w:szCs w:val="28"/>
        </w:rPr>
        <w:t>签订</w:t>
      </w:r>
      <w:r>
        <w:rPr>
          <w:rFonts w:hint="eastAsia" w:ascii="宋体" w:hAnsi="宋体" w:eastAsia="宋体" w:cs="宋体"/>
          <w:sz w:val="28"/>
          <w:szCs w:val="28"/>
          <w:lang w:eastAsia="zh-CN"/>
        </w:rPr>
        <w:t>后起</w:t>
      </w:r>
      <w:r>
        <w:rPr>
          <w:rFonts w:hint="eastAsia" w:ascii="宋体" w:hAnsi="宋体" w:eastAsia="宋体" w:cs="宋体"/>
          <w:sz w:val="28"/>
          <w:szCs w:val="28"/>
        </w:rPr>
        <w:t>3年。合作期间，每年进行服务质量考核，若供应商出现违规运营、服务不达标、拒不整改等情况，医院有权单方面终止合同。</w:t>
      </w:r>
    </w:p>
    <w:p w14:paraId="797974B5">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四、投放数量与区域</w:t>
      </w:r>
    </w:p>
    <w:p w14:paraId="1B9EEC06">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共享轮椅首批投放约</w:t>
      </w:r>
      <w:r>
        <w:rPr>
          <w:rFonts w:hint="eastAsia" w:ascii="宋体" w:hAnsi="宋体" w:eastAsia="宋体" w:cs="宋体"/>
          <w:sz w:val="28"/>
          <w:szCs w:val="28"/>
          <w:lang w:val="en-US" w:eastAsia="zh-CN"/>
        </w:rPr>
        <w:t>15</w:t>
      </w:r>
      <w:r>
        <w:rPr>
          <w:rFonts w:hint="eastAsia" w:ascii="宋体" w:hAnsi="宋体" w:eastAsia="宋体" w:cs="宋体"/>
          <w:sz w:val="28"/>
          <w:szCs w:val="28"/>
        </w:rPr>
        <w:t>台，供应商须根据医院日均人流量测算，预留10%-20%备用设备应对高峰需求。</w:t>
      </w:r>
    </w:p>
    <w:p w14:paraId="494A51C5">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具体投放位置须经院方确认，不得占用消防通道、应急出口及诊疗通道。</w:t>
      </w:r>
    </w:p>
    <w:p w14:paraId="177EF51E">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五、设备技术要求</w:t>
      </w:r>
    </w:p>
    <w:p w14:paraId="33BED146">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共享轮椅</w:t>
      </w:r>
    </w:p>
    <w:p w14:paraId="47C5F297">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符合《GB/T 13800-2009 手动轮椅车》国家标准，并提供具有CMA/CNAS资质的第三方检测机构出具的检测报告；</w:t>
      </w:r>
    </w:p>
    <w:p w14:paraId="27465836">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可折叠、轻便承重（承重≥100kg），具备自动收合踏板、防滑设计及良好减震性能；</w:t>
      </w:r>
    </w:p>
    <w:p w14:paraId="13172BBB">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车架采用优质钢管焊接，表面防锈处理；坐垫采用牛津布/高密度海绵，抗拉力强、透气性好；</w:t>
      </w:r>
    </w:p>
    <w:p w14:paraId="54B1A691">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前轮采用环保塑料铸塑，后轮为免充气PU轮胎，配备肘节式刹车装置。</w:t>
      </w:r>
    </w:p>
    <w:p w14:paraId="6BD78A74">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归位桩/收纳架</w:t>
      </w:r>
    </w:p>
    <w:p w14:paraId="38A457C0">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支持多车位组合（1桩2椅至1桩5椅），采用4G/蓝牙双模通信方式；</w:t>
      </w:r>
    </w:p>
    <w:p w14:paraId="0166534F">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设备自带电池供电，续航≥3个月，禁止接入医院任何电源，确保零电费产生；</w:t>
      </w:r>
    </w:p>
    <w:p w14:paraId="2872293E">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安装无需打孔拉电线，可随时移动，不破坏医院原有地面、墙壁；</w:t>
      </w:r>
    </w:p>
    <w:p w14:paraId="15D1818F">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归位桩须具备身份识别技术（如RFID），防止用户作弊和错位归还。</w:t>
      </w:r>
    </w:p>
    <w:p w14:paraId="3AA83E68">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（三）</w:t>
      </w:r>
      <w:r>
        <w:rPr>
          <w:rFonts w:hint="eastAsia" w:ascii="宋体" w:hAnsi="宋体" w:eastAsia="宋体" w:cs="宋体"/>
          <w:sz w:val="28"/>
          <w:szCs w:val="28"/>
        </w:rPr>
        <w:t>智能租借系统</w:t>
      </w:r>
    </w:p>
    <w:p w14:paraId="7F11B646">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支持微信/支付宝扫码租借，无需下载APP，操作简便；</w:t>
      </w:r>
    </w:p>
    <w:p w14:paraId="5BED953B">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支持信用免押金租借（微信支付分/芝麻信用达标准即可免押）；</w:t>
      </w:r>
    </w:p>
    <w:p w14:paraId="23375EBC">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支持蓝牙/NB双模开锁、远程升级与管理，实现设备状态实时监控；</w:t>
      </w:r>
    </w:p>
    <w:p w14:paraId="7431BB79">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后台管理系统支持实时查看轮椅使用状态、位置分布、故障报修等数据，具备数据统计及异常预警功能；</w:t>
      </w:r>
    </w:p>
    <w:p w14:paraId="79DFCE1C">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共享设备除使用说明外，不得印有其他商业广告。</w:t>
      </w:r>
    </w:p>
    <w:p w14:paraId="0AF656E9">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六、收费标准</w:t>
      </w:r>
    </w:p>
    <w:p w14:paraId="12B5FC27">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押金规则</w:t>
      </w:r>
    </w:p>
    <w:p w14:paraId="087B23F8">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未开通免押服务的用户，押金最高不超过299元/次；</w:t>
      </w:r>
    </w:p>
    <w:p w14:paraId="5111D850">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满足信用免押条件的用户免收押金；</w:t>
      </w:r>
    </w:p>
    <w:p w14:paraId="3A57BAC0">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所有押金须交由正规第三方银行托管，专款专用，用户归还设备后须即时原路退还，不得以任何理由延迟。</w:t>
      </w:r>
    </w:p>
    <w:p w14:paraId="540163B3">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收费规则</w:t>
      </w: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398"/>
        <w:gridCol w:w="6122"/>
      </w:tblGrid>
      <w:tr w14:paraId="16088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5811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项目</w:t>
            </w:r>
          </w:p>
        </w:tc>
        <w:tc>
          <w:tcPr>
            <w:tcW w:w="35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BEB8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标准</w:t>
            </w:r>
          </w:p>
        </w:tc>
      </w:tr>
      <w:tr w14:paraId="14B65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3C91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免费时长</w:t>
            </w:r>
          </w:p>
        </w:tc>
        <w:tc>
          <w:tcPr>
            <w:tcW w:w="35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04C7B">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每天免费使用时间</w:t>
            </w:r>
            <w:r>
              <w:rPr>
                <w:rFonts w:hint="default" w:ascii="Arial" w:hAnsi="Arial" w:eastAsia="宋体" w:cs="Arial"/>
                <w:i w:val="0"/>
                <w:iCs w:val="0"/>
                <w:color w:val="000000"/>
                <w:kern w:val="0"/>
                <w:sz w:val="28"/>
                <w:szCs w:val="28"/>
                <w:u w:val="none"/>
                <w:lang w:val="en-US" w:eastAsia="zh-CN" w:bidi="ar"/>
              </w:rPr>
              <w:t>≥</w:t>
            </w:r>
            <w:r>
              <w:rPr>
                <w:rFonts w:hint="eastAsia" w:ascii="宋体" w:hAnsi="宋体" w:eastAsia="宋体" w:cs="宋体"/>
                <w:i w:val="0"/>
                <w:iCs w:val="0"/>
                <w:color w:val="000000"/>
                <w:kern w:val="0"/>
                <w:sz w:val="28"/>
                <w:szCs w:val="28"/>
                <w:u w:val="none"/>
                <w:lang w:val="en-US" w:eastAsia="zh-CN" w:bidi="ar"/>
              </w:rPr>
              <w:t>60分钟</w:t>
            </w:r>
          </w:p>
        </w:tc>
      </w:tr>
      <w:tr w14:paraId="6302C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4201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超时收费</w:t>
            </w:r>
          </w:p>
        </w:tc>
        <w:tc>
          <w:tcPr>
            <w:tcW w:w="35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89E3">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免费时段结束后,租金</w:t>
            </w:r>
            <w:r>
              <w:rPr>
                <w:rFonts w:hint="default" w:ascii="Arial" w:hAnsi="Arial" w:eastAsia="宋体" w:cs="Arial"/>
                <w:i w:val="0"/>
                <w:iCs w:val="0"/>
                <w:color w:val="000000"/>
                <w:kern w:val="0"/>
                <w:sz w:val="28"/>
                <w:szCs w:val="28"/>
                <w:u w:val="none"/>
                <w:lang w:val="en-US" w:eastAsia="zh-CN" w:bidi="ar"/>
              </w:rPr>
              <w:t>≤</w:t>
            </w:r>
            <w:r>
              <w:rPr>
                <w:rFonts w:hint="eastAsia" w:ascii="Arial" w:hAnsi="Arial" w:eastAsia="宋体" w:cs="Arial"/>
                <w:i w:val="0"/>
                <w:iCs w:val="0"/>
                <w:color w:val="000000"/>
                <w:kern w:val="0"/>
                <w:sz w:val="28"/>
                <w:szCs w:val="28"/>
                <w:u w:val="none"/>
                <w:lang w:val="en-US" w:eastAsia="zh-CN" w:bidi="ar"/>
              </w:rPr>
              <w:t xml:space="preserve"> </w:t>
            </w:r>
            <w:r>
              <w:rPr>
                <w:rFonts w:hint="eastAsia" w:ascii="宋体" w:hAnsi="宋体" w:eastAsia="宋体" w:cs="宋体"/>
                <w:i w:val="0"/>
                <w:iCs w:val="0"/>
                <w:color w:val="000000"/>
                <w:kern w:val="0"/>
                <w:sz w:val="28"/>
                <w:szCs w:val="28"/>
                <w:u w:val="none"/>
                <w:lang w:val="en-US" w:eastAsia="zh-CN" w:bidi="ar"/>
              </w:rPr>
              <w:t>5元/小时，不足1小时按1小时计费</w:t>
            </w:r>
            <w:bookmarkStart w:id="0" w:name="_GoBack"/>
            <w:bookmarkEnd w:id="0"/>
          </w:p>
        </w:tc>
      </w:tr>
      <w:tr w14:paraId="6F0DB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BF3E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单日封顶</w:t>
            </w:r>
          </w:p>
        </w:tc>
        <w:tc>
          <w:tcPr>
            <w:tcW w:w="35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6552F">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24小时内最高收费不超过每小时收费×10</w:t>
            </w:r>
          </w:p>
        </w:tc>
      </w:tr>
    </w:tbl>
    <w:p w14:paraId="3A173041">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rPr>
        <w:t>供应商不得擅自调价、增设收费项目，收费标准须报院方审核同意后公示执行。</w:t>
      </w:r>
    </w:p>
    <w:p w14:paraId="48AE6A15">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七、供应商资格要求</w:t>
      </w:r>
    </w:p>
    <w:p w14:paraId="272668A1">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在中华人民共和国境内注册，具有独立法人资格，营业执照经营范围含相关经营项目；</w:t>
      </w:r>
    </w:p>
    <w:p w14:paraId="03501B6F">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具有良好的商业信誉和健全的财务会计制度；</w:t>
      </w:r>
    </w:p>
    <w:p w14:paraId="296EB6F8">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（三）</w:t>
      </w:r>
      <w:r>
        <w:rPr>
          <w:rFonts w:hint="eastAsia" w:ascii="宋体" w:hAnsi="宋体" w:eastAsia="宋体" w:cs="宋体"/>
          <w:sz w:val="28"/>
          <w:szCs w:val="28"/>
        </w:rPr>
        <w:t>具有依法缴纳税收和社会保障资金的良好记录；</w:t>
      </w:r>
    </w:p>
    <w:p w14:paraId="50703702">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（四）</w:t>
      </w:r>
      <w:r>
        <w:rPr>
          <w:rFonts w:hint="eastAsia" w:ascii="宋体" w:hAnsi="宋体" w:eastAsia="宋体" w:cs="宋体"/>
          <w:sz w:val="28"/>
          <w:szCs w:val="28"/>
        </w:rPr>
        <w:t>参加采购活动前3年内，在经营活动中没有重大违法记录（提供承诺函及信用中国查询截图）；</w:t>
      </w:r>
    </w:p>
    <w:p w14:paraId="7534877F">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（五）</w:t>
      </w:r>
      <w:r>
        <w:rPr>
          <w:rFonts w:hint="eastAsia" w:ascii="宋体" w:hAnsi="宋体" w:eastAsia="宋体" w:cs="宋体"/>
          <w:sz w:val="28"/>
          <w:szCs w:val="28"/>
        </w:rPr>
        <w:t>具备同类医院共享轮椅项目运营经验，提供近2年医院合作案例及合同复印件优先；</w:t>
      </w:r>
    </w:p>
    <w:p w14:paraId="300DD67C">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（六）</w:t>
      </w:r>
      <w:r>
        <w:rPr>
          <w:rFonts w:hint="eastAsia" w:ascii="宋体" w:hAnsi="宋体" w:eastAsia="宋体" w:cs="宋体"/>
          <w:sz w:val="28"/>
          <w:szCs w:val="28"/>
        </w:rPr>
        <w:t>具备履行合同所必需的设备和专业技术能力，具有完善的售后服务体系。</w:t>
      </w:r>
    </w:p>
    <w:p w14:paraId="0F4A48A5">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八、服务要求</w:t>
      </w:r>
    </w:p>
    <w:p w14:paraId="39C70BCA">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日常运维</w:t>
      </w:r>
    </w:p>
    <w:p w14:paraId="76159C6B">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供应商须配备专职运维人员，建立7×24小时运维服务机制；</w:t>
      </w:r>
    </w:p>
    <w:p w14:paraId="6379B31C">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每月至少安排一次全面巡检，检查轮椅刹车系统、车轮、折叠机构等关键部件，及时更换老化损坏零件，确保设备性能完好；</w:t>
      </w:r>
    </w:p>
    <w:p w14:paraId="4B88AB6A">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建立设备维护档案，记录每次维修保养的时间、内容及更换部件型号。</w:t>
      </w:r>
    </w:p>
    <w:p w14:paraId="3A9827CA">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清洁消毒</w:t>
      </w:r>
    </w:p>
    <w:p w14:paraId="04AF6547">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每日对轮椅进行清洁消毒，重点清洁座椅、扶手、脚踏板等高频接触部位，严格执行医院院感管理要求；</w:t>
      </w:r>
    </w:p>
    <w:p w14:paraId="11611D1F">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消毒后张贴“已消毒”标识及消毒时间，消毒记录需留存备查；</w:t>
      </w:r>
    </w:p>
    <w:p w14:paraId="14AF33EF">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如轮椅有大面积污损，供应商须及时更换为新轮椅。</w:t>
      </w:r>
    </w:p>
    <w:p w14:paraId="3220DBFC">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（三）</w:t>
      </w:r>
      <w:r>
        <w:rPr>
          <w:rFonts w:hint="eastAsia" w:ascii="宋体" w:hAnsi="宋体" w:eastAsia="宋体" w:cs="宋体"/>
          <w:sz w:val="28"/>
          <w:szCs w:val="28"/>
        </w:rPr>
        <w:t>客服与投诉处理</w:t>
      </w:r>
    </w:p>
    <w:p w14:paraId="1716E2F6">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设立7×24小时客服专线，及时响应患者及家属的咨询、投诉及求助；</w:t>
      </w:r>
    </w:p>
    <w:p w14:paraId="2478952A">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用户问题30分钟内响应，简单问题1小时内解决，复杂问题24小时内提供解决方案；</w:t>
      </w:r>
    </w:p>
    <w:p w14:paraId="36D17388">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用户反馈处理结果须同步反馈给院方及当事人。</w:t>
      </w:r>
    </w:p>
    <w:p w14:paraId="3A2EA463">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（四）</w:t>
      </w:r>
      <w:r>
        <w:rPr>
          <w:rFonts w:hint="eastAsia" w:ascii="宋体" w:hAnsi="宋体" w:eastAsia="宋体" w:cs="宋体"/>
          <w:sz w:val="28"/>
          <w:szCs w:val="28"/>
        </w:rPr>
        <w:t>故障响应</w:t>
      </w:r>
    </w:p>
    <w:p w14:paraId="4109D273">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接到故障通知后，30分钟内到达现场（医院内），1小时内到达（周边）；</w:t>
      </w:r>
    </w:p>
    <w:p w14:paraId="22AF27B3">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一般故障修复时间不超过2小时，特殊情况不超过24小时；</w:t>
      </w:r>
    </w:p>
    <w:p w14:paraId="2662C6A1">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维修时携带备用设备替换故障设备，确保服务不中断。</w:t>
      </w:r>
    </w:p>
    <w:p w14:paraId="4195D7CF">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九、安全与责任</w:t>
      </w:r>
    </w:p>
    <w:p w14:paraId="605BAD86">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保险保障：供应商须购买足额的公众责任险（保额不低于100万元）和产品责任险，承保范围须覆盖设备运营期间可能造成的人身伤害或财产损失，并将保单提交院方备案。所投保的产品责任险覆盖不足的部分由供应商自行承担。</w:t>
      </w:r>
    </w:p>
    <w:p w14:paraId="4C3B2838">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安全责任：供应商对设备质量、用电安全、消防安全、人身财产安全负全部法律与经济责任。因设备质量问题导致用户受伤的，由供应商承担全部赔偿责任。院方对所投放的共享轮椅及归位桩的运营风险不承担任何法律责任。</w:t>
      </w:r>
    </w:p>
    <w:p w14:paraId="5B62AD39">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（三）</w:t>
      </w:r>
      <w:r>
        <w:rPr>
          <w:rFonts w:hint="eastAsia" w:ascii="宋体" w:hAnsi="宋体" w:eastAsia="宋体" w:cs="宋体"/>
          <w:sz w:val="28"/>
          <w:szCs w:val="28"/>
        </w:rPr>
        <w:t>纠纷处理：运营期间发生设备故障、人身伤害、消费纠纷等，均由供应商全权处理并承担费用。</w:t>
      </w:r>
    </w:p>
    <w:p w14:paraId="3A519E26">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（四）</w:t>
      </w:r>
      <w:r>
        <w:rPr>
          <w:rFonts w:hint="eastAsia" w:ascii="宋体" w:hAnsi="宋体" w:eastAsia="宋体" w:cs="宋体"/>
          <w:sz w:val="28"/>
          <w:szCs w:val="28"/>
        </w:rPr>
        <w:t>配合义务：医院因院区改造、科室调整、政策要求需调整/拆除设备时，供应商须无条件配合，不追究医院违约责任。</w:t>
      </w:r>
    </w:p>
    <w:p w14:paraId="127FCF51">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（五）</w:t>
      </w:r>
      <w:r>
        <w:rPr>
          <w:rFonts w:hint="eastAsia" w:ascii="宋体" w:hAnsi="宋体" w:eastAsia="宋体" w:cs="宋体"/>
          <w:sz w:val="28"/>
          <w:szCs w:val="28"/>
        </w:rPr>
        <w:t>安全承诺：锂电池须采用符合国家标准的电池，不得因电池问题引发冒烟、起火、爆炸等安全隐患；供应商须提供锂电池的安全检测报告（CMA/CNAS认证）及产品合格证书。</w:t>
      </w:r>
    </w:p>
    <w:p w14:paraId="6DF87CC8">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十、考核机制</w:t>
      </w:r>
    </w:p>
    <w:p w14:paraId="36423A1E">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医院每季度对供应商服务质量进行评价考核；</w:t>
      </w:r>
    </w:p>
    <w:p w14:paraId="5B58C1B5">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考核内容包括设备完好率、清洁消毒执行情况、故障响应时效、用户投诉处理等；</w:t>
      </w:r>
    </w:p>
    <w:p w14:paraId="365A04B4">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（三）</w:t>
      </w:r>
      <w:r>
        <w:rPr>
          <w:rFonts w:hint="eastAsia" w:ascii="宋体" w:hAnsi="宋体" w:eastAsia="宋体" w:cs="宋体"/>
          <w:sz w:val="28"/>
          <w:szCs w:val="28"/>
        </w:rPr>
        <w:t>设备完好率须不低于95%；</w:t>
      </w:r>
    </w:p>
    <w:p w14:paraId="19F93121">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（四）</w:t>
      </w:r>
      <w:r>
        <w:rPr>
          <w:rFonts w:hint="eastAsia" w:ascii="宋体" w:hAnsi="宋体" w:eastAsia="宋体" w:cs="宋体"/>
          <w:sz w:val="28"/>
          <w:szCs w:val="28"/>
        </w:rPr>
        <w:t>若连续两个季度考核不合格，医院有权单方面解除合同，履约保证金不予退还。</w:t>
      </w:r>
    </w:p>
    <w:p w14:paraId="63D1CB29">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十一、费用与结算</w:t>
      </w:r>
    </w:p>
    <w:p w14:paraId="358C33E7">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费用承担：</w:t>
      </w:r>
      <w:r>
        <w:rPr>
          <w:rFonts w:hint="eastAsia" w:ascii="宋体" w:hAnsi="宋体" w:eastAsia="宋体" w:cs="宋体"/>
          <w:sz w:val="28"/>
          <w:szCs w:val="28"/>
          <w:highlight w:val="none"/>
          <w:lang w:eastAsia="zh-CN"/>
        </w:rPr>
        <w:t>为方便患者使用，降低轮椅租借费用，减轻患者负担，采购人同意供应商在指定区域内投放共享轮椅，不收取供应商任何费用。</w:t>
      </w:r>
      <w:r>
        <w:rPr>
          <w:rFonts w:hint="eastAsia" w:ascii="宋体" w:hAnsi="宋体" w:eastAsia="宋体" w:cs="宋体"/>
          <w:sz w:val="28"/>
          <w:szCs w:val="28"/>
        </w:rPr>
        <w:t>供应商负责设备投放、运维、清洁消毒、维修更换、保险、人员等全部成本；</w:t>
      </w:r>
    </w:p>
    <w:p w14:paraId="1C858DE1">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水电费用：若供应商需要外接电源，医院可配合提供，但供应商须安装独立电表并按实际用量缴纳电费；</w:t>
      </w:r>
    </w:p>
    <w:p w14:paraId="0D090E7B">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（三）</w:t>
      </w:r>
      <w:r>
        <w:rPr>
          <w:rFonts w:hint="eastAsia" w:ascii="宋体" w:hAnsi="宋体" w:eastAsia="宋体" w:cs="宋体"/>
          <w:sz w:val="28"/>
          <w:szCs w:val="28"/>
        </w:rPr>
        <w:t>履约保证金：合同签订后5个工作日内，供应商须向医院缴纳履约保证金5000元，合同期满无违约则无息退还。</w:t>
      </w:r>
    </w:p>
    <w:p w14:paraId="328773CD">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rPr>
        <w:t>十二、其他约定</w:t>
      </w:r>
    </w:p>
    <w:p w14:paraId="62609511">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（一）</w:t>
      </w:r>
      <w:r>
        <w:rPr>
          <w:rFonts w:hint="eastAsia" w:ascii="宋体" w:hAnsi="宋体" w:eastAsia="宋体" w:cs="宋体"/>
          <w:sz w:val="28"/>
          <w:szCs w:val="28"/>
        </w:rPr>
        <w:t>保密义务：供应商不得泄露在合作中获取的患者信息及医院商业信息，不得过度收集个人信息，仅留存必要的身份验证和使用记录数据，且数据存储符合信息安全等级保护要求。</w:t>
      </w:r>
    </w:p>
    <w:p w14:paraId="51D05FE7">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（二）</w:t>
      </w:r>
      <w:r>
        <w:rPr>
          <w:rFonts w:hint="eastAsia" w:ascii="宋体" w:hAnsi="宋体" w:eastAsia="宋体" w:cs="宋体"/>
          <w:sz w:val="28"/>
          <w:szCs w:val="28"/>
        </w:rPr>
        <w:t>变更管理：如需调整投放点位或收费标准，须提前至少10个工作日向院方提交书面申请，经批准后方可执行。</w:t>
      </w:r>
    </w:p>
    <w:p w14:paraId="73F490E3">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（三）</w:t>
      </w:r>
      <w:r>
        <w:rPr>
          <w:rFonts w:hint="eastAsia" w:ascii="宋体" w:hAnsi="宋体" w:eastAsia="宋体" w:cs="宋体"/>
          <w:sz w:val="28"/>
          <w:szCs w:val="28"/>
        </w:rPr>
        <w:t>退出机制：合同期满或提前终止，供应商须在10日内完成撤场，未在规定时间内撤场的，超出时间按日支付场地占用费。</w:t>
      </w:r>
    </w:p>
    <w:p w14:paraId="2F9EEE61">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r>
        <w:rPr>
          <w:rFonts w:hint="eastAsia" w:ascii="宋体" w:hAnsi="宋体" w:eastAsia="宋体" w:cs="宋体"/>
          <w:sz w:val="28"/>
          <w:szCs w:val="28"/>
          <w:lang w:eastAsia="zh-CN"/>
        </w:rPr>
        <w:t>（四）</w:t>
      </w:r>
      <w:r>
        <w:rPr>
          <w:rFonts w:hint="eastAsia" w:ascii="宋体" w:hAnsi="宋体" w:eastAsia="宋体" w:cs="宋体"/>
          <w:sz w:val="28"/>
          <w:szCs w:val="28"/>
        </w:rPr>
        <w:t>不可抗力：因不可抗力导致服务无法正常开展，双方及时沟通协商解决，互不承担违约责任。</w:t>
      </w:r>
    </w:p>
    <w:p w14:paraId="361DE69C">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附件一、服务考核标准：</w:t>
      </w: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9"/>
        <w:gridCol w:w="1391"/>
        <w:gridCol w:w="2638"/>
        <w:gridCol w:w="2145"/>
        <w:gridCol w:w="546"/>
        <w:gridCol w:w="493"/>
        <w:gridCol w:w="827"/>
      </w:tblGrid>
      <w:tr w14:paraId="78264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721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AB0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考核项目</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149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考核内容与标准</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016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评分标准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BAD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B50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1CF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62BD2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131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5E7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设备完好率</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064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设备完好率须不低于95%</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847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每低于1%扣2分，低于90%该项不得分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D29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C5E40">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3984B">
            <w:pPr>
              <w:jc w:val="center"/>
              <w:rPr>
                <w:rFonts w:hint="eastAsia" w:ascii="宋体" w:hAnsi="宋体" w:eastAsia="宋体" w:cs="宋体"/>
                <w:i w:val="0"/>
                <w:iCs w:val="0"/>
                <w:color w:val="000000"/>
                <w:sz w:val="22"/>
                <w:szCs w:val="22"/>
                <w:u w:val="none"/>
              </w:rPr>
            </w:pPr>
          </w:p>
        </w:tc>
      </w:tr>
      <w:tr w14:paraId="463A3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EB4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4D5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设备投放与布局</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2B3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按院方确认点位投放，不占用消防通道、应急出口及诊疗通道；高峰需求有10%-20%备用设备</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A3E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发现1处违规扣2分；备用设备不足扣3分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6A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606BF">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0F759">
            <w:pPr>
              <w:jc w:val="center"/>
              <w:rPr>
                <w:rFonts w:hint="eastAsia" w:ascii="宋体" w:hAnsi="宋体" w:eastAsia="宋体" w:cs="宋体"/>
                <w:i w:val="0"/>
                <w:iCs w:val="0"/>
                <w:color w:val="000000"/>
                <w:sz w:val="22"/>
                <w:szCs w:val="22"/>
                <w:u w:val="none"/>
              </w:rPr>
            </w:pPr>
          </w:p>
        </w:tc>
      </w:tr>
      <w:tr w14:paraId="631DE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639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53A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日常巡检与维护</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FFB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每月至少一次全面巡检，检查刹车、车轮、折叠机构等；建立维护档案</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26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缺1次巡检扣2分；无维护档案扣3分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E8D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1B2BF">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711D7">
            <w:pPr>
              <w:jc w:val="center"/>
              <w:rPr>
                <w:rFonts w:hint="eastAsia" w:ascii="宋体" w:hAnsi="宋体" w:eastAsia="宋体" w:cs="宋体"/>
                <w:i w:val="0"/>
                <w:iCs w:val="0"/>
                <w:color w:val="000000"/>
                <w:sz w:val="22"/>
                <w:szCs w:val="22"/>
                <w:u w:val="none"/>
              </w:rPr>
            </w:pPr>
          </w:p>
        </w:tc>
      </w:tr>
      <w:tr w14:paraId="21149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37C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BE3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清洁消毒</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526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每日清洁消毒，重点部位符合院感要求；张贴“已消毒”标识及时间；记录留存备查</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DAA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缺1次消毒扣1分；无标识或记录扣2分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F69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18001">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C022C">
            <w:pPr>
              <w:jc w:val="center"/>
              <w:rPr>
                <w:rFonts w:hint="eastAsia" w:ascii="宋体" w:hAnsi="宋体" w:eastAsia="宋体" w:cs="宋体"/>
                <w:i w:val="0"/>
                <w:iCs w:val="0"/>
                <w:color w:val="000000"/>
                <w:sz w:val="22"/>
                <w:szCs w:val="22"/>
                <w:u w:val="none"/>
              </w:rPr>
            </w:pPr>
          </w:p>
        </w:tc>
      </w:tr>
      <w:tr w14:paraId="6F61C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663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F25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故障响应与修复</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51B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院内30分钟到场，周边1小时；一般故障2小时内修复，特殊不超过24小时；维修时提供备用设备</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327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超时1次扣2分；未提供备用设备扣3分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84B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A32E7">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5B929">
            <w:pPr>
              <w:jc w:val="center"/>
              <w:rPr>
                <w:rFonts w:hint="eastAsia" w:ascii="宋体" w:hAnsi="宋体" w:eastAsia="宋体" w:cs="宋体"/>
                <w:i w:val="0"/>
                <w:iCs w:val="0"/>
                <w:color w:val="000000"/>
                <w:sz w:val="22"/>
                <w:szCs w:val="22"/>
                <w:u w:val="none"/>
              </w:rPr>
            </w:pPr>
          </w:p>
        </w:tc>
      </w:tr>
      <w:tr w14:paraId="7A1D6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BB8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65A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客服与投诉处理</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210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7×24小时客服专线；30分钟内响应，1小时内解决简单问题，24小时内提供复杂问题方案；结果反馈院方及当事人</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795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超时1次扣2分；未反馈扣1分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39E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BB4B6">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04C14">
            <w:pPr>
              <w:jc w:val="center"/>
              <w:rPr>
                <w:rFonts w:hint="eastAsia" w:ascii="宋体" w:hAnsi="宋体" w:eastAsia="宋体" w:cs="宋体"/>
                <w:i w:val="0"/>
                <w:iCs w:val="0"/>
                <w:color w:val="000000"/>
                <w:sz w:val="22"/>
                <w:szCs w:val="22"/>
                <w:u w:val="none"/>
              </w:rPr>
            </w:pPr>
          </w:p>
        </w:tc>
      </w:tr>
      <w:tr w14:paraId="63D34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93E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AB1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收费与押金管理</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AF1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严格执行报备收费标准；押金第三方托管，归还后即时原路退还；无擅自调价或增设收费项目</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816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发现1次违规扣5分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F61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E2E77">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4E0F0">
            <w:pPr>
              <w:jc w:val="center"/>
              <w:rPr>
                <w:rFonts w:hint="eastAsia" w:ascii="宋体" w:hAnsi="宋体" w:eastAsia="宋体" w:cs="宋体"/>
                <w:i w:val="0"/>
                <w:iCs w:val="0"/>
                <w:color w:val="000000"/>
                <w:sz w:val="22"/>
                <w:szCs w:val="22"/>
                <w:u w:val="none"/>
              </w:rPr>
            </w:pPr>
          </w:p>
        </w:tc>
      </w:tr>
      <w:tr w14:paraId="63E01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E63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67C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安全与保险</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93B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购买公众责任险（≥100万元）和产品责任险；锂电池符合国家标准并提供检测报告；无安全事故</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166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未投保或保额不足扣5分；发生安全事故该项不得分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70B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A1043">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076DE">
            <w:pPr>
              <w:jc w:val="center"/>
              <w:rPr>
                <w:rFonts w:hint="eastAsia" w:ascii="宋体" w:hAnsi="宋体" w:eastAsia="宋体" w:cs="宋体"/>
                <w:i w:val="0"/>
                <w:iCs w:val="0"/>
                <w:color w:val="000000"/>
                <w:sz w:val="22"/>
                <w:szCs w:val="22"/>
                <w:u w:val="none"/>
              </w:rPr>
            </w:pPr>
          </w:p>
        </w:tc>
      </w:tr>
      <w:tr w14:paraId="15C22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171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BD2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数据与信息管理</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3D9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后台系统实时监控设备状态、位置、故障；数据存储符合信息安全等级保护要求；无患者信息泄露</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60C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发现1次数据泄露或系统异常扣5分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E34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4D94E">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A881B">
            <w:pPr>
              <w:jc w:val="center"/>
              <w:rPr>
                <w:rFonts w:hint="eastAsia" w:ascii="宋体" w:hAnsi="宋体" w:eastAsia="宋体" w:cs="宋体"/>
                <w:i w:val="0"/>
                <w:iCs w:val="0"/>
                <w:color w:val="000000"/>
                <w:sz w:val="22"/>
                <w:szCs w:val="22"/>
                <w:u w:val="none"/>
              </w:rPr>
            </w:pPr>
          </w:p>
        </w:tc>
      </w:tr>
      <w:tr w14:paraId="51C2F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CBF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12C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配合与变更管理</w:t>
            </w: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04C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配合院方调整/拆除设备；变更点位或收费标准提前10个工作日书面申请</w:t>
            </w: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9C2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不配合1次扣3分；未申请擅自变更扣5分</w:t>
            </w: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E95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AF9B5">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367FD">
            <w:pPr>
              <w:jc w:val="center"/>
              <w:rPr>
                <w:rFonts w:hint="eastAsia" w:ascii="宋体" w:hAnsi="宋体" w:eastAsia="宋体" w:cs="宋体"/>
                <w:i w:val="0"/>
                <w:iCs w:val="0"/>
                <w:color w:val="000000"/>
                <w:sz w:val="22"/>
                <w:szCs w:val="22"/>
                <w:u w:val="none"/>
              </w:rPr>
            </w:pPr>
          </w:p>
        </w:tc>
      </w:tr>
      <w:tr w14:paraId="263D9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C26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D1124">
            <w:pPr>
              <w:jc w:val="center"/>
              <w:rPr>
                <w:rFonts w:hint="eastAsia" w:ascii="宋体" w:hAnsi="宋体" w:eastAsia="宋体" w:cs="宋体"/>
                <w:i w:val="0"/>
                <w:iCs w:val="0"/>
                <w:color w:val="000000"/>
                <w:sz w:val="22"/>
                <w:szCs w:val="22"/>
                <w:u w:val="none"/>
              </w:rPr>
            </w:pPr>
          </w:p>
        </w:tc>
        <w:tc>
          <w:tcPr>
            <w:tcW w:w="1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2CC1C">
            <w:pPr>
              <w:jc w:val="center"/>
              <w:rPr>
                <w:rFonts w:hint="eastAsia" w:ascii="宋体" w:hAnsi="宋体" w:eastAsia="宋体" w:cs="宋体"/>
                <w:i w:val="0"/>
                <w:iCs w:val="0"/>
                <w:color w:val="000000"/>
                <w:sz w:val="22"/>
                <w:szCs w:val="22"/>
                <w:u w:val="none"/>
              </w:rPr>
            </w:pPr>
          </w:p>
        </w:tc>
        <w:tc>
          <w:tcPr>
            <w:tcW w:w="1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2AA98">
            <w:pPr>
              <w:jc w:val="center"/>
              <w:rPr>
                <w:rFonts w:hint="eastAsia" w:ascii="宋体" w:hAnsi="宋体" w:eastAsia="宋体" w:cs="宋体"/>
                <w:i w:val="0"/>
                <w:iCs w:val="0"/>
                <w:color w:val="000000"/>
                <w:sz w:val="22"/>
                <w:szCs w:val="22"/>
                <w:u w:val="none"/>
              </w:rPr>
            </w:pPr>
          </w:p>
        </w:tc>
        <w:tc>
          <w:tcPr>
            <w:tcW w:w="3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E55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B13DD">
            <w:pPr>
              <w:jc w:val="center"/>
              <w:rPr>
                <w:rFonts w:hint="eastAsia" w:ascii="宋体" w:hAnsi="宋体" w:eastAsia="宋体" w:cs="宋体"/>
                <w:i w:val="0"/>
                <w:iCs w:val="0"/>
                <w:color w:val="000000"/>
                <w:sz w:val="22"/>
                <w:szCs w:val="22"/>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CB278">
            <w:pPr>
              <w:jc w:val="center"/>
              <w:rPr>
                <w:rFonts w:hint="eastAsia" w:ascii="宋体" w:hAnsi="宋体" w:eastAsia="宋体" w:cs="宋体"/>
                <w:i w:val="0"/>
                <w:iCs w:val="0"/>
                <w:color w:val="000000"/>
                <w:sz w:val="22"/>
                <w:szCs w:val="22"/>
                <w:u w:val="none"/>
              </w:rPr>
            </w:pPr>
          </w:p>
        </w:tc>
      </w:tr>
    </w:tbl>
    <w:p w14:paraId="173449CD">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lang w:eastAsia="zh-CN"/>
        </w:rPr>
      </w:pPr>
    </w:p>
    <w:p w14:paraId="7CC0747A">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附件二、评分标准：</w:t>
      </w: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9"/>
        <w:gridCol w:w="706"/>
        <w:gridCol w:w="1234"/>
        <w:gridCol w:w="771"/>
        <w:gridCol w:w="2886"/>
        <w:gridCol w:w="1805"/>
        <w:gridCol w:w="648"/>
      </w:tblGrid>
      <w:tr w14:paraId="724CD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BAA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873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评分类别</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EC8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评分项</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7A9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6B3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评分细则</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486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评分依据</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E53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r>
      <w:tr w14:paraId="0C2CB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0A6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CE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价格评分（20分）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700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设备租赁费报价</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F6B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F47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满足要求且报价最低为基准价，得20分；价格得分=（基准价/投标报价）×20</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FF5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投标报价表</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C13FC">
            <w:pPr>
              <w:jc w:val="center"/>
              <w:rPr>
                <w:rFonts w:hint="eastAsia" w:ascii="宋体" w:hAnsi="宋体" w:eastAsia="宋体" w:cs="宋体"/>
                <w:i w:val="0"/>
                <w:iCs w:val="0"/>
                <w:color w:val="000000"/>
                <w:sz w:val="22"/>
                <w:szCs w:val="22"/>
                <w:u w:val="none"/>
              </w:rPr>
            </w:pPr>
          </w:p>
        </w:tc>
      </w:tr>
      <w:tr w14:paraId="7FC29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BDA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133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商务评分（30分）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DA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企业资质与信誉</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8A9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98E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1.经营范围含相关项目（2分）；2.独立法人（1分）；3.无重大违法记录承诺函及信用中国截图（2分）；4.健全财务制度、缴税及社保记录（3分）</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A2D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营业执照、承诺函、信用截图、财务及社保材料</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FFC86">
            <w:pPr>
              <w:jc w:val="center"/>
              <w:rPr>
                <w:rFonts w:hint="eastAsia" w:ascii="宋体" w:hAnsi="宋体" w:eastAsia="宋体" w:cs="宋体"/>
                <w:i w:val="0"/>
                <w:iCs w:val="0"/>
                <w:color w:val="000000"/>
                <w:sz w:val="22"/>
                <w:szCs w:val="22"/>
                <w:u w:val="none"/>
              </w:rPr>
            </w:pPr>
          </w:p>
        </w:tc>
      </w:tr>
      <w:tr w14:paraId="0B3FB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250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17E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商务评分（30分）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E18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同类项目经验</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1E2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32C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1.近3年医院合作案例及合同，每份2分，最高10分；</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F22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合同复印件、案例清单</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5BA62">
            <w:pPr>
              <w:jc w:val="center"/>
              <w:rPr>
                <w:rFonts w:hint="eastAsia" w:ascii="宋体" w:hAnsi="宋体" w:eastAsia="宋体" w:cs="宋体"/>
                <w:i w:val="0"/>
                <w:iCs w:val="0"/>
                <w:color w:val="000000"/>
                <w:sz w:val="22"/>
                <w:szCs w:val="22"/>
                <w:u w:val="none"/>
              </w:rPr>
            </w:pPr>
          </w:p>
        </w:tc>
      </w:tr>
      <w:tr w14:paraId="7AF40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DFA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8F6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商务评分（30分）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EEB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售后服务与运维能力</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7A6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E1A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1.7×24小时运维机制（2分）；2.专职运维人员名单及职责（2分）；3.维护档案模板及巡检计划（2分）；4.客服专线及投诉处理流程（2分）；5.故障响应机制及备用设备方案（2分）</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C60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运维方案、人员名单、制度文件</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62A5D">
            <w:pPr>
              <w:jc w:val="center"/>
              <w:rPr>
                <w:rFonts w:hint="eastAsia" w:ascii="宋体" w:hAnsi="宋体" w:eastAsia="宋体" w:cs="宋体"/>
                <w:i w:val="0"/>
                <w:iCs w:val="0"/>
                <w:color w:val="000000"/>
                <w:sz w:val="22"/>
                <w:szCs w:val="22"/>
                <w:u w:val="none"/>
              </w:rPr>
            </w:pPr>
          </w:p>
        </w:tc>
      </w:tr>
      <w:tr w14:paraId="3BDB5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466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16E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商务评分（30分）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6A4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保险与安全保障</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FCC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4DEF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1.公众责任险保单≥100万元（2分）；2.产品责任险保单（2分）；3.锂电池安全检测报告（CMA/CNAS）及合格证书（2分）</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03D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保单、检测报告、合格证书</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42174">
            <w:pPr>
              <w:jc w:val="center"/>
              <w:rPr>
                <w:rFonts w:hint="eastAsia" w:ascii="宋体" w:hAnsi="宋体" w:eastAsia="宋体" w:cs="宋体"/>
                <w:i w:val="0"/>
                <w:iCs w:val="0"/>
                <w:color w:val="000000"/>
                <w:sz w:val="22"/>
                <w:szCs w:val="22"/>
                <w:u w:val="none"/>
              </w:rPr>
            </w:pPr>
          </w:p>
        </w:tc>
      </w:tr>
      <w:tr w14:paraId="0D5A8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68B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6CA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技术评分（50分）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2B9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设备技术参数符合性</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2F9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116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轮椅符合GB/T13800-2009，CMA/CNAS检测报告（5分）；2.承重≥100kg，自动收合踏板、防滑、减震（3分）；3.车架、坐垫、轮胎、刹车符合要求（4分）；4.归位桩1桩2椅至1桩5椅，4G/蓝牙双模（3分）；5.电池续航≥3个月，禁止接入医院电源（3分）；6.RFID身份识别（2分）</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0AB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检测报告、产品说明、技术参数表</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0989B">
            <w:pPr>
              <w:jc w:val="center"/>
              <w:rPr>
                <w:rFonts w:hint="eastAsia" w:ascii="宋体" w:hAnsi="宋体" w:eastAsia="宋体" w:cs="宋体"/>
                <w:i w:val="0"/>
                <w:iCs w:val="0"/>
                <w:color w:val="000000"/>
                <w:sz w:val="22"/>
                <w:szCs w:val="22"/>
                <w:u w:val="none"/>
              </w:rPr>
            </w:pPr>
          </w:p>
        </w:tc>
      </w:tr>
      <w:tr w14:paraId="6C66B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47F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0F9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技术评分（50分）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7C3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智能租借系统</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F4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0A5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1.微信/支付宝扫码租借，无需APP（2分）；2.信用免押金（2分）；3.蓝牙/NB双模开锁、远程升级管理（1分）；4.后台实时监控、故障报修、数据统计、异常预警（2分）；5.无商业广告（1分）</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A92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系统说明、界面截图、功能演示</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6413A">
            <w:pPr>
              <w:jc w:val="center"/>
              <w:rPr>
                <w:rFonts w:hint="eastAsia" w:ascii="宋体" w:hAnsi="宋体" w:eastAsia="宋体" w:cs="宋体"/>
                <w:i w:val="0"/>
                <w:iCs w:val="0"/>
                <w:color w:val="000000"/>
                <w:sz w:val="22"/>
                <w:szCs w:val="22"/>
                <w:u w:val="none"/>
              </w:rPr>
            </w:pPr>
          </w:p>
        </w:tc>
      </w:tr>
      <w:tr w14:paraId="6DA2C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1DC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AC0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技术评分（50分）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50C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投放与运营方案</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30F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2D19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1.首批约15台，预留10%-20%备用（2分）；2.点位合理，不占消防通道等（3分）；3.详细运营维护方案（5分）；4.退出机制及撤场方案（2分）</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C19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运营方案、点位图、撤场方案</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AB6E8">
            <w:pPr>
              <w:jc w:val="center"/>
              <w:rPr>
                <w:rFonts w:hint="eastAsia" w:ascii="宋体" w:hAnsi="宋体" w:eastAsia="宋体" w:cs="宋体"/>
                <w:i w:val="0"/>
                <w:iCs w:val="0"/>
                <w:color w:val="000000"/>
                <w:sz w:val="22"/>
                <w:szCs w:val="22"/>
                <w:u w:val="none"/>
              </w:rPr>
            </w:pPr>
          </w:p>
        </w:tc>
      </w:tr>
      <w:tr w14:paraId="63CC9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13A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97C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技术评分（50分）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EEE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安全管理与责任</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38D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E79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1.安全责任承诺书（2分）；2.纠纷处理机制（1分）；3.配合医院调整/拆除承诺（1分）</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EF6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承诺书、处理机制文件</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406F9">
            <w:pPr>
              <w:jc w:val="center"/>
              <w:rPr>
                <w:rFonts w:hint="eastAsia" w:ascii="宋体" w:hAnsi="宋体" w:eastAsia="宋体" w:cs="宋体"/>
                <w:i w:val="0"/>
                <w:iCs w:val="0"/>
                <w:color w:val="000000"/>
                <w:sz w:val="22"/>
                <w:szCs w:val="22"/>
                <w:u w:val="none"/>
              </w:rPr>
            </w:pPr>
          </w:p>
        </w:tc>
      </w:tr>
      <w:tr w14:paraId="26404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715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1F5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技术评分（50分）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ACE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考核机制响应</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430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300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1.接受季度考核，完好率≥95%（1分）；2.接受连续两季度不合格解除合同（1分）</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B8D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承诺函</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F8A65">
            <w:pPr>
              <w:jc w:val="center"/>
              <w:rPr>
                <w:rFonts w:hint="eastAsia" w:ascii="宋体" w:hAnsi="宋体" w:eastAsia="宋体" w:cs="宋体"/>
                <w:i w:val="0"/>
                <w:iCs w:val="0"/>
                <w:color w:val="000000"/>
                <w:sz w:val="22"/>
                <w:szCs w:val="22"/>
                <w:u w:val="none"/>
              </w:rPr>
            </w:pPr>
          </w:p>
        </w:tc>
      </w:tr>
      <w:tr w14:paraId="70132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56E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770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技术评分（50分）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38A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其他约定响应</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A4B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B78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1.保密义务及数据安全（1分）；2.变更管理流程（1分）；3.不可抗力条款（1分）</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D94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承诺函</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FA96C">
            <w:pPr>
              <w:jc w:val="center"/>
              <w:rPr>
                <w:rFonts w:hint="eastAsia" w:ascii="宋体" w:hAnsi="宋体" w:eastAsia="宋体" w:cs="宋体"/>
                <w:i w:val="0"/>
                <w:iCs w:val="0"/>
                <w:color w:val="000000"/>
                <w:sz w:val="22"/>
                <w:szCs w:val="22"/>
                <w:u w:val="none"/>
              </w:rPr>
            </w:pPr>
          </w:p>
        </w:tc>
      </w:tr>
      <w:tr w14:paraId="24146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CB9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A2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技术评分（50分）</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FC515">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设备免费时长</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D97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9D3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1.设</w:t>
            </w:r>
            <w:r>
              <w:rPr>
                <w:rFonts w:hint="eastAsia" w:ascii="宋体" w:hAnsi="宋体" w:eastAsia="宋体" w:cs="宋体"/>
                <w:i w:val="0"/>
                <w:iCs w:val="0"/>
                <w:color w:val="000000"/>
                <w:sz w:val="22"/>
                <w:szCs w:val="22"/>
                <w:u w:val="none"/>
                <w:lang w:val="en-US" w:eastAsia="zh-CN"/>
              </w:rPr>
              <w:t>设备免费时长</w:t>
            </w:r>
            <w:r>
              <w:rPr>
                <w:rFonts w:hint="default" w:ascii="Arial" w:hAnsi="Arial" w:eastAsia="宋体" w:cs="Arial"/>
                <w:i w:val="0"/>
                <w:iCs w:val="0"/>
                <w:color w:val="000000"/>
                <w:sz w:val="22"/>
                <w:szCs w:val="22"/>
                <w:u w:val="none"/>
                <w:lang w:val="en-US" w:eastAsia="zh-CN"/>
              </w:rPr>
              <w:t>≥</w:t>
            </w:r>
            <w:r>
              <w:rPr>
                <w:rFonts w:hint="eastAsia" w:ascii="宋体" w:hAnsi="宋体" w:eastAsia="宋体" w:cs="宋体"/>
                <w:i w:val="0"/>
                <w:iCs w:val="0"/>
                <w:color w:val="000000"/>
                <w:sz w:val="22"/>
                <w:szCs w:val="22"/>
                <w:u w:val="none"/>
                <w:lang w:val="en-US" w:eastAsia="zh-CN"/>
              </w:rPr>
              <w:t>2小时</w:t>
            </w:r>
            <w:r>
              <w:rPr>
                <w:rFonts w:hint="eastAsia" w:ascii="宋体" w:hAnsi="宋体" w:eastAsia="宋体" w:cs="宋体"/>
                <w:i w:val="0"/>
                <w:iCs w:val="0"/>
                <w:color w:val="000000"/>
                <w:kern w:val="0"/>
                <w:sz w:val="22"/>
                <w:szCs w:val="22"/>
                <w:u w:val="none"/>
                <w:lang w:val="en-US" w:eastAsia="zh-CN" w:bidi="ar"/>
              </w:rPr>
              <w:t>（6分）；2.设</w:t>
            </w:r>
            <w:r>
              <w:rPr>
                <w:rFonts w:hint="eastAsia" w:ascii="宋体" w:hAnsi="宋体" w:eastAsia="宋体" w:cs="宋体"/>
                <w:i w:val="0"/>
                <w:iCs w:val="0"/>
                <w:color w:val="000000"/>
                <w:sz w:val="22"/>
                <w:szCs w:val="22"/>
                <w:u w:val="none"/>
                <w:lang w:val="en-US" w:eastAsia="zh-CN"/>
              </w:rPr>
              <w:t>设备免费时长</w:t>
            </w:r>
            <w:r>
              <w:rPr>
                <w:rFonts w:hint="default" w:ascii="Arial" w:hAnsi="Arial" w:eastAsia="宋体" w:cs="Arial"/>
                <w:i w:val="0"/>
                <w:iCs w:val="0"/>
                <w:color w:val="000000"/>
                <w:sz w:val="22"/>
                <w:szCs w:val="22"/>
                <w:u w:val="none"/>
                <w:lang w:val="en-US" w:eastAsia="zh-CN"/>
              </w:rPr>
              <w:t>≥</w:t>
            </w:r>
            <w:r>
              <w:rPr>
                <w:rFonts w:hint="eastAsia" w:ascii="Arial" w:hAnsi="Arial" w:eastAsia="宋体" w:cs="Arial"/>
                <w:i w:val="0"/>
                <w:iCs w:val="0"/>
                <w:color w:val="000000"/>
                <w:sz w:val="22"/>
                <w:szCs w:val="22"/>
                <w:u w:val="none"/>
                <w:lang w:val="en-US" w:eastAsia="zh-CN"/>
              </w:rPr>
              <w:t>1.5</w:t>
            </w:r>
            <w:r>
              <w:rPr>
                <w:rFonts w:hint="eastAsia" w:ascii="宋体" w:hAnsi="宋体" w:eastAsia="宋体" w:cs="宋体"/>
                <w:i w:val="0"/>
                <w:iCs w:val="0"/>
                <w:color w:val="000000"/>
                <w:sz w:val="22"/>
                <w:szCs w:val="22"/>
                <w:u w:val="none"/>
                <w:lang w:val="en-US" w:eastAsia="zh-CN"/>
              </w:rPr>
              <w:t>小时</w:t>
            </w:r>
            <w:r>
              <w:rPr>
                <w:rFonts w:hint="eastAsia" w:ascii="宋体" w:hAnsi="宋体" w:eastAsia="宋体" w:cs="宋体"/>
                <w:i w:val="0"/>
                <w:iCs w:val="0"/>
                <w:color w:val="000000"/>
                <w:kern w:val="0"/>
                <w:sz w:val="22"/>
                <w:szCs w:val="22"/>
                <w:u w:val="none"/>
                <w:lang w:val="en-US" w:eastAsia="zh-CN" w:bidi="ar"/>
              </w:rPr>
              <w:t>（4分）；3.设</w:t>
            </w:r>
            <w:r>
              <w:rPr>
                <w:rFonts w:hint="eastAsia" w:ascii="宋体" w:hAnsi="宋体" w:eastAsia="宋体" w:cs="宋体"/>
                <w:i w:val="0"/>
                <w:iCs w:val="0"/>
                <w:color w:val="000000"/>
                <w:sz w:val="22"/>
                <w:szCs w:val="22"/>
                <w:u w:val="none"/>
                <w:lang w:val="en-US" w:eastAsia="zh-CN"/>
              </w:rPr>
              <w:t>设备免费时长</w:t>
            </w:r>
            <w:r>
              <w:rPr>
                <w:rFonts w:hint="default" w:ascii="Arial" w:hAnsi="Arial" w:eastAsia="宋体" w:cs="Arial"/>
                <w:i w:val="0"/>
                <w:iCs w:val="0"/>
                <w:color w:val="000000"/>
                <w:sz w:val="22"/>
                <w:szCs w:val="22"/>
                <w:u w:val="none"/>
                <w:lang w:val="en-US" w:eastAsia="zh-CN"/>
              </w:rPr>
              <w:t>≥</w:t>
            </w:r>
            <w:r>
              <w:rPr>
                <w:rFonts w:hint="eastAsia" w:ascii="宋体" w:hAnsi="宋体" w:eastAsia="宋体" w:cs="宋体"/>
                <w:i w:val="0"/>
                <w:iCs w:val="0"/>
                <w:color w:val="000000"/>
                <w:sz w:val="22"/>
                <w:szCs w:val="22"/>
                <w:u w:val="none"/>
                <w:lang w:val="en-US" w:eastAsia="zh-CN"/>
              </w:rPr>
              <w:t>1小时</w:t>
            </w:r>
            <w:r>
              <w:rPr>
                <w:rFonts w:hint="eastAsia" w:ascii="宋体" w:hAnsi="宋体" w:eastAsia="宋体" w:cs="宋体"/>
                <w:i w:val="0"/>
                <w:iCs w:val="0"/>
                <w:color w:val="000000"/>
                <w:kern w:val="0"/>
                <w:sz w:val="22"/>
                <w:szCs w:val="22"/>
                <w:u w:val="none"/>
                <w:lang w:val="en-US" w:eastAsia="zh-CN" w:bidi="ar"/>
              </w:rPr>
              <w:t>（2分）</w:t>
            </w:r>
          </w:p>
        </w:tc>
        <w:tc>
          <w:tcPr>
            <w:tcW w:w="1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C04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承诺函</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98D82">
            <w:pPr>
              <w:jc w:val="center"/>
              <w:rPr>
                <w:rFonts w:hint="eastAsia" w:ascii="宋体" w:hAnsi="宋体" w:eastAsia="宋体" w:cs="宋体"/>
                <w:i w:val="0"/>
                <w:iCs w:val="0"/>
                <w:color w:val="000000"/>
                <w:sz w:val="22"/>
                <w:szCs w:val="22"/>
                <w:u w:val="none"/>
              </w:rPr>
            </w:pPr>
          </w:p>
        </w:tc>
      </w:tr>
      <w:tr w14:paraId="2846C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35AD3">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合计</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A7166">
            <w:pPr>
              <w:jc w:val="center"/>
              <w:rPr>
                <w:rFonts w:hint="eastAsia" w:ascii="宋体" w:hAnsi="宋体" w:eastAsia="宋体" w:cs="宋体"/>
                <w:i w:val="0"/>
                <w:iCs w:val="0"/>
                <w:color w:val="000000"/>
                <w:kern w:val="2"/>
                <w:sz w:val="22"/>
                <w:szCs w:val="22"/>
                <w:u w:val="none"/>
                <w:lang w:val="en-US" w:eastAsia="zh-CN" w:bidi="ar-SA"/>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93C72">
            <w:pPr>
              <w:jc w:val="center"/>
              <w:rPr>
                <w:rFonts w:hint="eastAsia" w:ascii="宋体" w:hAnsi="宋体" w:eastAsia="宋体" w:cs="宋体"/>
                <w:i w:val="0"/>
                <w:iCs w:val="0"/>
                <w:color w:val="000000"/>
                <w:kern w:val="2"/>
                <w:sz w:val="22"/>
                <w:szCs w:val="22"/>
                <w:u w:val="none"/>
                <w:lang w:val="en-US" w:eastAsia="zh-CN" w:bidi="ar-SA"/>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4749B">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100</w:t>
            </w:r>
          </w:p>
        </w:tc>
        <w:tc>
          <w:tcPr>
            <w:tcW w:w="1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4C95C">
            <w:pPr>
              <w:jc w:val="center"/>
              <w:rPr>
                <w:rFonts w:hint="eastAsia" w:ascii="宋体" w:hAnsi="宋体" w:eastAsia="宋体" w:cs="宋体"/>
                <w:i w:val="0"/>
                <w:iCs w:val="0"/>
                <w:color w:val="000000"/>
                <w:kern w:val="2"/>
                <w:sz w:val="22"/>
                <w:szCs w:val="22"/>
                <w:u w:val="none"/>
                <w:lang w:val="en-US" w:eastAsia="zh-CN" w:bidi="ar-SA"/>
              </w:rPr>
            </w:pP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ADB3C">
            <w:pPr>
              <w:jc w:val="center"/>
              <w:rPr>
                <w:rFonts w:hint="eastAsia" w:ascii="宋体" w:hAnsi="宋体" w:eastAsia="宋体" w:cs="宋体"/>
                <w:i w:val="0"/>
                <w:iCs w:val="0"/>
                <w:color w:val="000000"/>
                <w:sz w:val="22"/>
                <w:szCs w:val="22"/>
                <w:u w:val="none"/>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248CA">
            <w:pPr>
              <w:jc w:val="center"/>
              <w:rPr>
                <w:rFonts w:hint="eastAsia" w:ascii="宋体" w:hAnsi="宋体" w:eastAsia="宋体" w:cs="宋体"/>
                <w:i w:val="0"/>
                <w:iCs w:val="0"/>
                <w:color w:val="000000"/>
                <w:sz w:val="22"/>
                <w:szCs w:val="22"/>
                <w:u w:val="none"/>
              </w:rPr>
            </w:pPr>
          </w:p>
        </w:tc>
      </w:tr>
    </w:tbl>
    <w:p w14:paraId="2D93118E">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0E110C"/>
    <w:rsid w:val="0046638B"/>
    <w:rsid w:val="041D577A"/>
    <w:rsid w:val="2233307F"/>
    <w:rsid w:val="2C3515D1"/>
    <w:rsid w:val="2E32735A"/>
    <w:rsid w:val="337E430E"/>
    <w:rsid w:val="3A0E110C"/>
    <w:rsid w:val="619E128C"/>
    <w:rsid w:val="70853B50"/>
    <w:rsid w:val="778250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4560</Words>
  <Characters>4807</Characters>
  <Lines>0</Lines>
  <Paragraphs>0</Paragraphs>
  <TotalTime>45</TotalTime>
  <ScaleCrop>false</ScaleCrop>
  <LinksUpToDate>false</LinksUpToDate>
  <CharactersWithSpaces>4812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2026-08-20T07:42:00Z</dcterms:created>
  <dc:creator>18924981193</dc:creator>
  <cp:lastModifiedBy>18924981193</cp:lastModifiedBy>
  <dcterms:modified xsi:type="dcterms:W3CDTF">2026-09-22T01:35:38Z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1163F8DA6C3443A594977F9E670985C1_11</vt:lpwstr>
  </property>
  <property fmtid="{D5CDD505-2E9C-101B-9397-08002B2CF9AE}" pid="4" name="KSOTemplateDocerSaveRecord">
    <vt:lpwstr>eyJoZGlkIjoiMDI1YTQ0MGQ2NDc4NmQ3MjU4NTFkMzZmNDA5NDM5ODgiLCJ1c2VySWQiOiI3MDcxOTEyNjEifQ==</vt:lpwstr>
  </property>
</Properties>
</file>