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5BC3A7">
      <w:pPr>
        <w:widowControl/>
        <w:shd w:val="clear" w:color="auto" w:fill="FFFFFF"/>
        <w:snapToGrid/>
        <w:spacing w:beforeLines="0" w:afterLines="0" w:line="560" w:lineRule="exact"/>
        <w:jc w:val="left"/>
        <w:rPr>
          <w:rFonts w:hint="default"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附件2</w:t>
      </w:r>
    </w:p>
    <w:p w14:paraId="0846ECAE">
      <w:pPr>
        <w:keepNext w:val="0"/>
        <w:keepLines w:val="0"/>
        <w:pageBreakBefore w:val="0"/>
        <w:widowControl/>
        <w:shd w:val="clear" w:color="auto" w:fill="FFFFFF"/>
        <w:kinsoku/>
        <w:wordWrap/>
        <w:overflowPunct/>
        <w:topLinePunct w:val="0"/>
        <w:autoSpaceDE/>
        <w:autoSpaceDN/>
        <w:bidi w:val="0"/>
        <w:adjustRightInd/>
        <w:snapToGrid/>
        <w:spacing w:beforeLines="0" w:afterLines="0" w:line="680" w:lineRule="exact"/>
        <w:jc w:val="center"/>
        <w:textAlignment w:val="auto"/>
        <w:rPr>
          <w:rFonts w:hint="eastAsia" w:ascii="Times New Roman" w:hAnsi="Times New Roman" w:eastAsia="方正小标宋简体" w:cs="Times New Roman"/>
          <w:color w:val="000000"/>
          <w:sz w:val="44"/>
          <w:szCs w:val="44"/>
          <w:lang w:val="en-US" w:eastAsia="zh-CN"/>
        </w:rPr>
      </w:pPr>
      <w:r>
        <w:rPr>
          <w:rFonts w:hint="eastAsia" w:ascii="方正小标宋简体" w:hAnsi="方正小标宋简体" w:eastAsia="方正小标宋简体" w:cs="方正小标宋简体"/>
          <w:sz w:val="44"/>
          <w:szCs w:val="44"/>
          <w:highlight w:val="none"/>
          <w:lang w:val="en-US" w:eastAsia="zh-CN"/>
        </w:rPr>
        <w:t>文悦公司秋季学期物资增补采购评分标准</w:t>
      </w:r>
      <w:bookmarkStart w:id="3" w:name="_GoBack"/>
      <w:bookmarkEnd w:id="3"/>
    </w:p>
    <w:p w14:paraId="376FCEE4">
      <w:pPr>
        <w:pStyle w:val="5"/>
        <w:ind w:left="0" w:firstLine="0"/>
        <w:jc w:val="center"/>
        <w:rPr>
          <w:rFonts w:hint="eastAsia" w:asciiTheme="minorEastAsia" w:hAnsiTheme="minorEastAsia" w:eastAsiaTheme="minorEastAsia" w:cstheme="minorEastAsia"/>
          <w:b/>
          <w:bCs/>
          <w:szCs w:val="21"/>
        </w:rPr>
      </w:pPr>
    </w:p>
    <w:tbl>
      <w:tblPr>
        <w:tblStyle w:val="6"/>
        <w:tblW w:w="49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5"/>
        <w:gridCol w:w="1327"/>
        <w:gridCol w:w="7195"/>
      </w:tblGrid>
      <w:tr w14:paraId="4F8D6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7" w:type="pct"/>
            <w:vAlign w:val="center"/>
          </w:tcPr>
          <w:p w14:paraId="7E1CEB2E">
            <w:pPr>
              <w:pStyle w:val="5"/>
              <w:ind w:left="0" w:firstLine="0"/>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szCs w:val="21"/>
              </w:rPr>
              <w:t>评审项目</w:t>
            </w:r>
          </w:p>
        </w:tc>
        <w:tc>
          <w:tcPr>
            <w:tcW w:w="679" w:type="pct"/>
            <w:vAlign w:val="center"/>
          </w:tcPr>
          <w:p w14:paraId="335358D6">
            <w:pPr>
              <w:pStyle w:val="5"/>
              <w:ind w:left="0" w:firstLine="0"/>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分值</w:t>
            </w:r>
          </w:p>
        </w:tc>
        <w:tc>
          <w:tcPr>
            <w:tcW w:w="3682" w:type="pct"/>
            <w:vAlign w:val="center"/>
          </w:tcPr>
          <w:p w14:paraId="1774E198">
            <w:pPr>
              <w:pStyle w:val="5"/>
              <w:ind w:left="0" w:firstLine="0"/>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评分细则</w:t>
            </w:r>
          </w:p>
        </w:tc>
      </w:tr>
      <w:tr w14:paraId="1D5E4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7" w:type="pct"/>
            <w:vAlign w:val="center"/>
          </w:tcPr>
          <w:p w14:paraId="770CBEAF">
            <w:pPr>
              <w:pStyle w:val="5"/>
              <w:ind w:left="0" w:firstLine="0"/>
              <w:jc w:val="center"/>
              <w:rPr>
                <w:rFonts w:hint="eastAsia" w:asciiTheme="minorEastAsia" w:hAnsiTheme="minorEastAsia" w:eastAsiaTheme="minorEastAsia" w:cstheme="minorEastAsia"/>
                <w:kern w:val="0"/>
                <w:szCs w:val="21"/>
                <w:lang w:eastAsia="zh-CN"/>
              </w:rPr>
            </w:pPr>
            <w:r>
              <w:rPr>
                <w:rFonts w:hint="eastAsia" w:asciiTheme="minorEastAsia" w:hAnsiTheme="minorEastAsia" w:eastAsiaTheme="minorEastAsia" w:cstheme="minorEastAsia"/>
                <w:szCs w:val="21"/>
                <w:lang w:val="en-US" w:eastAsia="zh-CN"/>
              </w:rPr>
              <w:t>资格审查</w:t>
            </w:r>
          </w:p>
        </w:tc>
        <w:tc>
          <w:tcPr>
            <w:tcW w:w="679" w:type="pct"/>
            <w:vAlign w:val="center"/>
          </w:tcPr>
          <w:p w14:paraId="29E87258">
            <w:pPr>
              <w:adjustRightInd w:val="0"/>
              <w:spacing w:beforeLines="0" w:afterLines="0" w:line="480" w:lineRule="exact"/>
              <w:jc w:val="center"/>
              <w:rPr>
                <w:rFonts w:hint="default" w:asciiTheme="minorEastAsia" w:hAnsiTheme="minorEastAsia" w:eastAsiaTheme="minorEastAsia" w:cstheme="minorEastAsia"/>
                <w:szCs w:val="21"/>
                <w:lang w:val="en-US" w:eastAsia="zh-CN"/>
              </w:rPr>
            </w:pPr>
            <w:r>
              <w:rPr>
                <w:rFonts w:hint="default" w:ascii="Times New Roman" w:hAnsi="Times New Roman" w:eastAsia="仿宋_GB2312" w:cs="Times New Roman"/>
                <w:color w:val="000000"/>
                <w:kern w:val="0"/>
                <w:sz w:val="28"/>
                <w:szCs w:val="28"/>
                <w:highlight w:val="none"/>
                <w:lang w:val="en-US" w:eastAsia="zh-CN"/>
              </w:rPr>
              <w:t>/</w:t>
            </w:r>
          </w:p>
        </w:tc>
        <w:tc>
          <w:tcPr>
            <w:tcW w:w="3682" w:type="pct"/>
            <w:vAlign w:val="center"/>
          </w:tcPr>
          <w:p w14:paraId="747E79EC">
            <w:pPr>
              <w:numPr>
                <w:ilvl w:val="0"/>
                <w:numId w:val="0"/>
              </w:numPr>
              <w:jc w:val="left"/>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w:t>
            </w:r>
            <w:r>
              <w:rPr>
                <w:rFonts w:hint="default" w:asciiTheme="minorEastAsia" w:hAnsiTheme="minorEastAsia" w:eastAsiaTheme="minorEastAsia" w:cstheme="minorEastAsia"/>
                <w:szCs w:val="21"/>
                <w:lang w:val="en-US" w:eastAsia="zh-CN"/>
              </w:rPr>
              <w:t>《采购公告》中资格证明文件提供完整的有资格参与评分，缺项则取消资格</w:t>
            </w:r>
            <w:r>
              <w:rPr>
                <w:rFonts w:hint="eastAsia" w:asciiTheme="minorEastAsia" w:hAnsiTheme="minorEastAsia" w:eastAsiaTheme="minorEastAsia" w:cstheme="minorEastAsia"/>
                <w:szCs w:val="21"/>
                <w:lang w:val="en-US" w:eastAsia="zh-CN"/>
              </w:rPr>
              <w:t>；</w:t>
            </w:r>
          </w:p>
          <w:p w14:paraId="162F0D2C">
            <w:pPr>
              <w:numPr>
                <w:ilvl w:val="0"/>
                <w:numId w:val="0"/>
              </w:numPr>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lang w:val="en-US" w:eastAsia="zh-CN"/>
              </w:rPr>
              <w:t>2.</w:t>
            </w:r>
            <w:r>
              <w:rPr>
                <w:rFonts w:hint="default" w:asciiTheme="minorEastAsia" w:hAnsiTheme="minorEastAsia" w:eastAsiaTheme="minorEastAsia" w:cstheme="minorEastAsia"/>
                <w:szCs w:val="21"/>
                <w:lang w:val="en-US" w:eastAsia="zh-CN"/>
              </w:rPr>
              <w:t>投标人须提供《增值税专用发票开具承诺函》，承诺中标后能开具合法、合规的增值税专用发票（含数电票）。未提供者视为资格证明文件缺项，取消资格。</w:t>
            </w:r>
          </w:p>
        </w:tc>
      </w:tr>
    </w:tbl>
    <w:p w14:paraId="17502837">
      <w:pPr>
        <w:widowControl/>
        <w:jc w:val="center"/>
        <w:rPr>
          <w:rFonts w:hint="default" w:asciiTheme="minorEastAsia" w:hAnsiTheme="minorEastAsia" w:eastAsiaTheme="minorEastAsia" w:cstheme="minorEastAsia"/>
          <w:b/>
          <w:kern w:val="0"/>
          <w:sz w:val="28"/>
          <w:lang w:val="en-US" w:eastAsia="zh-CN" w:bidi="ar"/>
        </w:rPr>
      </w:pPr>
    </w:p>
    <w:p w14:paraId="6BA8945E">
      <w:pPr>
        <w:widowControl/>
        <w:jc w:val="center"/>
        <w:rPr>
          <w:rFonts w:asciiTheme="minorEastAsia" w:hAnsiTheme="minorEastAsia" w:eastAsiaTheme="minorEastAsia" w:cstheme="minorEastAsia"/>
          <w:b/>
          <w:kern w:val="0"/>
          <w:sz w:val="28"/>
          <w:lang w:bidi="ar"/>
        </w:rPr>
      </w:pPr>
      <w:r>
        <w:rPr>
          <w:rFonts w:hint="eastAsia" w:asciiTheme="minorEastAsia" w:hAnsiTheme="minorEastAsia" w:eastAsiaTheme="minorEastAsia" w:cstheme="minorEastAsia"/>
          <w:b/>
          <w:kern w:val="0"/>
          <w:sz w:val="28"/>
          <w:lang w:val="en-US" w:eastAsia="zh-CN" w:bidi="ar"/>
        </w:rPr>
        <w:t>技术</w:t>
      </w:r>
      <w:r>
        <w:rPr>
          <w:rFonts w:hint="eastAsia" w:asciiTheme="minorEastAsia" w:hAnsiTheme="minorEastAsia" w:eastAsiaTheme="minorEastAsia" w:cstheme="minorEastAsia"/>
          <w:b/>
          <w:kern w:val="0"/>
          <w:sz w:val="28"/>
          <w:lang w:bidi="ar"/>
        </w:rPr>
        <w:t>评审细则（</w:t>
      </w:r>
      <w:r>
        <w:rPr>
          <w:rFonts w:hint="eastAsia" w:asciiTheme="minorEastAsia" w:hAnsiTheme="minorEastAsia" w:eastAsiaTheme="minorEastAsia" w:cstheme="minorEastAsia"/>
          <w:b/>
          <w:kern w:val="0"/>
          <w:sz w:val="28"/>
          <w:lang w:val="en-US" w:eastAsia="zh-CN" w:bidi="ar"/>
        </w:rPr>
        <w:t>52</w:t>
      </w:r>
      <w:r>
        <w:rPr>
          <w:rFonts w:hint="eastAsia" w:asciiTheme="minorEastAsia" w:hAnsiTheme="minorEastAsia" w:eastAsiaTheme="minorEastAsia" w:cstheme="minorEastAsia"/>
          <w:b/>
          <w:kern w:val="0"/>
          <w:sz w:val="28"/>
          <w:lang w:bidi="ar"/>
        </w:rPr>
        <w:t>分）</w:t>
      </w:r>
    </w:p>
    <w:tbl>
      <w:tblPr>
        <w:tblStyle w:val="6"/>
        <w:tblW w:w="5178" w:type="pct"/>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108" w:type="dxa"/>
          <w:bottom w:w="0" w:type="dxa"/>
          <w:right w:w="108" w:type="dxa"/>
        </w:tblCellMar>
      </w:tblPr>
      <w:tblGrid>
        <w:gridCol w:w="1189"/>
        <w:gridCol w:w="1366"/>
        <w:gridCol w:w="7762"/>
      </w:tblGrid>
      <w:tr w14:paraId="523EF48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46" w:hRule="atLeast"/>
          <w:tblHeader/>
        </w:trPr>
        <w:tc>
          <w:tcPr>
            <w:tcW w:w="576" w:type="pct"/>
            <w:tcBorders>
              <w:right w:val="single" w:color="auto" w:sz="4" w:space="0"/>
            </w:tcBorders>
            <w:vAlign w:val="center"/>
          </w:tcPr>
          <w:p w14:paraId="1059F4A6">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项目</w:t>
            </w:r>
          </w:p>
        </w:tc>
        <w:tc>
          <w:tcPr>
            <w:tcW w:w="662" w:type="pct"/>
            <w:tcBorders>
              <w:left w:val="single" w:color="auto" w:sz="4" w:space="0"/>
            </w:tcBorders>
            <w:vAlign w:val="center"/>
          </w:tcPr>
          <w:p w14:paraId="64843BA4">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细化项目</w:t>
            </w:r>
          </w:p>
          <w:p w14:paraId="7401F21B">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及分值</w:t>
            </w:r>
          </w:p>
        </w:tc>
        <w:tc>
          <w:tcPr>
            <w:tcW w:w="3761" w:type="pct"/>
            <w:vAlign w:val="center"/>
          </w:tcPr>
          <w:p w14:paraId="59F769C0">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评分依据</w:t>
            </w:r>
          </w:p>
        </w:tc>
      </w:tr>
      <w:tr w14:paraId="5DCADED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07" w:hRule="atLeast"/>
        </w:trPr>
        <w:tc>
          <w:tcPr>
            <w:tcW w:w="576" w:type="pct"/>
            <w:vMerge w:val="restart"/>
            <w:tcBorders>
              <w:right w:val="single" w:color="auto" w:sz="4" w:space="0"/>
            </w:tcBorders>
            <w:vAlign w:val="center"/>
          </w:tcPr>
          <w:p w14:paraId="3177003D">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技术部分</w:t>
            </w:r>
          </w:p>
          <w:p w14:paraId="79C892C0">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52</w:t>
            </w:r>
            <w:r>
              <w:rPr>
                <w:rFonts w:hint="eastAsia" w:asciiTheme="minorEastAsia" w:hAnsiTheme="minorEastAsia" w:eastAsiaTheme="minorEastAsia" w:cstheme="minorEastAsia"/>
                <w:szCs w:val="21"/>
              </w:rPr>
              <w:t>分）</w:t>
            </w:r>
          </w:p>
        </w:tc>
        <w:tc>
          <w:tcPr>
            <w:tcW w:w="662" w:type="pct"/>
            <w:tcBorders>
              <w:left w:val="single" w:color="auto" w:sz="4" w:space="0"/>
            </w:tcBorders>
            <w:vAlign w:val="center"/>
          </w:tcPr>
          <w:p w14:paraId="2B1CA5DF">
            <w:pPr>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检验报告</w:t>
            </w:r>
          </w:p>
          <w:p w14:paraId="05B3629A">
            <w:pPr>
              <w:jc w:val="center"/>
              <w:rPr>
                <w:rFonts w:hint="eastAsia" w:asciiTheme="minorEastAsia" w:hAnsiTheme="minorEastAsia" w:eastAsiaTheme="minorEastAsia" w:cstheme="minorEastAsia"/>
                <w:kern w:val="2"/>
                <w:sz w:val="24"/>
                <w:szCs w:val="21"/>
                <w:lang w:val="en-US" w:eastAsia="zh-CN" w:bidi="ar-SA"/>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24</w:t>
            </w:r>
            <w:r>
              <w:rPr>
                <w:rFonts w:hint="eastAsia" w:asciiTheme="minorEastAsia" w:hAnsiTheme="minorEastAsia" w:eastAsiaTheme="minorEastAsia" w:cstheme="minorEastAsia"/>
                <w:szCs w:val="21"/>
              </w:rPr>
              <w:t>分）</w:t>
            </w:r>
          </w:p>
        </w:tc>
        <w:tc>
          <w:tcPr>
            <w:tcW w:w="3761" w:type="pct"/>
            <w:vAlign w:val="center"/>
          </w:tcPr>
          <w:p w14:paraId="365FA883">
            <w:pPr>
              <w:numPr>
                <w:ilvl w:val="0"/>
                <w:numId w:val="0"/>
              </w:numPr>
              <w:jc w:val="left"/>
              <w:rPr>
                <w:rFonts w:hint="eastAsia" w:ascii="宋体" w:hAnsi="宋体" w:cs="宋体"/>
                <w:b/>
                <w:bCs/>
                <w:szCs w:val="21"/>
              </w:rPr>
            </w:pPr>
            <w:r>
              <w:rPr>
                <w:rFonts w:hint="eastAsia" w:ascii="宋体" w:hAnsi="宋体" w:cs="宋体"/>
                <w:b/>
                <w:bCs/>
                <w:szCs w:val="21"/>
                <w:lang w:val="en-US" w:eastAsia="zh-CN"/>
              </w:rPr>
              <w:t>1.</w:t>
            </w:r>
            <w:r>
              <w:rPr>
                <w:rFonts w:hint="eastAsia" w:ascii="宋体" w:hAnsi="宋体" w:cs="宋体"/>
                <w:b/>
                <w:bCs/>
                <w:szCs w:val="21"/>
              </w:rPr>
              <w:t>评审内容：</w:t>
            </w:r>
          </w:p>
          <w:p w14:paraId="31419939">
            <w:pPr>
              <w:numPr>
                <w:ilvl w:val="0"/>
                <w:numId w:val="0"/>
              </w:numPr>
              <w:jc w:val="left"/>
              <w:rPr>
                <w:rFonts w:hint="eastAsia" w:asciiTheme="minorEastAsia" w:hAnsiTheme="minorEastAsia" w:eastAsiaTheme="minorEastAsia" w:cstheme="minorEastAsia"/>
                <w:color w:val="FF0000"/>
                <w:szCs w:val="21"/>
                <w:highlight w:val="yellow"/>
                <w:lang w:val="zh-CN" w:eastAsia="zh-CN"/>
              </w:rPr>
            </w:pPr>
            <w:r>
              <w:rPr>
                <w:rFonts w:hint="eastAsia" w:asciiTheme="minorEastAsia" w:hAnsiTheme="minorEastAsia" w:eastAsiaTheme="minorEastAsia" w:cstheme="minorEastAsia"/>
                <w:szCs w:val="21"/>
                <w:lang w:val="en-US" w:eastAsia="zh-CN"/>
              </w:rPr>
              <w:t>提供以下2024年1月1日至本项目投标截止之日由投标人或所投产品制造商送检的具有CMA标识的原材料检验检测报告：</w:t>
            </w:r>
          </w:p>
          <w:p w14:paraId="31936C8B">
            <w:pPr>
              <w:numPr>
                <w:ilvl w:val="0"/>
                <w:numId w:val="1"/>
              </w:numPr>
              <w:jc w:val="left"/>
              <w:rPr>
                <w:rFonts w:hint="eastAsia" w:ascii="宋体" w:hAnsi="宋体" w:eastAsia="宋体" w:cs="宋体"/>
                <w:color w:val="FF0000"/>
              </w:rPr>
            </w:pPr>
            <w:r>
              <w:rPr>
                <w:rFonts w:hint="eastAsia" w:ascii="宋体" w:hAnsi="宋体" w:eastAsia="宋体" w:cs="宋体"/>
                <w:color w:val="FF0000"/>
                <w:highlight w:val="yellow"/>
                <w:lang w:val="zh-CN"/>
              </w:rPr>
              <w:t>《</w:t>
            </w:r>
            <w:r>
              <w:rPr>
                <w:rFonts w:hint="eastAsia" w:ascii="宋体" w:hAnsi="宋体" w:cs="宋体"/>
                <w:color w:val="FF0000"/>
                <w:highlight w:val="yellow"/>
                <w:lang w:val="en-US" w:eastAsia="zh-CN"/>
              </w:rPr>
              <w:t>木桌</w:t>
            </w:r>
            <w:r>
              <w:rPr>
                <w:rFonts w:hint="eastAsia" w:ascii="宋体" w:hAnsi="宋体" w:eastAsia="宋体" w:cs="宋体"/>
                <w:color w:val="FF0000"/>
                <w:highlight w:val="yellow"/>
                <w:lang w:val="zh-CN"/>
              </w:rPr>
              <w:t>》</w:t>
            </w:r>
            <w:r>
              <w:rPr>
                <w:rFonts w:hint="eastAsia" w:ascii="宋体" w:hAnsi="宋体" w:cs="宋体"/>
                <w:color w:val="FF0000"/>
                <w:lang w:val="en-US" w:eastAsia="zh-CN"/>
              </w:rPr>
              <w:t>检测</w:t>
            </w:r>
            <w:r>
              <w:rPr>
                <w:rFonts w:hint="eastAsia" w:ascii="宋体" w:hAnsi="宋体" w:eastAsia="宋体" w:cs="宋体"/>
                <w:color w:val="FF0000"/>
                <w:lang w:val="en-US" w:eastAsia="zh-CN"/>
              </w:rPr>
              <w:t>依据GB 28007-2024、GB/T35607-2024，甲醛、苯、邻苯二甲酸酯类化合物（DBP、BBP、DEHP、DNOP、DINP、DIDP）总量、可迁移有害元素均未检出，甲苯、二甲苯（邻、间、对二甲苯之和）、总挥发性有机化合物（TVOC）以及产品（结构-边缘、尖端及外角、突出物、孔间隙及开口稳定性、桌台类稳定性垂直加载稳定性）。</w:t>
            </w:r>
          </w:p>
          <w:p w14:paraId="38BC8291">
            <w:pPr>
              <w:numPr>
                <w:ilvl w:val="0"/>
                <w:numId w:val="1"/>
              </w:numPr>
              <w:jc w:val="left"/>
              <w:rPr>
                <w:rFonts w:hint="eastAsia" w:asciiTheme="minorEastAsia" w:hAnsiTheme="minorEastAsia" w:eastAsiaTheme="minorEastAsia" w:cstheme="minorEastAsia"/>
                <w:color w:val="FF0000"/>
                <w:szCs w:val="21"/>
                <w:highlight w:val="none"/>
                <w:lang w:val="zh-CN" w:eastAsia="zh-CN"/>
              </w:rPr>
            </w:pPr>
            <w:r>
              <w:rPr>
                <w:rFonts w:hint="eastAsia" w:asciiTheme="minorEastAsia" w:hAnsiTheme="minorEastAsia" w:eastAsiaTheme="minorEastAsia" w:cstheme="minorEastAsia"/>
                <w:color w:val="FF0000"/>
                <w:szCs w:val="21"/>
                <w:highlight w:val="yellow"/>
                <w:lang w:val="zh-CN"/>
              </w:rPr>
              <w:t>《</w:t>
            </w:r>
            <w:r>
              <w:rPr>
                <w:rFonts w:hint="eastAsia" w:asciiTheme="minorEastAsia" w:hAnsiTheme="minorEastAsia" w:eastAsiaTheme="minorEastAsia" w:cstheme="minorEastAsia"/>
                <w:color w:val="FF0000"/>
                <w:szCs w:val="21"/>
                <w:highlight w:val="yellow"/>
                <w:lang w:val="en-US" w:eastAsia="zh-CN"/>
              </w:rPr>
              <w:t>螺丝</w:t>
            </w:r>
            <w:r>
              <w:rPr>
                <w:rFonts w:hint="eastAsia" w:asciiTheme="minorEastAsia" w:hAnsiTheme="minorEastAsia" w:eastAsiaTheme="minorEastAsia" w:cstheme="minorEastAsia"/>
                <w:color w:val="FF0000"/>
                <w:szCs w:val="21"/>
                <w:highlight w:val="yellow"/>
                <w:lang w:val="zh-CN"/>
              </w:rPr>
              <w:t>》</w:t>
            </w:r>
            <w:r>
              <w:rPr>
                <w:rFonts w:hint="eastAsia" w:asciiTheme="minorEastAsia" w:hAnsiTheme="minorEastAsia" w:eastAsiaTheme="minorEastAsia" w:cstheme="minorEastAsia"/>
                <w:color w:val="FF0000"/>
                <w:szCs w:val="21"/>
                <w:highlight w:val="none"/>
                <w:lang w:val="zh-CN" w:eastAsia="zh-CN"/>
              </w:rPr>
              <w:t>检测依据包含</w:t>
            </w:r>
            <w:bookmarkStart w:id="0" w:name="OLE_LINK17"/>
            <w:r>
              <w:rPr>
                <w:rFonts w:hint="eastAsia" w:asciiTheme="minorEastAsia" w:hAnsiTheme="minorEastAsia" w:eastAsiaTheme="minorEastAsia" w:cstheme="minorEastAsia"/>
                <w:color w:val="FF0000"/>
                <w:szCs w:val="21"/>
                <w:highlight w:val="none"/>
                <w:lang w:val="zh-CN" w:eastAsia="zh-CN"/>
              </w:rPr>
              <w:t>QB/T 3826-1999、QB/T 3827-1999、QB/T 3832-1999、GB/T 7314-2017、GB/T 6394-2017、  GB/T231.1-2018</w:t>
            </w:r>
            <w:bookmarkEnd w:id="0"/>
            <w:r>
              <w:rPr>
                <w:rFonts w:hint="eastAsia" w:asciiTheme="minorEastAsia" w:hAnsiTheme="minorEastAsia" w:eastAsiaTheme="minorEastAsia" w:cstheme="minorEastAsia"/>
                <w:color w:val="FF0000"/>
                <w:szCs w:val="21"/>
                <w:highlight w:val="none"/>
                <w:lang w:val="zh-CN" w:eastAsia="zh-CN"/>
              </w:rPr>
              <w:t>，要求中性盐雾试验：连续喷雾≥100h，镀(涂)层对基体的保护等级≥10级，镀(涂)层本身耐腐蚀等级≥10级；乙酸盐雾试验：连续喷雾≥100h，镀(涂)层对基体的保护等级≥10级，镀(涂)层本身耐腐蚀等级≥10级；室温压缩试验：抗压强度≥830MPa；平均晶粒度≥7级，布氏硬度≥220HBW。</w:t>
            </w:r>
          </w:p>
          <w:p w14:paraId="79AD7EA1">
            <w:pPr>
              <w:numPr>
                <w:ilvl w:val="0"/>
                <w:numId w:val="1"/>
              </w:numPr>
              <w:jc w:val="left"/>
              <w:rPr>
                <w:rFonts w:hint="eastAsia" w:asciiTheme="minorEastAsia" w:hAnsiTheme="minorEastAsia" w:eastAsiaTheme="minorEastAsia" w:cstheme="minorEastAsia"/>
                <w:color w:val="FF0000"/>
                <w:szCs w:val="21"/>
                <w:highlight w:val="none"/>
                <w:lang w:val="en-US" w:eastAsia="zh-CN"/>
              </w:rPr>
            </w:pPr>
            <w:r>
              <w:rPr>
                <w:rFonts w:hint="eastAsia" w:asciiTheme="minorEastAsia" w:hAnsiTheme="minorEastAsia" w:eastAsiaTheme="minorEastAsia" w:cstheme="minorEastAsia"/>
                <w:color w:val="FF0000"/>
                <w:szCs w:val="21"/>
                <w:highlight w:val="yellow"/>
                <w:lang w:val="zh-CN" w:eastAsia="zh-CN"/>
              </w:rPr>
              <w:t>《</w:t>
            </w:r>
            <w:r>
              <w:rPr>
                <w:rFonts w:hint="eastAsia" w:asciiTheme="minorEastAsia" w:hAnsiTheme="minorEastAsia" w:eastAsiaTheme="minorEastAsia" w:cstheme="minorEastAsia"/>
                <w:color w:val="FF0000"/>
                <w:szCs w:val="21"/>
                <w:highlight w:val="yellow"/>
                <w:lang w:val="en-US" w:eastAsia="zh-CN"/>
              </w:rPr>
              <w:t>塑料连接件</w:t>
            </w:r>
            <w:r>
              <w:rPr>
                <w:rFonts w:hint="eastAsia" w:asciiTheme="minorEastAsia" w:hAnsiTheme="minorEastAsia" w:eastAsiaTheme="minorEastAsia" w:cstheme="minorEastAsia"/>
                <w:color w:val="FF0000"/>
                <w:szCs w:val="21"/>
                <w:highlight w:val="yellow"/>
                <w:lang w:val="zh-CN" w:eastAsia="zh-CN"/>
              </w:rPr>
              <w:t>》</w:t>
            </w:r>
            <w:r>
              <w:rPr>
                <w:rFonts w:hint="eastAsia" w:asciiTheme="minorEastAsia" w:hAnsiTheme="minorEastAsia" w:eastAsiaTheme="minorEastAsia" w:cstheme="minorEastAsia"/>
                <w:color w:val="FF0000"/>
                <w:szCs w:val="21"/>
                <w:highlight w:val="none"/>
                <w:lang w:val="en-US" w:eastAsia="zh-CN"/>
              </w:rPr>
              <w:t>检测依据包含</w:t>
            </w:r>
            <w:r>
              <w:rPr>
                <w:rFonts w:hint="eastAsia" w:asciiTheme="minorEastAsia" w:hAnsiTheme="minorEastAsia" w:eastAsiaTheme="minorEastAsia" w:cstheme="minorEastAsia"/>
                <w:color w:val="FF0000"/>
                <w:szCs w:val="21"/>
                <w:highlight w:val="none"/>
                <w:lang w:val="zh-CN" w:eastAsia="zh-CN"/>
              </w:rPr>
              <w:t>GB 18584-2024、GB/T 40906-2021，</w:t>
            </w:r>
            <w:r>
              <w:rPr>
                <w:rFonts w:hint="eastAsia" w:asciiTheme="minorEastAsia" w:hAnsiTheme="minorEastAsia" w:eastAsiaTheme="minorEastAsia" w:cstheme="minorEastAsia"/>
                <w:color w:val="FF0000"/>
                <w:szCs w:val="21"/>
                <w:highlight w:val="none"/>
                <w:lang w:val="en-US" w:eastAsia="zh-CN"/>
              </w:rPr>
              <w:t>要求</w:t>
            </w:r>
            <w:r>
              <w:rPr>
                <w:rFonts w:hint="eastAsia" w:asciiTheme="minorEastAsia" w:hAnsiTheme="minorEastAsia" w:eastAsiaTheme="minorEastAsia" w:cstheme="minorEastAsia"/>
                <w:color w:val="FF0000"/>
                <w:szCs w:val="21"/>
                <w:highlight w:val="none"/>
                <w:lang w:val="zh-CN" w:eastAsia="zh-CN"/>
              </w:rPr>
              <w:t>DBP、BBP、DEHP总量未检出；DNOP、DINP、DIDP总量未检出。</w:t>
            </w:r>
          </w:p>
          <w:p w14:paraId="3F9BD00D">
            <w:pPr>
              <w:numPr>
                <w:ilvl w:val="0"/>
                <w:numId w:val="1"/>
              </w:numPr>
              <w:jc w:val="left"/>
              <w:rPr>
                <w:rFonts w:hint="eastAsia" w:asciiTheme="minorEastAsia" w:hAnsiTheme="minorEastAsia" w:eastAsiaTheme="minorEastAsia" w:cstheme="minorEastAsia"/>
                <w:color w:val="FF0000"/>
                <w:szCs w:val="21"/>
                <w:highlight w:val="none"/>
                <w:lang w:val="en-US" w:eastAsia="zh-CN"/>
              </w:rPr>
            </w:pPr>
            <w:r>
              <w:rPr>
                <w:rFonts w:hint="eastAsia" w:asciiTheme="minorEastAsia" w:hAnsiTheme="minorEastAsia" w:eastAsiaTheme="minorEastAsia" w:cstheme="minorEastAsia"/>
                <w:color w:val="FF0000"/>
                <w:szCs w:val="21"/>
                <w:highlight w:val="yellow"/>
                <w:lang w:val="zh-CN" w:eastAsia="zh-CN"/>
              </w:rPr>
              <w:t>《</w:t>
            </w:r>
            <w:r>
              <w:rPr>
                <w:rFonts w:hint="eastAsia" w:asciiTheme="minorEastAsia" w:hAnsiTheme="minorEastAsia" w:eastAsiaTheme="minorEastAsia" w:cstheme="minorEastAsia"/>
                <w:color w:val="FF0000"/>
                <w:szCs w:val="21"/>
                <w:highlight w:val="yellow"/>
                <w:lang w:val="en-US" w:eastAsia="zh-CN"/>
              </w:rPr>
              <w:t>面料</w:t>
            </w:r>
            <w:r>
              <w:rPr>
                <w:rFonts w:hint="eastAsia" w:asciiTheme="minorEastAsia" w:hAnsiTheme="minorEastAsia" w:eastAsiaTheme="minorEastAsia" w:cstheme="minorEastAsia"/>
                <w:color w:val="FF0000"/>
                <w:szCs w:val="21"/>
                <w:highlight w:val="yellow"/>
                <w:lang w:val="zh-CN" w:eastAsia="zh-CN"/>
              </w:rPr>
              <w:t>》</w:t>
            </w:r>
            <w:r>
              <w:rPr>
                <w:rFonts w:hint="eastAsia" w:asciiTheme="minorEastAsia" w:hAnsiTheme="minorEastAsia" w:eastAsiaTheme="minorEastAsia" w:cstheme="minorEastAsia"/>
                <w:color w:val="FF0000"/>
                <w:szCs w:val="21"/>
                <w:highlight w:val="none"/>
                <w:lang w:val="en-US" w:eastAsia="zh-CN"/>
              </w:rPr>
              <w:t>检测依据包含</w:t>
            </w:r>
            <w:bookmarkStart w:id="1" w:name="OLE_LINK22"/>
            <w:r>
              <w:rPr>
                <w:rFonts w:hint="eastAsia" w:asciiTheme="minorEastAsia" w:hAnsiTheme="minorEastAsia" w:eastAsiaTheme="minorEastAsia" w:cstheme="minorEastAsia"/>
                <w:color w:val="FF0000"/>
                <w:szCs w:val="21"/>
                <w:highlight w:val="none"/>
                <w:lang w:val="en-US" w:eastAsia="zh-CN"/>
              </w:rPr>
              <w:t>GB 18401-2010要求：</w:t>
            </w:r>
            <w:bookmarkEnd w:id="1"/>
            <w:r>
              <w:rPr>
                <w:rFonts w:hint="eastAsia" w:asciiTheme="minorEastAsia" w:hAnsiTheme="minorEastAsia" w:eastAsiaTheme="minorEastAsia" w:cstheme="minorEastAsia"/>
                <w:color w:val="FF0000"/>
                <w:szCs w:val="21"/>
                <w:highlight w:val="none"/>
                <w:lang w:val="en-US" w:eastAsia="zh-CN"/>
              </w:rPr>
              <w:t>甲醛含量≤300（mg/kg）。</w:t>
            </w:r>
          </w:p>
          <w:p w14:paraId="37D44D35">
            <w:pPr>
              <w:numPr>
                <w:ilvl w:val="0"/>
                <w:numId w:val="1"/>
              </w:numPr>
              <w:jc w:val="left"/>
              <w:rPr>
                <w:rFonts w:hint="eastAsia" w:asciiTheme="minorEastAsia" w:hAnsiTheme="minorEastAsia" w:eastAsiaTheme="minorEastAsia" w:cstheme="minorEastAsia"/>
                <w:color w:val="FF0000"/>
                <w:szCs w:val="21"/>
                <w:highlight w:val="none"/>
                <w:lang w:val="en-US" w:eastAsia="zh-CN"/>
              </w:rPr>
            </w:pPr>
            <w:r>
              <w:rPr>
                <w:rFonts w:hint="eastAsia" w:asciiTheme="minorEastAsia" w:hAnsiTheme="minorEastAsia" w:eastAsiaTheme="minorEastAsia" w:cstheme="minorEastAsia"/>
                <w:color w:val="FF0000"/>
                <w:szCs w:val="21"/>
                <w:highlight w:val="yellow"/>
                <w:lang w:val="en-US" w:eastAsia="zh-CN"/>
              </w:rPr>
              <w:t>《橡胶木》</w:t>
            </w:r>
            <w:r>
              <w:rPr>
                <w:rFonts w:hint="eastAsia" w:asciiTheme="minorEastAsia" w:hAnsiTheme="minorEastAsia" w:eastAsiaTheme="minorEastAsia" w:cstheme="minorEastAsia"/>
                <w:color w:val="FF0000"/>
                <w:szCs w:val="21"/>
                <w:highlight w:val="none"/>
                <w:lang w:val="en-US" w:eastAsia="zh-CN"/>
              </w:rPr>
              <w:t>检测依据包含LY/T2152-2013、LY/T1985-2011、GB/T 1927.6-2021、GB/T 1927.8-2021标准，要求抗冲击压痕：径面、弦面≥5kJ/㎡，五氯苯酚未检出；干缩性：干缩率≤6%；湿胀性：湿胀率≤6%等。</w:t>
            </w:r>
          </w:p>
          <w:p w14:paraId="3859BB24">
            <w:pPr>
              <w:numPr>
                <w:ilvl w:val="0"/>
                <w:numId w:val="1"/>
              </w:numPr>
              <w:jc w:val="left"/>
              <w:rPr>
                <w:rFonts w:hint="eastAsia" w:asciiTheme="minorEastAsia" w:hAnsiTheme="minorEastAsia" w:eastAsiaTheme="minorEastAsia" w:cstheme="minorEastAsia"/>
                <w:color w:val="FF0000"/>
                <w:szCs w:val="21"/>
                <w:highlight w:val="none"/>
                <w:lang w:val="en-US" w:eastAsia="zh-CN"/>
              </w:rPr>
            </w:pPr>
            <w:r>
              <w:rPr>
                <w:rFonts w:hint="eastAsia" w:asciiTheme="minorEastAsia" w:hAnsiTheme="minorEastAsia" w:eastAsiaTheme="minorEastAsia" w:cstheme="minorEastAsia"/>
                <w:color w:val="FF0000"/>
                <w:szCs w:val="21"/>
                <w:highlight w:val="yellow"/>
                <w:lang w:val="en-US" w:eastAsia="zh-CN"/>
              </w:rPr>
              <w:t>《水性油漆（面漆）》</w:t>
            </w:r>
            <w:r>
              <w:rPr>
                <w:rFonts w:hint="eastAsia" w:asciiTheme="minorEastAsia" w:hAnsiTheme="minorEastAsia" w:eastAsiaTheme="minorEastAsia" w:cstheme="minorEastAsia"/>
                <w:color w:val="FF0000"/>
                <w:szCs w:val="21"/>
                <w:highlight w:val="none"/>
                <w:lang w:val="en-US" w:eastAsia="zh-CN"/>
              </w:rPr>
              <w:t>检测依据包含GB/T 23983-2009、GB/T 23982-2009、</w:t>
            </w:r>
            <w:bookmarkStart w:id="2" w:name="OLE_LINK18"/>
            <w:r>
              <w:rPr>
                <w:rFonts w:hint="eastAsia" w:asciiTheme="minorEastAsia" w:hAnsiTheme="minorEastAsia" w:eastAsiaTheme="minorEastAsia" w:cstheme="minorEastAsia"/>
                <w:color w:val="FF0000"/>
                <w:szCs w:val="21"/>
                <w:highlight w:val="none"/>
                <w:lang w:val="en-US" w:eastAsia="zh-CN"/>
              </w:rPr>
              <w:t>GB/T 23999-2009</w:t>
            </w:r>
            <w:bookmarkEnd w:id="2"/>
            <w:r>
              <w:rPr>
                <w:rFonts w:hint="eastAsia" w:asciiTheme="minorEastAsia" w:hAnsiTheme="minorEastAsia" w:eastAsiaTheme="minorEastAsia" w:cstheme="minorEastAsia"/>
                <w:color w:val="FF0000"/>
                <w:szCs w:val="21"/>
                <w:highlight w:val="none"/>
                <w:lang w:val="en-US" w:eastAsia="zh-CN"/>
              </w:rPr>
              <w:t>、GB/T 30647-2014、GB/T 4893.3-2020、GB/T 9279.1-2015、GB/T 35602-2017、GB/T 23994-2009、HJ2537-2014，抗粘连性：MM：A-0、MB：A-0，表面耐干热达到1级，耐划痕：未划伤，VOC含量（涂料）≤55g/L，可溶性铅未检出，甲醛含量≤20mg/Kg，乙二醇醚及醚酯总和含量、未检出，N-甲基吡咯烷酮(NMP)含量、N，N-二甲基甲酰胺(DMF)含量、异佛尔酮未检出，重金属元素含量(限木器涂料用色漆)：六价铬未检出，可溶性元素：锑(Sb)、砷(AS)、钡(Ba)、硒(Se)未检出。</w:t>
            </w:r>
          </w:p>
          <w:p w14:paraId="2873E0C0">
            <w:pPr>
              <w:autoSpaceDE w:val="0"/>
              <w:autoSpaceDN w:val="0"/>
              <w:rPr>
                <w:rFonts w:hint="eastAsia"/>
              </w:rPr>
            </w:pPr>
            <w:r>
              <w:rPr>
                <w:rFonts w:hint="eastAsia" w:ascii="宋体" w:hAnsi="宋体" w:cs="宋体"/>
                <w:b/>
                <w:bCs/>
                <w:szCs w:val="21"/>
              </w:rPr>
              <w:t>2.评分标准：</w:t>
            </w:r>
          </w:p>
          <w:p w14:paraId="005FE949">
            <w:pPr>
              <w:numPr>
                <w:ilvl w:val="0"/>
                <w:numId w:val="0"/>
              </w:numPr>
              <w:jc w:val="left"/>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szCs w:val="21"/>
                <w:lang w:val="en-US" w:eastAsia="zh-CN"/>
              </w:rPr>
              <w:t>投标人需同时提供标注CMA标识的抽检报告及检测报告在全国认证认可信息公共服务平台网站（http://cx.cnca.cn/CertECloud/qts/qts/qtsPage）查询截图扫描件作为得分依据，对应参数在检测报告中标注，原件备查，否则不得分。</w:t>
            </w:r>
          </w:p>
          <w:p w14:paraId="4E439354">
            <w:pPr>
              <w:numPr>
                <w:ilvl w:val="0"/>
                <w:numId w:val="0"/>
              </w:numPr>
              <w:jc w:val="left"/>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lang w:val="en-US" w:eastAsia="zh-CN"/>
              </w:rPr>
              <w:t>因该平台升级等原因导致无法查询的，则需提供通过检测机构官网、邮箱等可靠途径查询所提交检测报告具体内容的真实性的证明材料或者检测机构盖章的证明材料，证明该报告真实有效。</w:t>
            </w:r>
          </w:p>
          <w:p w14:paraId="6CB744E3">
            <w:pPr>
              <w:pStyle w:val="2"/>
              <w:ind w:left="0" w:leftChars="0" w:firstLine="0" w:firstLineChars="0"/>
              <w:rPr>
                <w:rFonts w:hint="eastAsia"/>
                <w:lang w:val="en-US" w:eastAsia="zh-CN"/>
              </w:rPr>
            </w:pPr>
            <w:r>
              <w:rPr>
                <w:rFonts w:hint="eastAsia" w:ascii="宋体" w:hAnsi="宋体" w:eastAsia="宋体" w:cs="宋体"/>
                <w:sz w:val="24"/>
                <w:szCs w:val="24"/>
                <w:lang w:val="en-US" w:eastAsia="zh-CN"/>
              </w:rPr>
              <w:t>总分</w:t>
            </w:r>
            <w:r>
              <w:rPr>
                <w:rFonts w:hint="eastAsia" w:ascii="宋体" w:hAnsi="宋体" w:cs="宋体"/>
                <w:sz w:val="24"/>
                <w:szCs w:val="24"/>
                <w:lang w:val="en-US" w:eastAsia="zh-CN"/>
              </w:rPr>
              <w:t>24</w:t>
            </w:r>
            <w:r>
              <w:rPr>
                <w:rFonts w:hint="eastAsia" w:ascii="宋体" w:hAnsi="宋体" w:eastAsia="宋体" w:cs="宋体"/>
                <w:sz w:val="24"/>
                <w:szCs w:val="24"/>
                <w:lang w:val="en-US" w:eastAsia="zh-CN"/>
              </w:rPr>
              <w:t>分，</w:t>
            </w:r>
            <w:r>
              <w:rPr>
                <w:rFonts w:ascii="宋体" w:hAnsi="宋体" w:eastAsia="宋体" w:cs="宋体"/>
                <w:sz w:val="24"/>
                <w:szCs w:val="24"/>
              </w:rPr>
              <w:t>每项</w:t>
            </w:r>
            <w:r>
              <w:rPr>
                <w:rFonts w:hint="eastAsia" w:ascii="宋体" w:hAnsi="宋体" w:cs="宋体"/>
                <w:sz w:val="24"/>
                <w:szCs w:val="24"/>
                <w:lang w:val="en-US" w:eastAsia="zh-CN"/>
              </w:rPr>
              <w:t>报告4</w:t>
            </w:r>
            <w:r>
              <w:rPr>
                <w:rFonts w:ascii="宋体" w:hAnsi="宋体" w:eastAsia="宋体" w:cs="宋体"/>
                <w:sz w:val="24"/>
                <w:szCs w:val="24"/>
              </w:rPr>
              <w:t>分，按项得分；能提供对应完整检测项目 CMA 报告得该项满分，检测项目缺失或无有效报告不得该项分。</w:t>
            </w:r>
          </w:p>
        </w:tc>
      </w:tr>
      <w:tr w14:paraId="74E1779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655" w:hRule="atLeast"/>
        </w:trPr>
        <w:tc>
          <w:tcPr>
            <w:tcW w:w="576" w:type="pct"/>
            <w:vMerge w:val="continue"/>
            <w:tcBorders>
              <w:right w:val="single" w:color="auto" w:sz="4" w:space="0"/>
            </w:tcBorders>
            <w:vAlign w:val="center"/>
          </w:tcPr>
          <w:p w14:paraId="72AF7E7D">
            <w:pPr>
              <w:jc w:val="center"/>
              <w:rPr>
                <w:rFonts w:asciiTheme="minorEastAsia" w:hAnsiTheme="minorEastAsia" w:eastAsiaTheme="minorEastAsia" w:cstheme="minorEastAsia"/>
                <w:szCs w:val="21"/>
              </w:rPr>
            </w:pPr>
          </w:p>
        </w:tc>
        <w:tc>
          <w:tcPr>
            <w:tcW w:w="662" w:type="pct"/>
            <w:tcBorders>
              <w:top w:val="single" w:color="auto" w:sz="4" w:space="0"/>
              <w:left w:val="single" w:color="auto" w:sz="4" w:space="0"/>
              <w:bottom w:val="single" w:color="auto" w:sz="4" w:space="0"/>
            </w:tcBorders>
            <w:vAlign w:val="center"/>
          </w:tcPr>
          <w:p w14:paraId="3EDF2E12">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项目实施方案</w:t>
            </w:r>
          </w:p>
          <w:p w14:paraId="41CB41D6">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（10分）</w:t>
            </w:r>
          </w:p>
        </w:tc>
        <w:tc>
          <w:tcPr>
            <w:tcW w:w="3761" w:type="pct"/>
            <w:tcBorders>
              <w:top w:val="single" w:color="auto" w:sz="4" w:space="0"/>
              <w:bottom w:val="single" w:color="auto" w:sz="4" w:space="0"/>
            </w:tcBorders>
            <w:vAlign w:val="center"/>
          </w:tcPr>
          <w:p w14:paraId="7712EB15">
            <w:pPr>
              <w:autoSpaceDE w:val="0"/>
              <w:autoSpaceDN w:val="0"/>
              <w:rPr>
                <w:rFonts w:hint="eastAsia"/>
              </w:rPr>
            </w:pPr>
            <w:r>
              <w:rPr>
                <w:rFonts w:hint="eastAsia" w:ascii="宋体" w:hAnsi="宋体" w:cs="宋体"/>
                <w:b/>
                <w:bCs/>
                <w:szCs w:val="21"/>
              </w:rPr>
              <w:t>1.评审内容：</w:t>
            </w:r>
          </w:p>
          <w:p w14:paraId="6DB5F6D1">
            <w:pPr>
              <w:autoSpaceDE w:val="0"/>
              <w:autoSpaceDN w:val="0"/>
              <w:rPr>
                <w:rFonts w:hint="eastAsia"/>
              </w:rPr>
            </w:pPr>
            <w:r>
              <w:rPr>
                <w:rFonts w:hint="eastAsia"/>
              </w:rPr>
              <w:t>根据投标人提供的项目实施方案进行评审，内容包括：</w:t>
            </w:r>
          </w:p>
          <w:p w14:paraId="33B5D56E">
            <w:pPr>
              <w:autoSpaceDE w:val="0"/>
              <w:autoSpaceDN w:val="0"/>
              <w:rPr>
                <w:rFonts w:hint="eastAsia"/>
              </w:rPr>
            </w:pPr>
            <w:r>
              <w:rPr>
                <w:rFonts w:hint="eastAsia"/>
              </w:rPr>
              <w:t>1、产品供货方案；</w:t>
            </w:r>
          </w:p>
          <w:p w14:paraId="331530F1">
            <w:pPr>
              <w:autoSpaceDE w:val="0"/>
              <w:autoSpaceDN w:val="0"/>
              <w:rPr>
                <w:rFonts w:hint="eastAsia"/>
              </w:rPr>
            </w:pPr>
            <w:r>
              <w:rPr>
                <w:rFonts w:hint="eastAsia"/>
              </w:rPr>
              <w:t>2、质量保障方案；</w:t>
            </w:r>
          </w:p>
          <w:p w14:paraId="5D841ED0">
            <w:pPr>
              <w:autoSpaceDE w:val="0"/>
              <w:autoSpaceDN w:val="0"/>
              <w:rPr>
                <w:rFonts w:hint="eastAsia"/>
              </w:rPr>
            </w:pPr>
            <w:r>
              <w:rPr>
                <w:rFonts w:hint="eastAsia"/>
              </w:rPr>
              <w:t>3、实施能力方案。</w:t>
            </w:r>
          </w:p>
          <w:p w14:paraId="5C995DA3">
            <w:pPr>
              <w:autoSpaceDE w:val="0"/>
              <w:autoSpaceDN w:val="0"/>
              <w:rPr>
                <w:rFonts w:hint="eastAsia"/>
              </w:rPr>
            </w:pPr>
            <w:r>
              <w:rPr>
                <w:rFonts w:hint="eastAsia" w:ascii="宋体" w:hAnsi="宋体" w:cs="宋体"/>
                <w:b/>
                <w:bCs/>
                <w:szCs w:val="21"/>
              </w:rPr>
              <w:t>2.评分标准：</w:t>
            </w:r>
          </w:p>
          <w:p w14:paraId="47E4E035">
            <w:pPr>
              <w:autoSpaceDE w:val="0"/>
              <w:autoSpaceDN w:val="0"/>
              <w:rPr>
                <w:rFonts w:hint="eastAsia" w:eastAsia="宋体" w:cs="Times New Roman"/>
                <w:lang w:eastAsia="zh-CN"/>
              </w:rPr>
            </w:pPr>
            <w:r>
              <w:rPr>
                <w:rFonts w:hint="eastAsia" w:eastAsia="宋体" w:cs="Times New Roman"/>
                <w:lang w:eastAsia="zh-CN"/>
              </w:rPr>
              <w:t>1、满足三点得</w:t>
            </w:r>
            <w:r>
              <w:rPr>
                <w:rFonts w:hint="eastAsia" w:eastAsia="宋体" w:cs="Times New Roman"/>
                <w:lang w:val="en-US" w:eastAsia="zh-CN"/>
              </w:rPr>
              <w:t>6</w:t>
            </w:r>
            <w:r>
              <w:rPr>
                <w:rFonts w:hint="eastAsia" w:eastAsia="宋体" w:cs="Times New Roman"/>
                <w:lang w:eastAsia="zh-CN"/>
              </w:rPr>
              <w:t>分，满足任意两点得</w:t>
            </w:r>
            <w:r>
              <w:rPr>
                <w:rFonts w:hint="eastAsia" w:eastAsia="宋体" w:cs="Times New Roman"/>
                <w:lang w:val="en-US" w:eastAsia="zh-CN"/>
              </w:rPr>
              <w:t>4</w:t>
            </w:r>
            <w:r>
              <w:rPr>
                <w:rFonts w:hint="eastAsia" w:eastAsia="宋体" w:cs="Times New Roman"/>
                <w:lang w:eastAsia="zh-CN"/>
              </w:rPr>
              <w:t>分，满足任意一点得</w:t>
            </w:r>
            <w:r>
              <w:rPr>
                <w:rFonts w:hint="eastAsia" w:eastAsia="宋体" w:cs="Times New Roman"/>
                <w:lang w:val="en-US" w:eastAsia="zh-CN"/>
              </w:rPr>
              <w:t>2</w:t>
            </w:r>
            <w:r>
              <w:rPr>
                <w:rFonts w:hint="eastAsia" w:eastAsia="宋体" w:cs="Times New Roman"/>
                <w:lang w:eastAsia="zh-CN"/>
              </w:rPr>
              <w:t>分，未满足不得分；</w:t>
            </w:r>
          </w:p>
          <w:p w14:paraId="0CDB056A">
            <w:pPr>
              <w:autoSpaceDE w:val="0"/>
              <w:autoSpaceDN w:val="0"/>
              <w:rPr>
                <w:rFonts w:hint="eastAsia" w:eastAsia="宋体" w:cs="Times New Roman"/>
                <w:lang w:val="en-US" w:eastAsia="zh-CN"/>
              </w:rPr>
            </w:pPr>
            <w:r>
              <w:rPr>
                <w:rFonts w:hint="eastAsia" w:eastAsia="宋体" w:cs="Times New Roman"/>
                <w:lang w:eastAsia="zh-CN"/>
              </w:rPr>
              <w:t>2、在此基础上，由评审委员会对项目实施方</w:t>
            </w:r>
            <w:r>
              <w:rPr>
                <w:rFonts w:hint="eastAsia" w:eastAsia="宋体" w:cs="Times New Roman"/>
                <w:lang w:val="en-US" w:eastAsia="zh-CN"/>
              </w:rPr>
              <w:t>案进行进一步评价：</w:t>
            </w:r>
          </w:p>
          <w:p w14:paraId="0E3E2D07">
            <w:pPr>
              <w:autoSpaceDE w:val="0"/>
              <w:autoSpaceDN w:val="0"/>
              <w:rPr>
                <w:rFonts w:hint="eastAsia" w:eastAsia="宋体" w:cs="Times New Roman"/>
                <w:lang w:val="en-US" w:eastAsia="zh-CN"/>
              </w:rPr>
            </w:pPr>
            <w:r>
              <w:rPr>
                <w:rFonts w:hint="eastAsia" w:eastAsia="宋体" w:cs="Times New Roman"/>
                <w:lang w:val="en-US" w:eastAsia="zh-CN"/>
              </w:rPr>
              <w:t>（1）优：项目实施方案合理性、针对性强的加4分；</w:t>
            </w:r>
          </w:p>
          <w:p w14:paraId="45166CD5">
            <w:pPr>
              <w:autoSpaceDE w:val="0"/>
              <w:autoSpaceDN w:val="0"/>
              <w:rPr>
                <w:rFonts w:hint="eastAsia" w:eastAsia="宋体" w:cs="Times New Roman"/>
                <w:lang w:val="en-US" w:eastAsia="zh-CN"/>
              </w:rPr>
            </w:pPr>
            <w:r>
              <w:rPr>
                <w:rFonts w:hint="eastAsia" w:eastAsia="宋体" w:cs="Times New Roman"/>
                <w:lang w:val="en-US" w:eastAsia="zh-CN"/>
              </w:rPr>
              <w:t>（2）良：项目实施方案合理性、针对性较强的加2分；</w:t>
            </w:r>
          </w:p>
          <w:p w14:paraId="3A007D1E">
            <w:pPr>
              <w:autoSpaceDE w:val="0"/>
              <w:autoSpaceDN w:val="0"/>
              <w:rPr>
                <w:rFonts w:hint="eastAsia" w:eastAsia="宋体" w:cs="Times New Roman"/>
                <w:lang w:val="en-US" w:eastAsia="zh-CN"/>
              </w:rPr>
            </w:pPr>
            <w:r>
              <w:rPr>
                <w:rFonts w:hint="eastAsia" w:eastAsia="宋体" w:cs="Times New Roman"/>
                <w:lang w:val="en-US" w:eastAsia="zh-CN"/>
              </w:rPr>
              <w:t>（3）中：项目实施方案合理性、针对性一般的加1分；</w:t>
            </w:r>
          </w:p>
          <w:p w14:paraId="68D981CA">
            <w:pPr>
              <w:autoSpaceDE w:val="0"/>
              <w:autoSpaceDN w:val="0"/>
              <w:rPr>
                <w:rFonts w:hint="eastAsia" w:ascii="宋体" w:hAnsi="宋体" w:eastAsia="宋体" w:cs="宋体"/>
                <w:kern w:val="2"/>
                <w:sz w:val="24"/>
                <w:szCs w:val="21"/>
                <w:lang w:val="en-US" w:eastAsia="zh-CN" w:bidi="ar-SA"/>
              </w:rPr>
            </w:pPr>
            <w:r>
              <w:rPr>
                <w:rFonts w:hint="eastAsia" w:eastAsia="宋体" w:cs="Times New Roman"/>
                <w:lang w:val="en-US" w:eastAsia="zh-CN"/>
              </w:rPr>
              <w:t>其余情况不加分。</w:t>
            </w:r>
          </w:p>
        </w:tc>
      </w:tr>
      <w:tr w14:paraId="29BB0B4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892" w:hRule="atLeast"/>
        </w:trPr>
        <w:tc>
          <w:tcPr>
            <w:tcW w:w="576" w:type="pct"/>
            <w:vMerge w:val="continue"/>
            <w:tcBorders>
              <w:right w:val="single" w:color="auto" w:sz="4" w:space="0"/>
            </w:tcBorders>
            <w:vAlign w:val="center"/>
          </w:tcPr>
          <w:p w14:paraId="1DA51A5F">
            <w:pPr>
              <w:jc w:val="center"/>
              <w:rPr>
                <w:rFonts w:asciiTheme="minorEastAsia" w:hAnsiTheme="minorEastAsia" w:eastAsiaTheme="minorEastAsia" w:cstheme="minorEastAsia"/>
                <w:szCs w:val="21"/>
              </w:rPr>
            </w:pPr>
          </w:p>
        </w:tc>
        <w:tc>
          <w:tcPr>
            <w:tcW w:w="662" w:type="pct"/>
            <w:tcBorders>
              <w:top w:val="single" w:color="auto" w:sz="4" w:space="0"/>
              <w:left w:val="single" w:color="auto" w:sz="4" w:space="0"/>
              <w:bottom w:val="single" w:color="auto" w:sz="4" w:space="0"/>
            </w:tcBorders>
            <w:vAlign w:val="center"/>
          </w:tcPr>
          <w:p w14:paraId="2C250C1B">
            <w:pPr>
              <w:jc w:val="center"/>
              <w:rPr>
                <w:rFonts w:hint="eastAsia" w:asciiTheme="minorEastAsia" w:hAnsiTheme="minorEastAsia" w:eastAsiaTheme="minorEastAsia" w:cstheme="minorEastAsia"/>
                <w:szCs w:val="21"/>
                <w:lang w:val="en-US" w:eastAsia="zh-CN"/>
              </w:rPr>
            </w:pPr>
            <w:r>
              <w:rPr>
                <w:rFonts w:hint="eastAsia"/>
                <w:lang w:val="en-US" w:eastAsia="zh-CN"/>
              </w:rPr>
              <w:t>维修</w:t>
            </w:r>
            <w:r>
              <w:t>响应服务</w:t>
            </w:r>
            <w:r>
              <w:rPr>
                <w:rFonts w:hint="eastAsia"/>
                <w:lang w:val="en-US" w:eastAsia="zh-CN"/>
              </w:rPr>
              <w:t>方案</w:t>
            </w:r>
            <w:r>
              <w:rPr>
                <w:rFonts w:hint="eastAsia" w:asciiTheme="minorEastAsia" w:hAnsiTheme="minorEastAsia" w:eastAsiaTheme="minorEastAsia" w:cstheme="minorEastAsia"/>
                <w:szCs w:val="21"/>
                <w:lang w:val="en-US" w:eastAsia="zh-CN"/>
              </w:rPr>
              <w:t>（8分）</w:t>
            </w:r>
          </w:p>
        </w:tc>
        <w:tc>
          <w:tcPr>
            <w:tcW w:w="3761" w:type="pct"/>
            <w:tcBorders>
              <w:top w:val="single" w:color="auto" w:sz="4" w:space="0"/>
              <w:bottom w:val="single" w:color="auto" w:sz="4" w:space="0"/>
            </w:tcBorders>
            <w:vAlign w:val="center"/>
          </w:tcPr>
          <w:p w14:paraId="02BF5FE9">
            <w:pPr>
              <w:jc w:val="left"/>
            </w:pPr>
            <w:r>
              <w:t xml:space="preserve">响应服务情况包括但不限于响应供应商响应时间、解决时间： </w:t>
            </w:r>
          </w:p>
          <w:p w14:paraId="743D5F4A">
            <w:pPr>
              <w:jc w:val="left"/>
            </w:pPr>
            <w:r>
              <w:rPr>
                <w:rFonts w:hint="eastAsia"/>
              </w:rPr>
              <w:t>中标供应商必须提供 7×24 小时电话服务热线，保证在接到采购人电话后 24 小时内响应并提供解决方案，如无法远程解决问题，中标供应商必须派员在 8 小时内到达现场，若在 48 小时内仍未能有效解决，中标供应商必须免费提供相同质量的货物予采购</w:t>
            </w:r>
            <w:r>
              <w:rPr>
                <w:rFonts w:hint="eastAsia"/>
                <w:lang w:eastAsia="zh-CN"/>
              </w:rPr>
              <w:t>，</w:t>
            </w:r>
            <w:r>
              <w:rPr>
                <w:rFonts w:hint="eastAsia"/>
                <w:lang w:val="en-US" w:eastAsia="zh-CN"/>
              </w:rPr>
              <w:t>得4分，</w:t>
            </w:r>
            <w:r>
              <w:t>无或其他情况不得分。 备注：提供承诺函，格式自拟。</w:t>
            </w:r>
          </w:p>
          <w:p w14:paraId="78D6D75D">
            <w:pPr>
              <w:autoSpaceDE w:val="0"/>
              <w:autoSpaceDN w:val="0"/>
              <w:rPr>
                <w:rFonts w:hint="eastAsia" w:eastAsia="宋体" w:cs="Times New Roman"/>
                <w:lang w:val="en-US" w:eastAsia="zh-CN"/>
              </w:rPr>
            </w:pPr>
            <w:r>
              <w:rPr>
                <w:rFonts w:hint="eastAsia"/>
                <w:lang w:val="en-US" w:eastAsia="zh-CN"/>
              </w:rPr>
              <w:t>2.</w:t>
            </w:r>
            <w:r>
              <w:t>维修响应方案，售后服务机构设置、团队组织合理，经验丰富</w:t>
            </w:r>
            <w:r>
              <w:rPr>
                <w:rFonts w:hint="eastAsia"/>
                <w:lang w:eastAsia="zh-CN"/>
              </w:rPr>
              <w:t>，</w:t>
            </w:r>
            <w:r>
              <w:rPr>
                <w:rFonts w:hint="eastAsia"/>
                <w:lang w:val="en-US" w:eastAsia="zh-CN"/>
              </w:rPr>
              <w:t>得4</w:t>
            </w:r>
            <w:r>
              <w:t>分</w:t>
            </w:r>
            <w:r>
              <w:rPr>
                <w:rFonts w:hint="eastAsia"/>
                <w:lang w:eastAsia="zh-CN"/>
              </w:rPr>
              <w:t>；</w:t>
            </w:r>
            <w:r>
              <w:t>维修响应方案满足用户需求，售后服务机构设置、团队组织较合理，经验较丰富</w:t>
            </w:r>
            <w:r>
              <w:rPr>
                <w:rFonts w:hint="eastAsia"/>
                <w:lang w:eastAsia="zh-CN"/>
              </w:rPr>
              <w:t>，</w:t>
            </w:r>
            <w:r>
              <w:rPr>
                <w:rFonts w:hint="eastAsia"/>
                <w:lang w:val="en-US" w:eastAsia="zh-CN"/>
              </w:rPr>
              <w:t>得2</w:t>
            </w:r>
            <w:r>
              <w:t>分</w:t>
            </w:r>
            <w:r>
              <w:rPr>
                <w:rFonts w:hint="eastAsia"/>
                <w:lang w:eastAsia="zh-CN"/>
              </w:rPr>
              <w:t>；</w:t>
            </w:r>
            <w:r>
              <w:t>维修响应方案满足招标文件用户需求，售后服务机构设置、团队组织一般，经验一般</w:t>
            </w:r>
            <w:r>
              <w:rPr>
                <w:rFonts w:hint="eastAsia"/>
                <w:lang w:eastAsia="zh-CN"/>
              </w:rPr>
              <w:t>，</w:t>
            </w:r>
            <w:r>
              <w:rPr>
                <w:rFonts w:hint="eastAsia"/>
                <w:lang w:val="en-US" w:eastAsia="zh-CN"/>
              </w:rPr>
              <w:t>得1</w:t>
            </w:r>
            <w:r>
              <w:t>分</w:t>
            </w:r>
            <w:r>
              <w:rPr>
                <w:rFonts w:hint="eastAsia"/>
                <w:lang w:eastAsia="zh-CN"/>
              </w:rPr>
              <w:t>；</w:t>
            </w:r>
            <w:r>
              <w:t>未提供维修响应方案</w:t>
            </w:r>
            <w:r>
              <w:rPr>
                <w:rFonts w:hint="eastAsia"/>
                <w:lang w:eastAsia="zh-CN"/>
              </w:rPr>
              <w:t>，</w:t>
            </w:r>
            <w:r>
              <w:rPr>
                <w:rFonts w:hint="eastAsia"/>
                <w:lang w:val="en-US" w:eastAsia="zh-CN"/>
              </w:rPr>
              <w:t>不得分。</w:t>
            </w:r>
          </w:p>
        </w:tc>
      </w:tr>
      <w:tr w14:paraId="5DB6C6C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trPr>
        <w:tc>
          <w:tcPr>
            <w:tcW w:w="576" w:type="pct"/>
            <w:vMerge w:val="continue"/>
            <w:tcBorders>
              <w:bottom w:val="single" w:color="auto" w:sz="4" w:space="0"/>
              <w:right w:val="single" w:color="auto" w:sz="4" w:space="0"/>
            </w:tcBorders>
            <w:vAlign w:val="center"/>
          </w:tcPr>
          <w:p w14:paraId="2D1B6988">
            <w:pPr>
              <w:jc w:val="center"/>
              <w:rPr>
                <w:rFonts w:asciiTheme="minorEastAsia" w:hAnsiTheme="minorEastAsia" w:eastAsiaTheme="minorEastAsia" w:cstheme="minorEastAsia"/>
                <w:szCs w:val="21"/>
              </w:rPr>
            </w:pPr>
          </w:p>
        </w:tc>
        <w:tc>
          <w:tcPr>
            <w:tcW w:w="662" w:type="pct"/>
            <w:tcBorders>
              <w:top w:val="single" w:color="auto" w:sz="4" w:space="0"/>
              <w:left w:val="single" w:color="auto" w:sz="4" w:space="0"/>
              <w:bottom w:val="single" w:color="auto" w:sz="4" w:space="0"/>
            </w:tcBorders>
            <w:vAlign w:val="center"/>
          </w:tcPr>
          <w:p w14:paraId="4DAD4F89">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售后服务方案</w:t>
            </w:r>
          </w:p>
          <w:p w14:paraId="3049B357">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w:t>
            </w:r>
          </w:p>
        </w:tc>
        <w:tc>
          <w:tcPr>
            <w:tcW w:w="3761" w:type="pct"/>
            <w:tcBorders>
              <w:top w:val="single" w:color="auto" w:sz="4" w:space="0"/>
              <w:bottom w:val="single" w:color="auto" w:sz="4" w:space="0"/>
            </w:tcBorders>
            <w:vAlign w:val="center"/>
          </w:tcPr>
          <w:p w14:paraId="1891FF44">
            <w:pPr>
              <w:autoSpaceDE w:val="0"/>
              <w:autoSpaceDN w:val="0"/>
              <w:rPr>
                <w:rFonts w:hint="eastAsia"/>
              </w:rPr>
            </w:pPr>
            <w:r>
              <w:rPr>
                <w:rFonts w:hint="eastAsia" w:ascii="宋体" w:hAnsi="宋体" w:cs="宋体"/>
                <w:b/>
                <w:bCs/>
                <w:szCs w:val="21"/>
              </w:rPr>
              <w:t>1.评审内容：</w:t>
            </w:r>
          </w:p>
          <w:p w14:paraId="05A58F14">
            <w:pPr>
              <w:autoSpaceDE w:val="0"/>
              <w:autoSpaceDN w:val="0"/>
              <w:rPr>
                <w:rFonts w:hint="eastAsia" w:eastAsia="宋体" w:cs="Times New Roman"/>
              </w:rPr>
            </w:pPr>
            <w:r>
              <w:rPr>
                <w:rFonts w:hint="eastAsia" w:eastAsia="宋体" w:cs="Times New Roman"/>
              </w:rPr>
              <w:t>根据投标人提供的售后服务方案进行评审，内容包括：</w:t>
            </w:r>
          </w:p>
          <w:p w14:paraId="733A2819">
            <w:pPr>
              <w:autoSpaceDE w:val="0"/>
              <w:autoSpaceDN w:val="0"/>
              <w:rPr>
                <w:rFonts w:hint="eastAsia" w:eastAsia="宋体" w:cs="Times New Roman"/>
              </w:rPr>
            </w:pPr>
            <w:r>
              <w:rPr>
                <w:rFonts w:hint="eastAsia" w:eastAsia="宋体" w:cs="Times New Roman"/>
              </w:rPr>
              <w:t>1、售后服务</w:t>
            </w:r>
            <w:r>
              <w:rPr>
                <w:rFonts w:hint="eastAsia" w:cs="Times New Roman"/>
                <w:lang w:val="en-US" w:eastAsia="zh-CN"/>
              </w:rPr>
              <w:t>实施计划</w:t>
            </w:r>
            <w:r>
              <w:rPr>
                <w:rFonts w:hint="eastAsia" w:eastAsia="宋体" w:cs="Times New Roman"/>
              </w:rPr>
              <w:t>；</w:t>
            </w:r>
          </w:p>
          <w:p w14:paraId="50C45328">
            <w:pPr>
              <w:autoSpaceDE w:val="0"/>
              <w:autoSpaceDN w:val="0"/>
              <w:rPr>
                <w:rFonts w:hint="eastAsia" w:eastAsia="宋体" w:cs="Times New Roman"/>
              </w:rPr>
            </w:pPr>
            <w:r>
              <w:rPr>
                <w:rFonts w:hint="eastAsia" w:eastAsia="宋体" w:cs="Times New Roman"/>
              </w:rPr>
              <w:t>2、售后服务人员安排；</w:t>
            </w:r>
          </w:p>
          <w:p w14:paraId="521F5859">
            <w:pPr>
              <w:autoSpaceDE w:val="0"/>
              <w:autoSpaceDN w:val="0"/>
              <w:rPr>
                <w:rFonts w:hint="eastAsia" w:eastAsia="宋体" w:cs="Times New Roman"/>
              </w:rPr>
            </w:pPr>
            <w:r>
              <w:rPr>
                <w:rFonts w:hint="eastAsia" w:eastAsia="宋体" w:cs="Times New Roman"/>
              </w:rPr>
              <w:t>3、售后服务保障措施。</w:t>
            </w:r>
          </w:p>
          <w:p w14:paraId="418ACA84">
            <w:pPr>
              <w:autoSpaceDE w:val="0"/>
              <w:autoSpaceDN w:val="0"/>
              <w:rPr>
                <w:rFonts w:hint="eastAsia"/>
              </w:rPr>
            </w:pPr>
            <w:r>
              <w:rPr>
                <w:rFonts w:hint="eastAsia" w:ascii="宋体" w:hAnsi="宋体" w:cs="宋体"/>
                <w:b/>
                <w:bCs/>
                <w:szCs w:val="21"/>
              </w:rPr>
              <w:t>2.评分标准：</w:t>
            </w:r>
          </w:p>
          <w:p w14:paraId="56F5221A">
            <w:pPr>
              <w:autoSpaceDE w:val="0"/>
              <w:autoSpaceDN w:val="0"/>
              <w:rPr>
                <w:rFonts w:hint="eastAsia" w:eastAsia="宋体" w:cs="Times New Roman"/>
              </w:rPr>
            </w:pPr>
            <w:r>
              <w:rPr>
                <w:rFonts w:hint="eastAsia" w:eastAsia="宋体" w:cs="Times New Roman"/>
              </w:rPr>
              <w:t>1、满足三点得</w:t>
            </w:r>
            <w:r>
              <w:rPr>
                <w:rFonts w:hint="eastAsia" w:eastAsia="宋体" w:cs="Times New Roman"/>
                <w:lang w:val="en-US" w:eastAsia="zh-CN"/>
              </w:rPr>
              <w:t>6</w:t>
            </w:r>
            <w:r>
              <w:rPr>
                <w:rFonts w:hint="eastAsia" w:eastAsia="宋体" w:cs="Times New Roman"/>
              </w:rPr>
              <w:t>分，满足任意两点得</w:t>
            </w:r>
            <w:r>
              <w:rPr>
                <w:rFonts w:hint="eastAsia" w:eastAsia="宋体" w:cs="Times New Roman"/>
                <w:lang w:val="en-US" w:eastAsia="zh-CN"/>
              </w:rPr>
              <w:t>4</w:t>
            </w:r>
            <w:r>
              <w:rPr>
                <w:rFonts w:hint="eastAsia" w:eastAsia="宋体" w:cs="Times New Roman"/>
              </w:rPr>
              <w:t>分，满足任意一点得</w:t>
            </w:r>
            <w:r>
              <w:rPr>
                <w:rFonts w:hint="eastAsia" w:eastAsia="宋体" w:cs="Times New Roman"/>
                <w:lang w:val="en-US" w:eastAsia="zh-CN"/>
              </w:rPr>
              <w:t>2</w:t>
            </w:r>
            <w:r>
              <w:rPr>
                <w:rFonts w:hint="eastAsia" w:eastAsia="宋体" w:cs="Times New Roman"/>
              </w:rPr>
              <w:t>分，未满足不得分；</w:t>
            </w:r>
          </w:p>
          <w:p w14:paraId="2F631F82">
            <w:pPr>
              <w:autoSpaceDE w:val="0"/>
              <w:autoSpaceDN w:val="0"/>
              <w:rPr>
                <w:rFonts w:hint="eastAsia" w:eastAsia="宋体" w:cs="Times New Roman"/>
              </w:rPr>
            </w:pPr>
            <w:r>
              <w:rPr>
                <w:rFonts w:hint="eastAsia" w:eastAsia="宋体" w:cs="Times New Roman"/>
              </w:rPr>
              <w:t>2、在此基础上，由评审委员会对售后服务方案进行进一步评价：</w:t>
            </w:r>
          </w:p>
          <w:p w14:paraId="794A199A">
            <w:pPr>
              <w:autoSpaceDE w:val="0"/>
              <w:autoSpaceDN w:val="0"/>
              <w:rPr>
                <w:rFonts w:hint="eastAsia" w:eastAsia="宋体" w:cs="Times New Roman"/>
              </w:rPr>
            </w:pPr>
            <w:r>
              <w:rPr>
                <w:rFonts w:hint="eastAsia" w:eastAsia="宋体" w:cs="Times New Roman"/>
              </w:rPr>
              <w:t>（1）优：售后服务方案合理性、针对性强，有商品售后服务评价认证的加</w:t>
            </w:r>
            <w:r>
              <w:rPr>
                <w:rFonts w:hint="eastAsia" w:eastAsia="宋体" w:cs="Times New Roman"/>
                <w:lang w:val="en-US" w:eastAsia="zh-CN"/>
              </w:rPr>
              <w:t>4</w:t>
            </w:r>
            <w:r>
              <w:rPr>
                <w:rFonts w:hint="eastAsia" w:eastAsia="宋体" w:cs="Times New Roman"/>
              </w:rPr>
              <w:t>分；</w:t>
            </w:r>
          </w:p>
          <w:p w14:paraId="0EF22317">
            <w:pPr>
              <w:autoSpaceDE w:val="0"/>
              <w:autoSpaceDN w:val="0"/>
              <w:rPr>
                <w:rFonts w:hint="eastAsia" w:eastAsia="宋体" w:cs="Times New Roman"/>
              </w:rPr>
            </w:pPr>
            <w:r>
              <w:rPr>
                <w:rFonts w:hint="eastAsia" w:eastAsia="宋体" w:cs="Times New Roman"/>
              </w:rPr>
              <w:t>（2）良：售后服务方案合理性、针对性较强的加</w:t>
            </w:r>
            <w:r>
              <w:rPr>
                <w:rFonts w:hint="eastAsia" w:eastAsia="宋体" w:cs="Times New Roman"/>
                <w:lang w:val="en-US" w:eastAsia="zh-CN"/>
              </w:rPr>
              <w:t>2</w:t>
            </w:r>
            <w:r>
              <w:rPr>
                <w:rFonts w:hint="eastAsia" w:eastAsia="宋体" w:cs="Times New Roman"/>
              </w:rPr>
              <w:t>分；</w:t>
            </w:r>
          </w:p>
          <w:p w14:paraId="19D42E83">
            <w:pPr>
              <w:autoSpaceDE w:val="0"/>
              <w:autoSpaceDN w:val="0"/>
              <w:rPr>
                <w:rFonts w:hint="eastAsia" w:eastAsia="宋体" w:cs="Times New Roman"/>
              </w:rPr>
            </w:pPr>
            <w:r>
              <w:rPr>
                <w:rFonts w:hint="eastAsia" w:eastAsia="宋体" w:cs="Times New Roman"/>
              </w:rPr>
              <w:t>（3）中：售后服务方案合理性、针对性一般的加1分；</w:t>
            </w:r>
          </w:p>
          <w:p w14:paraId="0A995664">
            <w:pPr>
              <w:autoSpaceDE w:val="0"/>
              <w:autoSpaceDN w:val="0"/>
              <w:rPr>
                <w:rFonts w:hint="eastAsia" w:asciiTheme="minorEastAsia" w:hAnsiTheme="minorEastAsia" w:eastAsiaTheme="minorEastAsia" w:cstheme="minorEastAsia"/>
                <w:kern w:val="2"/>
                <w:sz w:val="24"/>
                <w:szCs w:val="21"/>
                <w:lang w:val="en-US" w:eastAsia="zh-CN" w:bidi="ar-SA"/>
              </w:rPr>
            </w:pPr>
            <w:r>
              <w:rPr>
                <w:rFonts w:hint="eastAsia" w:eastAsia="宋体" w:cs="Times New Roman"/>
              </w:rPr>
              <w:t>其余情况不加分。</w:t>
            </w:r>
          </w:p>
        </w:tc>
      </w:tr>
    </w:tbl>
    <w:p w14:paraId="1B9BFD40">
      <w:r>
        <w:br w:type="page"/>
      </w:r>
    </w:p>
    <w:p w14:paraId="27864616">
      <w:pPr>
        <w:widowControl/>
        <w:jc w:val="center"/>
        <w:rPr>
          <w:rFonts w:asciiTheme="minorEastAsia" w:hAnsiTheme="minorEastAsia" w:eastAsiaTheme="minorEastAsia" w:cstheme="minorEastAsia"/>
          <w:b/>
          <w:kern w:val="0"/>
          <w:sz w:val="28"/>
          <w:lang w:bidi="ar"/>
        </w:rPr>
      </w:pPr>
      <w:r>
        <w:rPr>
          <w:rFonts w:hint="eastAsia" w:asciiTheme="minorEastAsia" w:hAnsiTheme="minorEastAsia" w:eastAsiaTheme="minorEastAsia" w:cstheme="minorEastAsia"/>
          <w:b/>
          <w:kern w:val="0"/>
          <w:sz w:val="28"/>
          <w:lang w:bidi="ar"/>
        </w:rPr>
        <w:t>商务评审细则（</w:t>
      </w:r>
      <w:r>
        <w:rPr>
          <w:rFonts w:hint="eastAsia" w:asciiTheme="minorEastAsia" w:hAnsiTheme="minorEastAsia" w:eastAsiaTheme="minorEastAsia" w:cstheme="minorEastAsia"/>
          <w:b/>
          <w:kern w:val="0"/>
          <w:sz w:val="28"/>
          <w:lang w:val="en-US" w:eastAsia="zh-CN" w:bidi="ar"/>
        </w:rPr>
        <w:t>18</w:t>
      </w:r>
      <w:r>
        <w:rPr>
          <w:rFonts w:hint="eastAsia" w:asciiTheme="minorEastAsia" w:hAnsiTheme="minorEastAsia" w:eastAsiaTheme="minorEastAsia" w:cstheme="minorEastAsia"/>
          <w:b/>
          <w:kern w:val="0"/>
          <w:sz w:val="28"/>
          <w:lang w:bidi="ar"/>
        </w:rPr>
        <w:t>分）</w:t>
      </w:r>
    </w:p>
    <w:tbl>
      <w:tblPr>
        <w:tblStyle w:val="6"/>
        <w:tblW w:w="4832" w:type="pct"/>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108" w:type="dxa"/>
          <w:bottom w:w="0" w:type="dxa"/>
          <w:right w:w="108" w:type="dxa"/>
        </w:tblCellMar>
      </w:tblPr>
      <w:tblGrid>
        <w:gridCol w:w="1209"/>
        <w:gridCol w:w="1146"/>
        <w:gridCol w:w="7272"/>
      </w:tblGrid>
      <w:tr w14:paraId="24C1E10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298" w:hRule="atLeast"/>
          <w:tblHeader/>
          <w:jc w:val="center"/>
        </w:trPr>
        <w:tc>
          <w:tcPr>
            <w:tcW w:w="628" w:type="pct"/>
            <w:tcBorders>
              <w:right w:val="single" w:color="auto" w:sz="4" w:space="0"/>
            </w:tcBorders>
            <w:vAlign w:val="center"/>
          </w:tcPr>
          <w:p w14:paraId="089A6E68">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项目</w:t>
            </w:r>
          </w:p>
        </w:tc>
        <w:tc>
          <w:tcPr>
            <w:tcW w:w="595" w:type="pct"/>
            <w:tcBorders>
              <w:left w:val="single" w:color="auto" w:sz="4" w:space="0"/>
            </w:tcBorders>
            <w:vAlign w:val="center"/>
          </w:tcPr>
          <w:p w14:paraId="42A7F780">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细化项目及分值</w:t>
            </w:r>
          </w:p>
        </w:tc>
        <w:tc>
          <w:tcPr>
            <w:tcW w:w="3776" w:type="pct"/>
            <w:vAlign w:val="center"/>
          </w:tcPr>
          <w:p w14:paraId="7209BD11">
            <w:pPr>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评分依据</w:t>
            </w:r>
          </w:p>
        </w:tc>
      </w:tr>
      <w:tr w14:paraId="2179B1F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789" w:hRule="atLeast"/>
          <w:jc w:val="center"/>
        </w:trPr>
        <w:tc>
          <w:tcPr>
            <w:tcW w:w="628" w:type="pct"/>
            <w:vMerge w:val="restart"/>
            <w:tcBorders>
              <w:right w:val="single" w:color="auto" w:sz="4" w:space="0"/>
            </w:tcBorders>
            <w:vAlign w:val="center"/>
          </w:tcPr>
          <w:p w14:paraId="092B256D">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商务部分</w:t>
            </w:r>
          </w:p>
          <w:p w14:paraId="2C5961F8">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18</w:t>
            </w:r>
            <w:r>
              <w:rPr>
                <w:rFonts w:hint="eastAsia" w:asciiTheme="minorEastAsia" w:hAnsiTheme="minorEastAsia" w:eastAsiaTheme="minorEastAsia" w:cstheme="minorEastAsia"/>
                <w:szCs w:val="21"/>
              </w:rPr>
              <w:t>分）</w:t>
            </w:r>
          </w:p>
        </w:tc>
        <w:tc>
          <w:tcPr>
            <w:tcW w:w="595" w:type="pct"/>
            <w:tcBorders>
              <w:top w:val="single" w:color="auto" w:sz="4" w:space="0"/>
              <w:left w:val="single" w:color="auto" w:sz="4" w:space="0"/>
              <w:bottom w:val="single" w:color="auto" w:sz="4" w:space="0"/>
            </w:tcBorders>
            <w:vAlign w:val="center"/>
          </w:tcPr>
          <w:p w14:paraId="3B825B51">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认证</w:t>
            </w:r>
            <w:r>
              <w:rPr>
                <w:rFonts w:hint="eastAsia" w:asciiTheme="minorEastAsia" w:hAnsiTheme="minorEastAsia" w:eastAsiaTheme="minorEastAsia" w:cstheme="minorEastAsia"/>
                <w:szCs w:val="21"/>
                <w:lang w:val="en-US" w:eastAsia="zh-CN"/>
              </w:rPr>
              <w:t>情况</w:t>
            </w:r>
          </w:p>
          <w:p w14:paraId="13EC25AA">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9</w:t>
            </w:r>
            <w:r>
              <w:rPr>
                <w:rFonts w:hint="eastAsia" w:asciiTheme="minorEastAsia" w:hAnsiTheme="minorEastAsia" w:eastAsiaTheme="minorEastAsia" w:cstheme="minorEastAsia"/>
                <w:szCs w:val="21"/>
              </w:rPr>
              <w:t>分）</w:t>
            </w:r>
          </w:p>
        </w:tc>
        <w:tc>
          <w:tcPr>
            <w:tcW w:w="3776" w:type="pct"/>
            <w:tcBorders>
              <w:top w:val="single" w:color="auto" w:sz="4" w:space="0"/>
              <w:bottom w:val="single" w:color="auto" w:sz="4" w:space="0"/>
            </w:tcBorders>
            <w:vAlign w:val="center"/>
          </w:tcPr>
          <w:p w14:paraId="32C86A07">
            <w:pPr>
              <w:numPr>
                <w:ilvl w:val="0"/>
                <w:numId w:val="0"/>
              </w:numPr>
              <w:rPr>
                <w:rFonts w:hint="eastAsia" w:ascii="宋体" w:hAnsi="宋体" w:cs="宋体"/>
                <w:szCs w:val="21"/>
              </w:rPr>
            </w:pPr>
            <w:r>
              <w:rPr>
                <w:rFonts w:hint="eastAsia" w:ascii="宋体" w:hAnsi="宋体" w:cs="宋体"/>
                <w:b/>
                <w:szCs w:val="21"/>
              </w:rPr>
              <w:t>1.评审内容：</w:t>
            </w:r>
          </w:p>
          <w:p w14:paraId="7814CE0A">
            <w:pPr>
              <w:autoSpaceDE w:val="0"/>
              <w:autoSpaceDN w:val="0"/>
              <w:rPr>
                <w:rFonts w:hint="eastAsia" w:asciiTheme="minorEastAsia" w:hAnsiTheme="minorEastAsia" w:eastAsiaTheme="minorEastAsia" w:cstheme="minorEastAsia"/>
                <w:kern w:val="0"/>
                <w:szCs w:val="21"/>
                <w:lang w:eastAsia="zh-CN"/>
              </w:rPr>
            </w:pPr>
            <w:r>
              <w:rPr>
                <w:rFonts w:hint="eastAsia" w:asciiTheme="minorEastAsia" w:hAnsiTheme="minorEastAsia" w:eastAsiaTheme="minorEastAsia" w:cstheme="minorEastAsia"/>
                <w:kern w:val="0"/>
                <w:szCs w:val="21"/>
                <w:lang w:eastAsia="zh-CN"/>
              </w:rPr>
              <w:t>投标人或所投产品制造商具有有效期内的：</w:t>
            </w:r>
          </w:p>
          <w:p w14:paraId="35F94D00">
            <w:pPr>
              <w:autoSpaceDE w:val="0"/>
              <w:autoSpaceDN w:val="0"/>
              <w:rPr>
                <w:rFonts w:hint="eastAsia" w:asciiTheme="minorEastAsia" w:hAnsiTheme="minorEastAsia" w:eastAsiaTheme="minorEastAsia" w:cstheme="minorEastAsia"/>
                <w:kern w:val="0"/>
                <w:szCs w:val="21"/>
                <w:lang w:eastAsia="zh-CN"/>
              </w:rPr>
            </w:pPr>
            <w:r>
              <w:rPr>
                <w:rFonts w:hint="eastAsia" w:asciiTheme="minorEastAsia" w:hAnsiTheme="minorEastAsia" w:eastAsiaTheme="minorEastAsia" w:cstheme="minorEastAsia"/>
                <w:kern w:val="0"/>
                <w:szCs w:val="21"/>
                <w:lang w:eastAsia="zh-CN"/>
              </w:rPr>
              <w:t>（1）具有质量管理体系认证证书、证书覆盖范围：幼儿园木家具的销售</w:t>
            </w:r>
            <w:r>
              <w:rPr>
                <w:rFonts w:hint="eastAsia" w:asciiTheme="minorEastAsia" w:hAnsiTheme="minorEastAsia" w:eastAsiaTheme="minorEastAsia" w:cstheme="minorEastAsia"/>
                <w:kern w:val="0"/>
                <w:szCs w:val="21"/>
                <w:lang w:val="en-US" w:eastAsia="zh-CN"/>
              </w:rPr>
              <w:t>/生产</w:t>
            </w:r>
            <w:r>
              <w:rPr>
                <w:rFonts w:hint="eastAsia" w:asciiTheme="minorEastAsia" w:hAnsiTheme="minorEastAsia" w:eastAsiaTheme="minorEastAsia" w:cstheme="minorEastAsia"/>
                <w:kern w:val="0"/>
                <w:szCs w:val="21"/>
                <w:lang w:eastAsia="zh-CN"/>
              </w:rPr>
              <w:t>，需同时包含满足以上要求的得</w:t>
            </w:r>
            <w:r>
              <w:rPr>
                <w:rFonts w:hint="eastAsia" w:asciiTheme="minorEastAsia" w:hAnsiTheme="minorEastAsia" w:eastAsiaTheme="minorEastAsia" w:cstheme="minorEastAsia"/>
                <w:kern w:val="0"/>
                <w:szCs w:val="21"/>
                <w:lang w:val="en-US" w:eastAsia="zh-CN"/>
              </w:rPr>
              <w:t>3</w:t>
            </w:r>
            <w:r>
              <w:rPr>
                <w:rFonts w:hint="eastAsia" w:asciiTheme="minorEastAsia" w:hAnsiTheme="minorEastAsia" w:eastAsiaTheme="minorEastAsia" w:cstheme="minorEastAsia"/>
                <w:kern w:val="0"/>
                <w:szCs w:val="21"/>
                <w:lang w:eastAsia="zh-CN"/>
              </w:rPr>
              <w:t>分；</w:t>
            </w:r>
          </w:p>
          <w:p w14:paraId="6117C606">
            <w:pPr>
              <w:autoSpaceDE w:val="0"/>
              <w:autoSpaceDN w:val="0"/>
              <w:rPr>
                <w:rFonts w:hint="eastAsia" w:asciiTheme="minorEastAsia" w:hAnsiTheme="minorEastAsia" w:eastAsiaTheme="minorEastAsia" w:cstheme="minorEastAsia"/>
                <w:kern w:val="0"/>
                <w:szCs w:val="21"/>
                <w:lang w:eastAsia="zh-CN"/>
              </w:rPr>
            </w:pPr>
            <w:r>
              <w:rPr>
                <w:rFonts w:hint="eastAsia" w:asciiTheme="minorEastAsia" w:hAnsiTheme="minorEastAsia" w:eastAsiaTheme="minorEastAsia" w:cstheme="minorEastAsia"/>
                <w:kern w:val="0"/>
                <w:szCs w:val="21"/>
                <w:lang w:eastAsia="zh-CN"/>
              </w:rPr>
              <w:t>（2）具有环境管理体系认证证书，证书覆盖范围：幼儿园木家具的销售</w:t>
            </w:r>
            <w:r>
              <w:rPr>
                <w:rFonts w:hint="eastAsia" w:asciiTheme="minorEastAsia" w:hAnsiTheme="minorEastAsia" w:eastAsiaTheme="minorEastAsia" w:cstheme="minorEastAsia"/>
                <w:kern w:val="0"/>
                <w:szCs w:val="21"/>
                <w:lang w:val="en-US" w:eastAsia="zh-CN"/>
              </w:rPr>
              <w:t>/生产</w:t>
            </w:r>
            <w:r>
              <w:rPr>
                <w:rFonts w:hint="eastAsia" w:asciiTheme="minorEastAsia" w:hAnsiTheme="minorEastAsia" w:eastAsiaTheme="minorEastAsia" w:cstheme="minorEastAsia"/>
                <w:kern w:val="0"/>
                <w:szCs w:val="21"/>
                <w:lang w:eastAsia="zh-CN"/>
              </w:rPr>
              <w:t>，需同时包含满足以上要求的得</w:t>
            </w:r>
            <w:r>
              <w:rPr>
                <w:rFonts w:hint="eastAsia" w:asciiTheme="minorEastAsia" w:hAnsiTheme="minorEastAsia" w:eastAsiaTheme="minorEastAsia" w:cstheme="minorEastAsia"/>
                <w:kern w:val="0"/>
                <w:szCs w:val="21"/>
                <w:lang w:val="en-US" w:eastAsia="zh-CN"/>
              </w:rPr>
              <w:t>3</w:t>
            </w:r>
            <w:r>
              <w:rPr>
                <w:rFonts w:hint="eastAsia" w:asciiTheme="minorEastAsia" w:hAnsiTheme="minorEastAsia" w:eastAsiaTheme="minorEastAsia" w:cstheme="minorEastAsia"/>
                <w:kern w:val="0"/>
                <w:szCs w:val="21"/>
                <w:lang w:eastAsia="zh-CN"/>
              </w:rPr>
              <w:t>分；</w:t>
            </w:r>
          </w:p>
          <w:p w14:paraId="68FD36F7">
            <w:pPr>
              <w:autoSpaceDE w:val="0"/>
              <w:autoSpaceDN w:val="0"/>
              <w:rPr>
                <w:rFonts w:hint="eastAsia" w:asciiTheme="minorEastAsia" w:hAnsiTheme="minorEastAsia" w:eastAsiaTheme="minorEastAsia" w:cstheme="minorEastAsia"/>
                <w:kern w:val="0"/>
                <w:szCs w:val="21"/>
                <w:lang w:eastAsia="zh-CN"/>
              </w:rPr>
            </w:pPr>
            <w:r>
              <w:rPr>
                <w:rFonts w:hint="eastAsia" w:asciiTheme="minorEastAsia" w:hAnsiTheme="minorEastAsia" w:eastAsiaTheme="minorEastAsia" w:cstheme="minorEastAsia"/>
                <w:kern w:val="0"/>
                <w:szCs w:val="21"/>
                <w:lang w:eastAsia="zh-CN"/>
              </w:rPr>
              <w:t>（3）具有职业健康安全管理体系认证证书，证书覆盖范围：幼儿园木家具的销售</w:t>
            </w:r>
            <w:r>
              <w:rPr>
                <w:rFonts w:hint="eastAsia" w:asciiTheme="minorEastAsia" w:hAnsiTheme="minorEastAsia" w:eastAsiaTheme="minorEastAsia" w:cstheme="minorEastAsia"/>
                <w:kern w:val="0"/>
                <w:szCs w:val="21"/>
                <w:lang w:val="en-US" w:eastAsia="zh-CN"/>
              </w:rPr>
              <w:t>/生产</w:t>
            </w:r>
            <w:r>
              <w:rPr>
                <w:rFonts w:hint="eastAsia" w:asciiTheme="minorEastAsia" w:hAnsiTheme="minorEastAsia" w:eastAsiaTheme="minorEastAsia" w:cstheme="minorEastAsia"/>
                <w:kern w:val="0"/>
                <w:szCs w:val="21"/>
                <w:lang w:eastAsia="zh-CN"/>
              </w:rPr>
              <w:t>，需同时包含满足以上要求的得</w:t>
            </w:r>
            <w:r>
              <w:rPr>
                <w:rFonts w:hint="eastAsia" w:asciiTheme="minorEastAsia" w:hAnsiTheme="minorEastAsia" w:eastAsiaTheme="minorEastAsia" w:cstheme="minorEastAsia"/>
                <w:kern w:val="0"/>
                <w:szCs w:val="21"/>
                <w:lang w:val="en-US" w:eastAsia="zh-CN"/>
              </w:rPr>
              <w:t>3</w:t>
            </w:r>
            <w:r>
              <w:rPr>
                <w:rFonts w:hint="eastAsia" w:asciiTheme="minorEastAsia" w:hAnsiTheme="minorEastAsia" w:eastAsiaTheme="minorEastAsia" w:cstheme="minorEastAsia"/>
                <w:kern w:val="0"/>
                <w:szCs w:val="21"/>
                <w:lang w:eastAsia="zh-CN"/>
              </w:rPr>
              <w:t>分；</w:t>
            </w:r>
          </w:p>
          <w:p w14:paraId="6F36267D">
            <w:pPr>
              <w:autoSpaceDE w:val="0"/>
              <w:autoSpaceDN w:val="0"/>
              <w:rPr>
                <w:rFonts w:hint="eastAsia" w:ascii="宋体" w:hAnsi="宋体" w:cs="宋体"/>
                <w:szCs w:val="21"/>
              </w:rPr>
            </w:pPr>
            <w:r>
              <w:rPr>
                <w:rFonts w:hint="eastAsia" w:ascii="宋体" w:hAnsi="宋体" w:cs="宋体"/>
                <w:b/>
                <w:szCs w:val="21"/>
              </w:rPr>
              <w:t>2.评分标准：</w:t>
            </w:r>
          </w:p>
          <w:p w14:paraId="750B1E95">
            <w:pPr>
              <w:adjustRightInd w:val="0"/>
              <w:snapToGrid w:val="0"/>
              <w:spacing w:line="360" w:lineRule="exac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en-US" w:eastAsia="zh-CN"/>
              </w:rPr>
              <w:t>要求提供所有有效期内的认证证书扫描件，及在全国认证认可信息公共服务平台(http://ex.cnca.cn/)的证书查询"有效"记录(提供的扫描件证书编号需与查询记录一致)。认证证书在公开渠道无法查询的，需提供颁发机构的证明材料，证明证书真实有效。评分中出现无证明资料或专家无法凭所提供资料判断是否得分的情况，一律作不得分处理</w:t>
            </w:r>
          </w:p>
        </w:tc>
      </w:tr>
      <w:tr w14:paraId="143E9D5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764" w:hRule="atLeast"/>
          <w:jc w:val="center"/>
        </w:trPr>
        <w:tc>
          <w:tcPr>
            <w:tcW w:w="628" w:type="pct"/>
            <w:vMerge w:val="continue"/>
            <w:tcBorders>
              <w:right w:val="single" w:color="auto" w:sz="4" w:space="0"/>
            </w:tcBorders>
            <w:vAlign w:val="center"/>
          </w:tcPr>
          <w:p w14:paraId="014950D9">
            <w:pPr>
              <w:jc w:val="center"/>
              <w:rPr>
                <w:rFonts w:hint="eastAsia" w:asciiTheme="minorEastAsia" w:hAnsiTheme="minorEastAsia" w:eastAsiaTheme="minorEastAsia" w:cstheme="minorEastAsia"/>
                <w:szCs w:val="21"/>
              </w:rPr>
            </w:pPr>
          </w:p>
        </w:tc>
        <w:tc>
          <w:tcPr>
            <w:tcW w:w="1146" w:type="dxa"/>
            <w:tcBorders>
              <w:top w:val="single" w:color="auto" w:sz="4" w:space="0"/>
              <w:left w:val="single" w:color="auto" w:sz="4" w:space="0"/>
              <w:bottom w:val="single" w:color="auto" w:sz="4" w:space="0"/>
            </w:tcBorders>
            <w:vAlign w:val="center"/>
          </w:tcPr>
          <w:p w14:paraId="2CF3D59F">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同类项目业绩（4分）</w:t>
            </w:r>
          </w:p>
        </w:tc>
        <w:tc>
          <w:tcPr>
            <w:tcW w:w="7272" w:type="dxa"/>
            <w:tcBorders>
              <w:top w:val="single" w:color="auto" w:sz="4" w:space="0"/>
              <w:bottom w:val="single" w:color="auto" w:sz="4" w:space="0"/>
            </w:tcBorders>
            <w:vAlign w:val="center"/>
          </w:tcPr>
          <w:p w14:paraId="10BB3DBC">
            <w:pPr>
              <w:autoSpaceDE w:val="0"/>
              <w:autoSpaceDN w:val="0"/>
              <w:rPr>
                <w:rFonts w:ascii="宋体" w:hAnsi="宋体" w:cs="宋体"/>
                <w:b/>
                <w:szCs w:val="21"/>
              </w:rPr>
            </w:pPr>
            <w:r>
              <w:rPr>
                <w:rFonts w:hint="eastAsia" w:ascii="宋体" w:hAnsi="宋体" w:cs="宋体"/>
                <w:b/>
                <w:szCs w:val="21"/>
              </w:rPr>
              <w:t>1.评审内容：</w:t>
            </w:r>
          </w:p>
          <w:p w14:paraId="379D7A6E">
            <w:pPr>
              <w:autoSpaceDE w:val="0"/>
              <w:autoSpaceDN w:val="0"/>
              <w:rPr>
                <w:rFonts w:hint="eastAsia" w:ascii="宋体" w:hAnsi="宋体" w:cs="宋体"/>
                <w:szCs w:val="21"/>
              </w:rPr>
            </w:pPr>
            <w:r>
              <w:rPr>
                <w:rFonts w:hint="eastAsia" w:ascii="宋体" w:hAnsi="宋体" w:cs="宋体"/>
                <w:szCs w:val="21"/>
              </w:rPr>
              <w:t>自202</w:t>
            </w:r>
            <w:r>
              <w:rPr>
                <w:rFonts w:hint="eastAsia" w:ascii="宋体" w:hAnsi="宋体" w:cs="宋体"/>
                <w:szCs w:val="21"/>
                <w:lang w:val="en-US" w:eastAsia="zh-CN"/>
              </w:rPr>
              <w:t>3</w:t>
            </w:r>
            <w:r>
              <w:rPr>
                <w:rFonts w:hint="eastAsia" w:ascii="宋体" w:hAnsi="宋体" w:cs="宋体"/>
                <w:szCs w:val="21"/>
              </w:rPr>
              <w:t>年1月1日至本项目投标截止日前（以合同签订时间为准），投标人具有</w:t>
            </w:r>
            <w:r>
              <w:rPr>
                <w:rFonts w:hint="eastAsia" w:ascii="宋体" w:hAnsi="宋体" w:cs="宋体"/>
                <w:szCs w:val="21"/>
                <w:lang w:val="en-US" w:eastAsia="zh-CN"/>
              </w:rPr>
              <w:t>幼儿家具</w:t>
            </w:r>
            <w:r>
              <w:rPr>
                <w:rFonts w:hint="eastAsia" w:ascii="宋体" w:hAnsi="宋体" w:cs="宋体"/>
                <w:szCs w:val="21"/>
              </w:rPr>
              <w:t>类项目业绩，每提供1个有效业绩得</w:t>
            </w:r>
            <w:r>
              <w:rPr>
                <w:rFonts w:hint="eastAsia" w:ascii="宋体" w:hAnsi="宋体" w:cs="宋体"/>
                <w:szCs w:val="21"/>
                <w:lang w:val="en-US" w:eastAsia="zh-CN"/>
              </w:rPr>
              <w:t>1</w:t>
            </w:r>
            <w:r>
              <w:rPr>
                <w:rFonts w:hint="eastAsia" w:ascii="宋体" w:hAnsi="宋体" w:cs="宋体"/>
                <w:szCs w:val="21"/>
              </w:rPr>
              <w:t>分，最高得</w:t>
            </w:r>
            <w:r>
              <w:rPr>
                <w:rFonts w:hint="eastAsia" w:ascii="宋体" w:hAnsi="宋体" w:cs="宋体"/>
                <w:szCs w:val="21"/>
                <w:lang w:val="en-US" w:eastAsia="zh-CN"/>
              </w:rPr>
              <w:t>4</w:t>
            </w:r>
            <w:r>
              <w:rPr>
                <w:rFonts w:hint="eastAsia" w:ascii="宋体" w:hAnsi="宋体" w:cs="宋体"/>
                <w:szCs w:val="21"/>
              </w:rPr>
              <w:t>分。</w:t>
            </w:r>
          </w:p>
          <w:p w14:paraId="62E35F44">
            <w:pPr>
              <w:autoSpaceDE w:val="0"/>
              <w:autoSpaceDN w:val="0"/>
              <w:rPr>
                <w:rFonts w:ascii="宋体" w:hAnsi="宋体" w:cs="宋体"/>
                <w:szCs w:val="21"/>
              </w:rPr>
            </w:pPr>
            <w:r>
              <w:rPr>
                <w:rFonts w:hint="eastAsia" w:ascii="宋体" w:hAnsi="宋体" w:cs="宋体"/>
                <w:szCs w:val="21"/>
              </w:rPr>
              <w:t>注：业绩需为已完成业绩，</w:t>
            </w:r>
            <w:r>
              <w:rPr>
                <w:rFonts w:hint="eastAsia" w:ascii="宋体" w:hAnsi="宋体" w:cs="宋体"/>
                <w:szCs w:val="21"/>
                <w:lang w:val="en-US" w:eastAsia="zh-CN"/>
              </w:rPr>
              <w:t>同一</w:t>
            </w:r>
            <w:r>
              <w:rPr>
                <w:rFonts w:hint="eastAsia" w:ascii="宋体" w:hAnsi="宋体" w:cs="宋体"/>
                <w:szCs w:val="21"/>
              </w:rPr>
              <w:t>货物续签合同只计算一次有效业绩。</w:t>
            </w:r>
          </w:p>
          <w:p w14:paraId="132464E9">
            <w:pPr>
              <w:autoSpaceDE w:val="0"/>
              <w:autoSpaceDN w:val="0"/>
              <w:rPr>
                <w:rFonts w:ascii="宋体" w:hAnsi="宋体" w:cs="宋体"/>
                <w:b/>
                <w:szCs w:val="21"/>
              </w:rPr>
            </w:pPr>
            <w:r>
              <w:rPr>
                <w:rFonts w:hint="eastAsia" w:ascii="宋体" w:hAnsi="宋体" w:cs="宋体"/>
                <w:b/>
                <w:szCs w:val="21"/>
              </w:rPr>
              <w:t>2.评分标准：</w:t>
            </w:r>
          </w:p>
          <w:p w14:paraId="09350AA3">
            <w:pPr>
              <w:jc w:val="left"/>
              <w:rPr>
                <w:rFonts w:hint="eastAsia" w:asciiTheme="minorEastAsia" w:hAnsiTheme="minorEastAsia" w:eastAsiaTheme="minorEastAsia" w:cstheme="minorEastAsia"/>
                <w:kern w:val="0"/>
                <w:szCs w:val="21"/>
                <w:lang w:val="en-US" w:eastAsia="zh-CN"/>
              </w:rPr>
            </w:pPr>
            <w:r>
              <w:rPr>
                <w:rFonts w:hint="eastAsia" w:ascii="宋体" w:hAnsi="宋体" w:cs="宋体"/>
                <w:szCs w:val="21"/>
              </w:rPr>
              <w:t>1.合同关键页（首页、签字盖章页、签订时间页）；。</w:t>
            </w:r>
          </w:p>
        </w:tc>
      </w:tr>
      <w:tr w14:paraId="7F9A383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994" w:hRule="atLeast"/>
          <w:jc w:val="center"/>
        </w:trPr>
        <w:tc>
          <w:tcPr>
            <w:tcW w:w="628" w:type="pct"/>
            <w:vMerge w:val="continue"/>
            <w:tcBorders>
              <w:right w:val="single" w:color="auto" w:sz="4" w:space="0"/>
            </w:tcBorders>
            <w:vAlign w:val="center"/>
          </w:tcPr>
          <w:p w14:paraId="552DECF6">
            <w:pPr>
              <w:jc w:val="center"/>
              <w:rPr>
                <w:rFonts w:asciiTheme="minorEastAsia" w:hAnsiTheme="minorEastAsia" w:eastAsiaTheme="minorEastAsia" w:cstheme="minorEastAsia"/>
                <w:szCs w:val="21"/>
              </w:rPr>
            </w:pPr>
          </w:p>
        </w:tc>
        <w:tc>
          <w:tcPr>
            <w:tcW w:w="595" w:type="pct"/>
            <w:tcBorders>
              <w:top w:val="single" w:color="auto" w:sz="4" w:space="0"/>
              <w:left w:val="single" w:color="auto" w:sz="4" w:space="0"/>
              <w:bottom w:val="single" w:color="auto" w:sz="4" w:space="0"/>
            </w:tcBorders>
            <w:vAlign w:val="center"/>
          </w:tcPr>
          <w:p w14:paraId="6C5892A6">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诚信情况</w:t>
            </w:r>
          </w:p>
          <w:p w14:paraId="6CF7AEF6">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（5分）</w:t>
            </w:r>
          </w:p>
        </w:tc>
        <w:tc>
          <w:tcPr>
            <w:tcW w:w="3776" w:type="pct"/>
            <w:tcBorders>
              <w:top w:val="single" w:color="auto" w:sz="4" w:space="0"/>
              <w:bottom w:val="single" w:color="auto" w:sz="4" w:space="0"/>
            </w:tcBorders>
            <w:vAlign w:val="center"/>
          </w:tcPr>
          <w:p w14:paraId="58D76E4D">
            <w:pPr>
              <w:autoSpaceDE w:val="0"/>
              <w:autoSpaceDN w:val="0"/>
              <w:rPr>
                <w:rFonts w:ascii="宋体" w:hAnsi="宋体" w:cs="宋体"/>
                <w:b/>
                <w:szCs w:val="21"/>
              </w:rPr>
            </w:pPr>
            <w:r>
              <w:rPr>
                <w:rFonts w:hint="eastAsia" w:ascii="宋体" w:hAnsi="宋体" w:cs="宋体"/>
                <w:b/>
                <w:szCs w:val="21"/>
              </w:rPr>
              <w:t>1.评审内容：</w:t>
            </w:r>
          </w:p>
          <w:p w14:paraId="0C9012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hint="eastAsia" w:ascii="宋体" w:hAnsi="宋体" w:cs="宋体"/>
                <w:szCs w:val="21"/>
              </w:rPr>
              <w:t>投标人在参与政府采购活动中存在被记入诚信档案的情形（被禁止参与政府采购活动除外）且在主管部门相关处理措施实施期限内的，本项不得分，否则得满分。投标人无需提供任何证明材料，由工作人员向评审委员会提供相关信息。</w:t>
            </w:r>
          </w:p>
          <w:p w14:paraId="7BF34649">
            <w:pPr>
              <w:jc w:val="left"/>
              <w:rPr>
                <w:rFonts w:hint="eastAsia" w:ascii="宋体" w:hAnsi="宋体" w:cs="宋体"/>
                <w:szCs w:val="21"/>
              </w:rPr>
            </w:pPr>
          </w:p>
        </w:tc>
      </w:tr>
    </w:tbl>
    <w:p w14:paraId="4D3E61ED">
      <w:r>
        <w:br w:type="page"/>
      </w:r>
    </w:p>
    <w:p w14:paraId="15C0637A">
      <w:pPr>
        <w:widowControl/>
        <w:jc w:val="center"/>
        <w:rPr>
          <w:rFonts w:asciiTheme="minorEastAsia" w:hAnsiTheme="minorEastAsia" w:eastAsiaTheme="minorEastAsia" w:cstheme="minorEastAsia"/>
          <w:b/>
          <w:kern w:val="0"/>
          <w:sz w:val="28"/>
          <w:lang w:bidi="ar"/>
        </w:rPr>
      </w:pPr>
      <w:r>
        <w:rPr>
          <w:rFonts w:hint="eastAsia" w:asciiTheme="minorEastAsia" w:hAnsiTheme="minorEastAsia" w:eastAsiaTheme="minorEastAsia" w:cstheme="minorEastAsia"/>
          <w:b/>
          <w:kern w:val="0"/>
          <w:sz w:val="28"/>
          <w:lang w:val="en-US" w:eastAsia="zh-CN" w:bidi="ar"/>
        </w:rPr>
        <w:t>价格</w:t>
      </w:r>
      <w:r>
        <w:rPr>
          <w:rFonts w:hint="eastAsia" w:asciiTheme="minorEastAsia" w:hAnsiTheme="minorEastAsia" w:eastAsiaTheme="minorEastAsia" w:cstheme="minorEastAsia"/>
          <w:b/>
          <w:kern w:val="0"/>
          <w:sz w:val="28"/>
          <w:lang w:bidi="ar"/>
        </w:rPr>
        <w:t>评审细则（</w:t>
      </w:r>
      <w:r>
        <w:rPr>
          <w:rFonts w:hint="eastAsia" w:asciiTheme="minorEastAsia" w:hAnsiTheme="minorEastAsia" w:eastAsiaTheme="minorEastAsia" w:cstheme="minorEastAsia"/>
          <w:b/>
          <w:kern w:val="0"/>
          <w:sz w:val="28"/>
          <w:lang w:val="en-US" w:eastAsia="zh-CN" w:bidi="ar"/>
        </w:rPr>
        <w:t>30</w:t>
      </w:r>
      <w:r>
        <w:rPr>
          <w:rFonts w:hint="eastAsia" w:asciiTheme="minorEastAsia" w:hAnsiTheme="minorEastAsia" w:eastAsiaTheme="minorEastAsia" w:cstheme="minorEastAsia"/>
          <w:b/>
          <w:kern w:val="0"/>
          <w:sz w:val="28"/>
          <w:lang w:bidi="ar"/>
        </w:rPr>
        <w:t>分）</w:t>
      </w:r>
    </w:p>
    <w:tbl>
      <w:tblPr>
        <w:tblStyle w:val="6"/>
        <w:tblW w:w="49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6"/>
        <w:gridCol w:w="946"/>
        <w:gridCol w:w="7575"/>
      </w:tblGrid>
      <w:tr w14:paraId="0250C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8" w:type="pct"/>
            <w:vAlign w:val="center"/>
          </w:tcPr>
          <w:p w14:paraId="0ADF63E0">
            <w:pPr>
              <w:pStyle w:val="5"/>
              <w:ind w:left="0" w:firstLine="0"/>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szCs w:val="21"/>
              </w:rPr>
              <w:t>评审项目</w:t>
            </w:r>
          </w:p>
        </w:tc>
        <w:tc>
          <w:tcPr>
            <w:tcW w:w="484" w:type="pct"/>
            <w:vAlign w:val="center"/>
          </w:tcPr>
          <w:p w14:paraId="6DAE007D">
            <w:pPr>
              <w:pStyle w:val="5"/>
              <w:ind w:left="0" w:firstLine="0"/>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分值</w:t>
            </w:r>
          </w:p>
        </w:tc>
        <w:tc>
          <w:tcPr>
            <w:tcW w:w="3877" w:type="pct"/>
            <w:vAlign w:val="center"/>
          </w:tcPr>
          <w:p w14:paraId="408D7D31">
            <w:pPr>
              <w:pStyle w:val="5"/>
              <w:ind w:left="0" w:firstLine="0"/>
              <w:jc w:val="center"/>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评分细则</w:t>
            </w:r>
          </w:p>
        </w:tc>
      </w:tr>
      <w:tr w14:paraId="01814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8" w:type="pct"/>
            <w:vAlign w:val="center"/>
          </w:tcPr>
          <w:p w14:paraId="12AB9837">
            <w:pPr>
              <w:pStyle w:val="5"/>
              <w:ind w:left="0" w:firstLine="0"/>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价格</w:t>
            </w:r>
          </w:p>
        </w:tc>
        <w:tc>
          <w:tcPr>
            <w:tcW w:w="484" w:type="pct"/>
            <w:vAlign w:val="center"/>
          </w:tcPr>
          <w:p w14:paraId="68AB860B">
            <w:pPr>
              <w:pStyle w:val="5"/>
              <w:ind w:left="0" w:firstLine="0"/>
              <w:jc w:val="center"/>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30</w:t>
            </w:r>
          </w:p>
        </w:tc>
        <w:tc>
          <w:tcPr>
            <w:tcW w:w="3877" w:type="pct"/>
            <w:vAlign w:val="center"/>
          </w:tcPr>
          <w:p w14:paraId="08180B34">
            <w:pPr>
              <w:pStyle w:val="5"/>
              <w:ind w:left="0" w:firstLine="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有效供应商有效投标总价记为P，所有有效投标总价的算术平均值作为基准值记为A，P等于A时得30分。</w:t>
            </w:r>
          </w:p>
          <w:p w14:paraId="78B0C7C3">
            <w:pPr>
              <w:pStyle w:val="5"/>
              <w:ind w:left="0" w:firstLine="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将P与A进行比较：P比A值每高1%扣0.5分，价格得分计算公式=30-（P-A）/A×100×0.5。</w:t>
            </w:r>
          </w:p>
          <w:p w14:paraId="28537E93">
            <w:pPr>
              <w:pStyle w:val="5"/>
              <w:ind w:left="0" w:firstLine="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P比A值每低1%扣0.3分，价格得分计算公式=30-（A-P）/A×100×0.3。</w:t>
            </w:r>
          </w:p>
        </w:tc>
      </w:tr>
    </w:tbl>
    <w:p w14:paraId="3467491E">
      <w:pPr>
        <w:pStyle w:val="2"/>
      </w:pPr>
    </w:p>
    <w:p w14:paraId="00EA1876">
      <w:pPr>
        <w:pStyle w:val="2"/>
      </w:pPr>
    </w:p>
    <w:p w14:paraId="0F1622A8">
      <w:pPr>
        <w:pStyle w:val="2"/>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3F535F2-C210-4720-B250-FC2783BF46E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方正小标宋简体">
    <w:panose1 w:val="02000000000000000000"/>
    <w:charset w:val="86"/>
    <w:family w:val="script"/>
    <w:pitch w:val="default"/>
    <w:sig w:usb0="00000001" w:usb1="08000000" w:usb2="00000000" w:usb3="00000000" w:csb0="00040000" w:csb1="00000000"/>
    <w:embedRegular r:id="rId2" w:fontKey="{7D38D339-BD5B-44F4-86BE-264EC1933FCD}"/>
  </w:font>
  <w:font w:name="仿宋_GB2312">
    <w:panose1 w:val="02010609030101010101"/>
    <w:charset w:val="86"/>
    <w:family w:val="modern"/>
    <w:pitch w:val="default"/>
    <w:sig w:usb0="00000001" w:usb1="080E0000" w:usb2="00000000" w:usb3="00000000" w:csb0="00040000" w:csb1="00000000"/>
    <w:embedRegular r:id="rId3" w:fontKey="{A2DE6BF0-2662-46B8-87A3-A49C5A8D61E4}"/>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9C4263"/>
    <w:multiLevelType w:val="singleLevel"/>
    <w:tmpl w:val="839C4263"/>
    <w:lvl w:ilvl="0" w:tentative="0">
      <w:start w:val="1"/>
      <w:numFmt w:val="decimal"/>
      <w:suff w:val="nothing"/>
      <w:lvlText w:val="（%1）"/>
      <w:lvlJc w:val="left"/>
      <w:rPr>
        <w:rFonts w:hint="default" w:ascii="宋体" w:hAnsi="宋体" w:eastAsia="宋体" w:cs="宋体"/>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D42B42"/>
    <w:rsid w:val="00EC792C"/>
    <w:rsid w:val="066D12D3"/>
    <w:rsid w:val="0AAA271C"/>
    <w:rsid w:val="11EA1373"/>
    <w:rsid w:val="1EF82369"/>
    <w:rsid w:val="37712CB0"/>
    <w:rsid w:val="76012F15"/>
    <w:rsid w:val="79D42B42"/>
    <w:rsid w:val="7BFA1154"/>
    <w:rsid w:val="7D8B70AB"/>
    <w:rsid w:val="7DD864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ahoma" w:hAnsi="Tahoma" w:eastAsia="宋体" w:cs="Times New Roman"/>
      <w:kern w:val="2"/>
      <w:sz w:val="24"/>
      <w:szCs w:val="24"/>
      <w:lang w:val="en-US" w:eastAsia="zh-CN" w:bidi="ar-SA"/>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First Indent"/>
    <w:basedOn w:val="3"/>
    <w:qFormat/>
    <w:uiPriority w:val="0"/>
    <w:pPr>
      <w:widowControl w:val="0"/>
      <w:spacing w:before="0" w:beforeAutospacing="0" w:after="120" w:afterAutospacing="0"/>
      <w:ind w:firstLine="420" w:firstLineChars="100"/>
      <w:jc w:val="both"/>
    </w:pPr>
    <w:rPr>
      <w:rFonts w:ascii="Tahoma" w:hAnsi="Tahoma"/>
      <w:kern w:val="2"/>
    </w:rPr>
  </w:style>
  <w:style w:type="paragraph" w:styleId="3">
    <w:name w:val="Body Text"/>
    <w:basedOn w:val="1"/>
    <w:next w:val="4"/>
    <w:qFormat/>
    <w:uiPriority w:val="0"/>
    <w:pPr>
      <w:widowControl/>
      <w:spacing w:before="100" w:beforeAutospacing="1" w:after="100" w:afterAutospacing="1"/>
      <w:jc w:val="left"/>
    </w:pPr>
    <w:rPr>
      <w:rFonts w:ascii="宋体" w:hAnsi="宋体"/>
      <w:kern w:val="0"/>
    </w:rPr>
  </w:style>
  <w:style w:type="paragraph" w:customStyle="1" w:styleId="4">
    <w:name w:val="引用1"/>
    <w:next w:val="1"/>
    <w:qFormat/>
    <w:uiPriority w:val="99"/>
    <w:pPr>
      <w:widowControl w:val="0"/>
      <w:jc w:val="both"/>
    </w:pPr>
    <w:rPr>
      <w:rFonts w:ascii="Calibri" w:hAnsi="Calibri" w:eastAsia="宋体" w:cs="Calibri"/>
      <w:i/>
      <w:iCs/>
      <w:color w:val="000000"/>
      <w:kern w:val="2"/>
      <w:sz w:val="22"/>
      <w:szCs w:val="22"/>
      <w:lang w:val="en-US" w:eastAsia="zh-CN" w:bidi="ar-SA"/>
    </w:rPr>
  </w:style>
  <w:style w:type="paragraph" w:styleId="5">
    <w:name w:val="Normal Indent"/>
    <w:basedOn w:val="1"/>
    <w:qFormat/>
    <w:uiPriority w:val="0"/>
    <w:pPr>
      <w:autoSpaceDE w:val="0"/>
      <w:autoSpaceDN w:val="0"/>
      <w:spacing w:line="360" w:lineRule="auto"/>
      <w:ind w:left="181" w:firstLine="420"/>
    </w:pPr>
    <w:rPr>
      <w:rFonts w:ascii="Times New Roman" w:hAnsi="Times New Roman"/>
      <w:szCs w:val="20"/>
    </w:rPr>
  </w:style>
  <w:style w:type="character" w:styleId="8">
    <w:name w:val="Strong"/>
    <w:basedOn w:val="7"/>
    <w:qFormat/>
    <w:uiPriority w:val="0"/>
    <w:rPr>
      <w:b/>
    </w:rPr>
  </w:style>
  <w:style w:type="paragraph" w:styleId="9">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10">
    <w:name w:val="List Paragraph"/>
    <w:basedOn w:val="1"/>
    <w:autoRedefine/>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1286</Words>
  <Characters>1736</Characters>
  <Lines>0</Lines>
  <Paragraphs>0</Paragraphs>
  <TotalTime>149</TotalTime>
  <ScaleCrop>false</ScaleCrop>
  <LinksUpToDate>false</LinksUpToDate>
  <CharactersWithSpaces>1759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2026-07-03T03:04:00Z</dcterms:created>
  <dc:creator>知秋</dc:creator>
  <cp:lastModifiedBy>林毅</cp:lastModifiedBy>
  <dcterms:modified xsi:type="dcterms:W3CDTF">2026-10-16T03:24:08Z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D05A2F1B9A3143968E40ABBEB83EF305_13</vt:lpwstr>
  </property>
  <property fmtid="{D5CDD505-2E9C-101B-9397-08002B2CF9AE}" pid="4" name="KSOTemplateDocerSaveRecord">
    <vt:lpwstr>eyJoZGlkIjoiMjA5ODNkYmU3YmU1NGNmN2NmYmJlM2NmY2RlZmUxMGEiLCJ1c2VySWQiOiIyNzU4OTU0MTQifQ==</vt:lpwstr>
  </property>
</Properties>
</file>