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中山市东升医院工会会员2026年度生日蛋糕卡项目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4AE4FFC3">
      <w:pPr>
        <w:spacing w:before="76"/>
      </w:pPr>
    </w:p>
    <w:p w14:paraId="145C478F">
      <w:pPr>
        <w:spacing w:before="76"/>
      </w:pPr>
    </w:p>
    <w:p w14:paraId="06CE8DBD">
      <w:pPr>
        <w:spacing w:before="76"/>
      </w:pPr>
    </w:p>
    <w:tbl>
      <w:tblPr>
        <w:tblStyle w:val="10"/>
        <w:tblW w:w="85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02"/>
        <w:gridCol w:w="3625"/>
        <w:gridCol w:w="1693"/>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3202"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625"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下浮率报价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1693"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3202"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val="en-US" w:eastAsia="zh-CN"/>
              </w:rPr>
              <w:t>中山市东升医院工会会员2026年度生日蛋糕卡项目</w:t>
            </w:r>
          </w:p>
        </w:tc>
        <w:tc>
          <w:tcPr>
            <w:tcW w:w="362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1693" w:type="dxa"/>
            <w:vAlign w:val="center"/>
          </w:tcPr>
          <w:p w14:paraId="417A2084">
            <w:pPr>
              <w:jc w:val="center"/>
              <w:rPr>
                <w:rFonts w:hint="default" w:eastAsia="宋体"/>
                <w:lang w:val="en-US" w:eastAsia="zh-CN"/>
              </w:rPr>
            </w:pPr>
          </w:p>
        </w:tc>
      </w:tr>
    </w:tbl>
    <w:p w14:paraId="0CFDB52E">
      <w:pPr>
        <w:pStyle w:val="3"/>
        <w:spacing w:line="371" w:lineRule="auto"/>
      </w:pPr>
    </w:p>
    <w:p w14:paraId="2E5522CF">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65A8EBF6">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本次响应报价应为人民币含税全包价，包含货物价格、包装费、运杂费。保险费、卸车费、配合费、检测费、配送费、税金及本项目执行过程中所需的其他各项费用。</w:t>
      </w:r>
    </w:p>
    <w:p w14:paraId="2CF00A47">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本项目为下浮率报价，下浮率取值范围≥0%，不接受区间报价，报价范围不能为负数，最多保留一位小数点，若报价超出此范围则视为无效响应。不得随意更改本表格式。</w:t>
      </w:r>
    </w:p>
    <w:p w14:paraId="1C3981F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结算公式：实际供货单价=200元×（1-成交下浮率）（四舍五入保留至小数点后两位）</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本项目的评审采用综合评分法，最低价不是唯一评定标准，在符合项目需求的前提下，选取综合评分最高为中选供应商。</w:t>
      </w:r>
    </w:p>
    <w:p w14:paraId="757D76ED">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报价次数：1次。</w:t>
      </w:r>
    </w:p>
    <w:p w14:paraId="06173646">
      <w:pPr>
        <w:pStyle w:val="3"/>
        <w:spacing w:line="247" w:lineRule="auto"/>
        <w:rPr>
          <w:lang w:eastAsia="zh-CN"/>
        </w:rPr>
      </w:pPr>
    </w:p>
    <w:p w14:paraId="5E5536D4">
      <w:pPr>
        <w:spacing w:before="79" w:line="219" w:lineRule="auto"/>
        <w:ind w:left="122"/>
        <w:rPr>
          <w:rFonts w:ascii="宋体" w:hAnsi="宋体" w:eastAsia="宋体" w:cs="宋体"/>
          <w:spacing w:val="2"/>
          <w:sz w:val="24"/>
          <w:szCs w:val="24"/>
          <w:lang w:eastAsia="zh-CN"/>
        </w:rPr>
      </w:pP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0DBCA2B2">
      <w:pPr>
        <w:spacing w:before="79" w:line="219" w:lineRule="auto"/>
        <w:rPr>
          <w:rFonts w:ascii="宋体" w:hAnsi="宋体" w:eastAsia="宋体" w:cs="宋体"/>
          <w:spacing w:val="2"/>
          <w:sz w:val="24"/>
          <w:szCs w:val="24"/>
          <w:lang w:eastAsia="zh-CN"/>
        </w:rPr>
      </w:pPr>
    </w:p>
    <w:p w14:paraId="5F66F77B">
      <w:pPr>
        <w:spacing w:before="79" w:line="219" w:lineRule="auto"/>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中山市东升医院工会会员2026年度生日蛋糕卡项目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中山市东升医院工会会员2026年度生日蛋糕卡项目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25197D6D">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供应商须为正规烘焙品牌的直营主体，须在中山市内拥有3间及以上实体蛋糕面包门店，且在中山市东升医院院区半径1公里范围内设置直营门店。门店经营状态须稳定，核销流程应便捷，并支持到店自提核销服务。提供相关具备合法有效的食品经营相关资质证明文件。</w:t>
      </w:r>
    </w:p>
    <w:p w14:paraId="27E27B87">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825"/>
        <w:gridCol w:w="5506"/>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825"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06"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825"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506" w:type="dxa"/>
          </w:tcPr>
          <w:p w14:paraId="361EA97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一、项目概况</w:t>
            </w:r>
          </w:p>
          <w:p w14:paraId="308F4E8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1.项目名称：中山市东升医院工会会员2026年度生日蛋糕卡项目</w:t>
            </w:r>
          </w:p>
          <w:p w14:paraId="29DD07B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2.项目编号：HW-CW-GH-2026036</w:t>
            </w:r>
          </w:p>
          <w:p w14:paraId="5A422CA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2.预算金额：107000元（含税全包价）</w:t>
            </w:r>
          </w:p>
          <w:p w14:paraId="6ADD1F5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3.采购清单：</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416"/>
              <w:gridCol w:w="1411"/>
              <w:gridCol w:w="1116"/>
              <w:gridCol w:w="661"/>
            </w:tblGrid>
            <w:tr w14:paraId="1BB3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630" w:type="pct"/>
                  <w:vAlign w:val="center"/>
                </w:tcPr>
                <w:p w14:paraId="17776B4A">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编号</w:t>
                  </w:r>
                </w:p>
              </w:tc>
              <w:tc>
                <w:tcPr>
                  <w:tcW w:w="1343" w:type="pct"/>
                  <w:vAlign w:val="center"/>
                </w:tcPr>
                <w:p w14:paraId="002CB73E">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项目名称</w:t>
                  </w:r>
                </w:p>
              </w:tc>
              <w:tc>
                <w:tcPr>
                  <w:tcW w:w="1338" w:type="pct"/>
                  <w:vAlign w:val="center"/>
                </w:tcPr>
                <w:p w14:paraId="31333297">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面值金额（元/人）</w:t>
                  </w:r>
                </w:p>
              </w:tc>
              <w:tc>
                <w:tcPr>
                  <w:tcW w:w="1059" w:type="pct"/>
                  <w:vAlign w:val="center"/>
                </w:tcPr>
                <w:p w14:paraId="26A8FEE2">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数量（人）</w:t>
                  </w:r>
                </w:p>
              </w:tc>
              <w:tc>
                <w:tcPr>
                  <w:tcW w:w="627" w:type="pct"/>
                  <w:vAlign w:val="center"/>
                </w:tcPr>
                <w:p w14:paraId="2A43E257">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备注</w:t>
                  </w:r>
                </w:p>
              </w:tc>
            </w:tr>
            <w:tr w14:paraId="0139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630" w:type="pct"/>
                  <w:vAlign w:val="center"/>
                </w:tcPr>
                <w:p w14:paraId="2FFA14B7">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1343" w:type="pct"/>
                  <w:vAlign w:val="center"/>
                </w:tcPr>
                <w:p w14:paraId="2600497C">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生日蛋糕卡</w:t>
                  </w:r>
                </w:p>
              </w:tc>
              <w:tc>
                <w:tcPr>
                  <w:tcW w:w="1338" w:type="pct"/>
                  <w:vAlign w:val="center"/>
                </w:tcPr>
                <w:p w14:paraId="0C59EFC5">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200</w:t>
                  </w:r>
                </w:p>
              </w:tc>
              <w:tc>
                <w:tcPr>
                  <w:tcW w:w="1059" w:type="pct"/>
                  <w:vAlign w:val="center"/>
                </w:tcPr>
                <w:p w14:paraId="3C22D188">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535</w:t>
                  </w:r>
                </w:p>
              </w:tc>
              <w:tc>
                <w:tcPr>
                  <w:tcW w:w="627" w:type="pct"/>
                  <w:vAlign w:val="center"/>
                </w:tcPr>
                <w:p w14:paraId="79727A04">
                  <w:pPr>
                    <w:pStyle w:val="5"/>
                    <w:widowControl w:val="0"/>
                    <w:kinsoku/>
                    <w:autoSpaceDN/>
                    <w:adjustRightInd/>
                    <w:snapToGrid/>
                    <w:spacing w:before="0" w:beforeAutospacing="0" w:after="0" w:afterAutospacing="0" w:line="240" w:lineRule="exact"/>
                    <w:jc w:val="center"/>
                    <w:rPr>
                      <w:rFonts w:hint="eastAsia" w:ascii="宋体" w:hAnsi="宋体" w:eastAsia="宋体" w:cs="宋体"/>
                      <w:sz w:val="20"/>
                      <w:szCs w:val="20"/>
                      <w:lang w:val="en-US" w:eastAsia="zh-CN"/>
                    </w:rPr>
                  </w:pPr>
                </w:p>
              </w:tc>
            </w:tr>
          </w:tbl>
          <w:p w14:paraId="0B78783D">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注：所列数量为预计发生量，实际结算以实际发生量为准。</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825"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06" w:type="dxa"/>
          </w:tcPr>
          <w:p w14:paraId="33E3C08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二、核心服务要求</w:t>
            </w:r>
          </w:p>
          <w:p w14:paraId="2ADCEF4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供应商资质要求：投标供应商须为正规烘焙品牌的直营主体，具备合法有效的食品经营相关资质及线下实体门店。严禁第三方代理商、平台服务商及聚合卡商家参与投标，以从源头杜绝第三方捆绑、代发、跨品牌整合卡等问题，确保卡种权属清晰、无中间环节。</w:t>
            </w:r>
          </w:p>
          <w:p w14:paraId="7EDFD31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2.卡面面值与结算规则：品牌方须提供单张卡面面值为200元的自有直售蛋糕卡，该卡可全额足额抵扣消费，且无最低消费限制、无隐形加价、无额外捆绑消费及任何使用门槛。</w:t>
            </w:r>
          </w:p>
          <w:p w14:paraId="1614290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卡片规范：卡片应为实体IC卡，设计需精美。卡正面应体现采购人单位文化元素，包含单位标识及生日类祝福语；卡背面应清晰标注品牌全称、卡面面值、有效期、直营核销门店范围及品牌官方售后电话等信息。每张实体卡需配备精美生日贺卡包装，贺卡款式由供应商提供供采购人挑选，且贺卡需包含生日类祝福语。</w:t>
            </w:r>
          </w:p>
          <w:p w14:paraId="2558144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4.使用规则：</w:t>
            </w:r>
          </w:p>
          <w:p w14:paraId="017A77F7">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① 生日蛋糕卡支持多次核销使用，卡面余额在有效期内长期有效。</w:t>
            </w:r>
          </w:p>
          <w:p w14:paraId="0228E71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② 职工凭蛋糕卡可在供应商提供的所有门店购买任意商品。</w:t>
            </w:r>
          </w:p>
          <w:p w14:paraId="77252F7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③ 蛋糕卡消费可享受与现金消费同等的优惠待遇，包括同时期店内的各类优惠及促销活动。</w:t>
            </w:r>
          </w:p>
          <w:p w14:paraId="2501D29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5.供应商不得对持卡者的消费时间和商品品种进行限制，持卡者可根据店内实际供应情况自主选择，禁止强制消费行为。</w:t>
            </w:r>
          </w:p>
          <w:p w14:paraId="6F349C1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6.直营门店要求：供应商须在中山市内拥有3间及以上实体蛋糕面包门店，且在中山市东升医院院区半径1公里范围内设置直营门店。门店经营状态须稳定，核销流程应便捷，并支持到店自提核销服务。</w:t>
            </w:r>
          </w:p>
          <w:p w14:paraId="7DBF5D6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7.有效期：卡面有效期自工会会员领取之日起计算，不少于24个月。</w:t>
            </w:r>
          </w:p>
          <w:p w14:paraId="4E173422">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8.售后保障：①合同履行期内，若供应商直营门店无法正常经营，须提前7个工作日书面通知工会；若会员提出退款要求，供应商需按折扣率折算回原价，并及时退还卡内未消费余额。②针对电子蛋糕卡，若因供应商系统故障、卡码异常、核销通道卡顿等自身原因导致无法正常使用，供应商须在24小时内响应处置，并在1个工作日内完成卡码补发、线下核销或等值退款。③实体卡若出现消磁、损坏等问题，供应商需为会员免费补办新卡，确保卡内余额无缝衔接。</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44" w:hRule="atLeast"/>
        </w:trPr>
        <w:tc>
          <w:tcPr>
            <w:tcW w:w="825"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06" w:type="dxa"/>
          </w:tcPr>
          <w:p w14:paraId="3689A82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三、交货地点和交货期</w:t>
            </w:r>
          </w:p>
          <w:p w14:paraId="4834254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1.交货地点：中山市东升医院内采购人指定地点，供应商须按照采购人指定地点送货上门。</w:t>
            </w:r>
          </w:p>
          <w:p w14:paraId="0348F11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2.交货期：成交供应商应在中标通知书发出之日起10日内，按投标文件确定的事项与采购人签订合同；合同签订后</w:t>
            </w:r>
            <w:r>
              <w:rPr>
                <w:rFonts w:hint="eastAsia" w:ascii="宋体" w:hAnsi="宋体" w:eastAsia="宋体" w:cs="宋体"/>
                <w:sz w:val="20"/>
                <w:szCs w:val="20"/>
                <w:lang w:val="en-US" w:eastAsia="zh-CN"/>
              </w:rPr>
              <w:t>30日内完成交货。</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825"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06" w:type="dxa"/>
          </w:tcPr>
          <w:p w14:paraId="66B7A87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四、付款方式</w:t>
            </w:r>
          </w:p>
          <w:p w14:paraId="0378A7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签订合同后5个工作日内，成交供应商需向采购人提交合同总金额5%的履约保证金。履约保证金在合同履行期满后一个月内一次性无息退还。若发生违约事项，采购人将根据约定条款进行扣款，剩余款项无息退还。</w:t>
            </w:r>
          </w:p>
          <w:p w14:paraId="7B33F31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合同签订后，供应商依据采购人提供的人员名单制作蛋糕卡。蛋糕卡送达采购人指定地点并经交付验收合格后，成交供应商凭双方确认的送货单及与所供货物等额的有效发票（收款方、出具发票方、合同乙方均须与成交供应商名称一致）向采购人申请支付款项。</w:t>
            </w:r>
          </w:p>
          <w:p w14:paraId="093BE505">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3.采购人在收到成交供应商的全额款项发票及申请资料并核对无误后60个工作日内，支付全额货款。</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825"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06" w:type="dxa"/>
          </w:tcPr>
          <w:p w14:paraId="4796632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五、报价方式</w:t>
            </w:r>
          </w:p>
          <w:p w14:paraId="412F477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供应商须提供单张卡面面值200元的自有直售蛋糕卡，以200元为最高限价，并按单价最高限价填报一个统一的响应下浮率，下浮率取值范围≥0%，若报价超出此范围则视为无效响应。结算公式：各类货物实际供货单价=200元×（1-成交下浮率）（四舍五入保留至小数点后两位），该单价为合同期间的最终价格，在合同期内，不随市场同类商品价格调整而变动。</w:t>
            </w:r>
          </w:p>
          <w:p w14:paraId="0580A2D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.本次响应报价应为人民币含税全包价，包含货物价格、包装费、运杂费。保险费、卸车费、配合费、检测费、配送费、税金及本项目执行过程中所需的其他各项费用。</w:t>
            </w:r>
          </w:p>
          <w:p w14:paraId="4F347F25">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3.报价次数：1次。</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825"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06" w:type="dxa"/>
          </w:tcPr>
          <w:p w14:paraId="7F1C81E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w:t>
            </w:r>
            <w:r>
              <w:rPr>
                <w:rFonts w:hint="eastAsia" w:ascii="宋体" w:hAnsi="宋体" w:eastAsia="宋体" w:cs="宋体"/>
                <w:color w:val="auto"/>
                <w:sz w:val="20"/>
                <w:szCs w:val="20"/>
                <w:shd w:val="clear" w:color="auto" w:fill="FFFFFF"/>
                <w:lang w:eastAsia="zh-CN" w:bidi="ar"/>
              </w:rPr>
              <w:t>投标样品</w:t>
            </w:r>
            <w:r>
              <w:rPr>
                <w:rFonts w:hint="eastAsia" w:ascii="宋体" w:hAnsi="宋体" w:eastAsia="宋体" w:cs="宋体"/>
                <w:color w:val="auto"/>
                <w:sz w:val="20"/>
                <w:szCs w:val="20"/>
                <w:shd w:val="clear" w:color="auto" w:fill="FFFFFF"/>
                <w:lang w:val="en-US" w:eastAsia="zh-CN" w:bidi="ar"/>
              </w:rPr>
              <w:t>要求</w:t>
            </w:r>
          </w:p>
          <w:p w14:paraId="304A428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1.★投标人须在递交投标文件的同时提交产品清单中的样品。</w:t>
            </w:r>
          </w:p>
          <w:p w14:paraId="4EFD2D2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2.本项目样品为实体IC卡与生日贺卡，外观样式不作限制，可提供往期同类项目样品，并需提交产品外观设计方案（含效果图）。</w:t>
            </w:r>
          </w:p>
          <w:p w14:paraId="32B2C52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3.样品应与投标文件分开独立封装。为便于评标工作开展，投标人须在样品表面或显著位置标注投标人名称、样品名称等相关信息。</w:t>
            </w:r>
          </w:p>
          <w:p w14:paraId="5DD3FF6A">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招标工作完成后，中标人的样品由投标人单位负责封存，作为实物参照标准。投标人及招标代理机构对所递交样品的破损或质量问题不承担任何责任。非中标人应于本项目中标公告发布之日起7个工作日内，前往院内招标采购办取回样品。逾期未取回的，视为自动放弃样品所有权，采购人有权对相关样品自行处置。</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25"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06" w:type="dxa"/>
          </w:tcPr>
          <w:p w14:paraId="41C1BB4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七</w:t>
            </w:r>
            <w:r>
              <w:rPr>
                <w:rFonts w:hint="eastAsia" w:ascii="宋体" w:hAnsi="宋体" w:eastAsia="宋体" w:cs="宋体"/>
                <w:color w:val="auto"/>
                <w:sz w:val="20"/>
                <w:szCs w:val="20"/>
                <w:shd w:val="clear" w:color="auto" w:fill="FFFFFF"/>
                <w:lang w:eastAsia="zh-CN" w:bidi="ar"/>
              </w:rPr>
              <w:t>、验收要求和售后服务</w:t>
            </w:r>
          </w:p>
          <w:p w14:paraId="733F419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1.供应商须承诺所提供产品符合《中华人民共和国产品质量法》《中华人民共和国食品安全法》等法律法规规定，确保产品质量，并对其提供的产品质量承担全部责任。</w:t>
            </w:r>
          </w:p>
          <w:p w14:paraId="2490781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2.采购人依据供货要求，对供应商配送货物的包装、质量、数量及保质期等进行现场抽查。若发现问题，采购人有权拒收，供应商须在两个工作日内予以明确答复。</w:t>
            </w:r>
          </w:p>
          <w:p w14:paraId="4C75B79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供应商应配备专业售后服务团队，并提供详细的售后服务方案，内容主要涵盖退换货政策、上门服务、国家三包政策执行、售后维护、客服专线服务、在线咨询服务、问题处理周期、纠纷解决机制及其他相关服务。售后服务方案需包含但不限于服务质量保障措施、客户投诉专职对接人员、处理流程、退换货处理流程、应急突发事件处理方案等。方案须完整规范，流程清晰，响应及时，具备明确有效的处理反馈机制及较强可执行性，确保接到问题反馈后能够快速响应，实现当日问题当日处理。</w:t>
            </w:r>
          </w:p>
          <w:p w14:paraId="5F29F88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4.蛋糕券供应商要求</w:t>
            </w:r>
          </w:p>
          <w:p w14:paraId="2C50C1A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①</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供应商所提供商品均须符合国家及行业生产、销售标准，保证货真价实且质检合格，并能提供相应批次的合格检验证明。</w:t>
            </w:r>
          </w:p>
          <w:p w14:paraId="4A6D3A8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②</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供应商产品外包装须完好无损，标注“品名、厂名、重量、执行标准、生产日期、保质期或保存期”等信息，并能提供SC认证及国家机关出具的产品检验合格证书。</w:t>
            </w:r>
          </w:p>
          <w:p w14:paraId="40B8A4C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③</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食品类商品须符合国家卫生标准，无腐烂、变质、油脂酸败、霉变、生虫、污秽不洁、混有异物或其他感官性状异常等情况，且不含有可能对人体健康造成危害的物质。适用商家在供应过程中，如发生商品质量问题或引发食物中毒（如商品变质等情形），经核实确属供应商责任的，供应商须承担全部责任（主要包括食物中毒人员的医疗费、误工费、事故处理费等），情节严重的将追究其刑事责任。</w:t>
            </w:r>
          </w:p>
          <w:p w14:paraId="4017C46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在合同有效期内，若成交供应商累计两次未能如期履约提供服务，或给采购人造成损失、影响项目正常开展的，采购人将责令其限期整改；若未按要求整改，采购人有权取消其服务资格，并扣除履约保证金。（须在投标文件中提供承诺函）</w:t>
            </w:r>
          </w:p>
          <w:p w14:paraId="3CC21D4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6.成交供应商供应过期或以次充好的生日代金卡的，采购人有权拒收，并责令其在规定时间内重新送货；若无法在规定时间内重新送货，将按违约责任第2款处理，由此产生的经济损失由供应商承担。</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683" w:hRule="atLeast"/>
        </w:trPr>
        <w:tc>
          <w:tcPr>
            <w:tcW w:w="825"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06" w:type="dxa"/>
          </w:tcPr>
          <w:p w14:paraId="179DB89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八</w:t>
            </w:r>
            <w:r>
              <w:rPr>
                <w:rFonts w:hint="eastAsia" w:ascii="宋体" w:hAnsi="宋体" w:eastAsia="宋体" w:cs="宋体"/>
                <w:color w:val="auto"/>
                <w:sz w:val="20"/>
                <w:szCs w:val="20"/>
                <w:shd w:val="clear" w:color="auto" w:fill="FFFFFF"/>
                <w:lang w:eastAsia="zh-CN" w:bidi="ar"/>
              </w:rPr>
              <w:t>、违约责任</w:t>
            </w:r>
          </w:p>
          <w:p w14:paraId="7F76858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成交供应商交付的产品或提供的服务不符合招标文件、投标文件或本合同规定的，采购人有权拒收，由此产生的风险及费用由成交供应商承担。成交供应商须进行重新处理，直至符合要求；若采购人认为成交供应商确实无能力完成的，有权终止合同，成交供应商应赔偿采购人损失并支付合同总结算金额10%的违约金。</w:t>
            </w:r>
          </w:p>
          <w:p w14:paraId="4136039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2.如所兑换商品的实际价值明显低于兑换卡或提货券面值，或兑换价格高于门店正价销售价格的，采购人有权拒收并终止合同，成交供应商应赔偿采购人损失并支付合同总结算金额10%的违约金。</w:t>
            </w:r>
          </w:p>
          <w:p w14:paraId="32AB4E2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3.成交供应商未按采购人要求准时供货或因备货不足导致有效投诉的，成交供应商须按当笔交易货款的10%支付违约金，情节严重的，采购人有权取消其供货资格。</w:t>
            </w:r>
          </w:p>
          <w:p w14:paraId="27109A5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4.成交供应商所提供货品经采购人抽检发现存在质量问题的，将根据实际情况处以罚款（按当笔交易货款的10%支付违约金）；情节严重的，采购人可取消其供货资格，且成交供应商须承担由此产生的全部责任。</w:t>
            </w:r>
          </w:p>
          <w:p w14:paraId="09EE22B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5.因成交供应商提供的商品在食用或使用后引发不良反应并导致有效投诉的，所有相关后果由成交供应商承担，成交供应商须赔偿采购人因此遭受的损失，采购人对此不承担任何责任，并有权取消其供货资格。</w:t>
            </w:r>
          </w:p>
          <w:p w14:paraId="58D7D7E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6.若上级部门发布文件取消有关节假日慰问品的发放许可，本合同自动终止，采购人不承担任何责任。</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23" w:hRule="atLeast"/>
        </w:trPr>
        <w:tc>
          <w:tcPr>
            <w:tcW w:w="825"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06" w:type="dxa"/>
          </w:tcPr>
          <w:p w14:paraId="78020BC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九、其它要求</w:t>
            </w:r>
          </w:p>
          <w:p w14:paraId="73A84B9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供应商应具备产品安全（质量）追溯能力，能够对所配送货品进行安全追溯，并在投标文件中明确阐述产品安全（质量）追溯的具体措施及实施方案。</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25"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506" w:type="dxa"/>
          </w:tcPr>
          <w:p w14:paraId="521E863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十、投标人配合条件</w:t>
            </w:r>
          </w:p>
          <w:p w14:paraId="4090DB1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投标人可在投标文件中列明项目实施过程中要求采购人提供的配合条件，采购人将在能力范围内尽量予以配合解决，但不视为对所列配合条件的全部接受，采购人有权全部或部分拒绝投标人提出的配合条件。</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r w14:paraId="60E89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576" w:hRule="atLeast"/>
        </w:trPr>
        <w:tc>
          <w:tcPr>
            <w:tcW w:w="825" w:type="dxa"/>
            <w:vAlign w:val="center"/>
          </w:tcPr>
          <w:p w14:paraId="59FFBE3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506" w:type="dxa"/>
          </w:tcPr>
          <w:p w14:paraId="618F79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十一、评审方式</w:t>
            </w:r>
          </w:p>
          <w:p w14:paraId="3B35A19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本项目的评审采用综合评分法，最低价不是唯一评定标准（评分标准详见附件一  中山市东升医院工会会员2026年度生日蛋糕卡项目评分表）。先进行资格符合性评审，再进行商务、技术及价格的详细评审(商务技术评分：70分，价格评分：30分)。</w:t>
            </w:r>
          </w:p>
        </w:tc>
        <w:tc>
          <w:tcPr>
            <w:tcW w:w="1541" w:type="dxa"/>
          </w:tcPr>
          <w:p w14:paraId="0E14E4DD">
            <w:pPr>
              <w:pStyle w:val="11"/>
              <w:rPr>
                <w:rFonts w:ascii="宋体" w:hAnsi="宋体" w:eastAsia="宋体" w:cs="宋体"/>
                <w:lang w:eastAsia="zh-CN"/>
              </w:rPr>
            </w:pPr>
          </w:p>
        </w:tc>
        <w:tc>
          <w:tcPr>
            <w:tcW w:w="1510" w:type="dxa"/>
          </w:tcPr>
          <w:p w14:paraId="773CB086">
            <w:pPr>
              <w:pStyle w:val="11"/>
              <w:rPr>
                <w:rFonts w:ascii="宋体" w:hAnsi="宋体" w:eastAsia="宋体" w:cs="宋体"/>
                <w:lang w:eastAsia="zh-CN"/>
              </w:rPr>
            </w:pPr>
          </w:p>
        </w:tc>
      </w:tr>
    </w:tbl>
    <w:p w14:paraId="7CF6A9F8">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spacing w:before="78" w:line="212" w:lineRule="auto"/>
        <w:ind w:left="3572"/>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spacing w:before="33" w:line="227" w:lineRule="auto"/>
        <w:ind w:left="22"/>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7FC6698A">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承诺函（格式自拟），包括但不限于：在合同有效期内，若成交供应商累计两次未能如期履约提供服务，或给采购人造成损失、影响项目正常开展的，采购人将责令其限期整改；若未按要求整改，采购人有权取消其服务资格，并扣除履约保证金。</w:t>
      </w:r>
    </w:p>
    <w:p w14:paraId="06D5CCEC">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包括但不限于：生日卡面面值与结算规则、卡片规范、使用规则、卡片有效期、售后保障方案、产品安全（质量）追溯的具体措施及实施方案、项目实施过程中要求采购人提供的配合条件等。</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bookmarkStart w:id="0" w:name="_GoBack"/>
      <w:bookmarkEnd w:id="0"/>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5D250F6"/>
    <w:rsid w:val="07B61034"/>
    <w:rsid w:val="07DE22A7"/>
    <w:rsid w:val="0A1B60BD"/>
    <w:rsid w:val="0A382368"/>
    <w:rsid w:val="0E881903"/>
    <w:rsid w:val="0E9C78E3"/>
    <w:rsid w:val="126C008B"/>
    <w:rsid w:val="13666B31"/>
    <w:rsid w:val="16DD5993"/>
    <w:rsid w:val="18C80C4B"/>
    <w:rsid w:val="1E9D0594"/>
    <w:rsid w:val="1EA21FDF"/>
    <w:rsid w:val="1EDF5020"/>
    <w:rsid w:val="20607AD1"/>
    <w:rsid w:val="20BE2A44"/>
    <w:rsid w:val="22732647"/>
    <w:rsid w:val="23487B36"/>
    <w:rsid w:val="255559E6"/>
    <w:rsid w:val="2695736E"/>
    <w:rsid w:val="26B446CD"/>
    <w:rsid w:val="28580DF7"/>
    <w:rsid w:val="36073C0B"/>
    <w:rsid w:val="3A231E3E"/>
    <w:rsid w:val="3A7C5FA4"/>
    <w:rsid w:val="3B082DE1"/>
    <w:rsid w:val="3EB26D88"/>
    <w:rsid w:val="3FE5557A"/>
    <w:rsid w:val="40671DCB"/>
    <w:rsid w:val="40C03509"/>
    <w:rsid w:val="433379C8"/>
    <w:rsid w:val="4A4554B8"/>
    <w:rsid w:val="4A4831FA"/>
    <w:rsid w:val="4C030C69"/>
    <w:rsid w:val="50573AD2"/>
    <w:rsid w:val="5178029F"/>
    <w:rsid w:val="54B97F1A"/>
    <w:rsid w:val="55101B29"/>
    <w:rsid w:val="556A1102"/>
    <w:rsid w:val="5774562F"/>
    <w:rsid w:val="58514D81"/>
    <w:rsid w:val="595E6596"/>
    <w:rsid w:val="5E5E5F4E"/>
    <w:rsid w:val="731142D5"/>
    <w:rsid w:val="73252077"/>
    <w:rsid w:val="7372318C"/>
    <w:rsid w:val="75E87F4B"/>
    <w:rsid w:val="790F76AC"/>
    <w:rsid w:val="7A997B0D"/>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3311</Words>
  <Characters>3436</Characters>
  <Lines>55</Lines>
  <Paragraphs>15</Paragraphs>
  <TotalTime>1</TotalTime>
  <ScaleCrop>false</ScaleCrop>
  <LinksUpToDate>false</LinksUpToDate>
  <CharactersWithSpaces>3824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2026-05-26T08:43:35Z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