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7F0C2E95">
      <w:pPr>
        <w:spacing w:before="153" w:line="295" w:lineRule="auto"/>
        <w:ind w:right="191"/>
        <w:jc w:val="center"/>
        <w:outlineLvl w:val="0"/>
        <w:rPr>
          <w:rFonts w:hint="eastAsia" w:ascii="宋体" w:hAnsi="宋体" w:eastAsia="宋体" w:cs="宋体"/>
          <w:b/>
          <w:bCs/>
          <w:spacing w:val="-1"/>
          <w:sz w:val="47"/>
          <w:szCs w:val="47"/>
          <w:lang w:val="en-US" w:eastAsia="zh-CN"/>
        </w:rPr>
      </w:pPr>
      <w:r>
        <w:rPr>
          <w:rFonts w:hint="eastAsia" w:ascii="宋体" w:hAnsi="宋体" w:eastAsia="宋体" w:cs="宋体"/>
          <w:b/>
          <w:bCs/>
          <w:spacing w:val="-1"/>
          <w:sz w:val="47"/>
          <w:szCs w:val="47"/>
          <w:lang w:val="en-US" w:eastAsia="zh-CN"/>
        </w:rPr>
        <w:t>中山市东升医院便民服务采购项目</w:t>
      </w:r>
    </w:p>
    <w:p w14:paraId="61EA706F">
      <w:pPr>
        <w:spacing w:before="153" w:line="295" w:lineRule="auto"/>
        <w:ind w:right="191"/>
        <w:jc w:val="center"/>
        <w:outlineLvl w:val="0"/>
        <w:rPr>
          <w:rFonts w:ascii="宋体" w:hAnsi="宋体" w:eastAsia="宋体" w:cs="宋体"/>
          <w:sz w:val="47"/>
          <w:szCs w:val="47"/>
          <w:lang w:eastAsia="zh-CN"/>
        </w:rPr>
      </w:pP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2DBD0CFB">
      <w:pPr>
        <w:pStyle w:val="3"/>
      </w:pPr>
    </w:p>
    <w:tbl>
      <w:tblPr>
        <w:tblStyle w:val="11"/>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919"/>
        <w:gridCol w:w="3720"/>
        <w:gridCol w:w="245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291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720"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报价金额</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元</w:t>
            </w:r>
            <w:r>
              <w:rPr>
                <w:rFonts w:hint="eastAsia" w:ascii="宋体" w:hAnsi="宋体" w:eastAsia="宋体" w:cs="宋体"/>
                <w:b/>
                <w:bCs/>
                <w:spacing w:val="-8"/>
                <w:sz w:val="24"/>
                <w:szCs w:val="24"/>
                <w:lang w:eastAsia="zh-CN"/>
              </w:rPr>
              <w:t>）</w:t>
            </w:r>
          </w:p>
        </w:tc>
        <w:tc>
          <w:tcPr>
            <w:tcW w:w="245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291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中山市东升医院便民服务采购项目</w:t>
            </w:r>
          </w:p>
        </w:tc>
        <w:tc>
          <w:tcPr>
            <w:tcW w:w="3720"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元/点位/月</w:t>
            </w:r>
          </w:p>
        </w:tc>
        <w:tc>
          <w:tcPr>
            <w:tcW w:w="2455" w:type="dxa"/>
            <w:vAlign w:val="center"/>
          </w:tcPr>
          <w:p w14:paraId="417A2084">
            <w:pPr>
              <w:jc w:val="center"/>
              <w:rPr>
                <w:rFonts w:hint="default" w:eastAsia="宋体"/>
                <w:lang w:val="en-US" w:eastAsia="zh-CN"/>
              </w:rPr>
            </w:pPr>
          </w:p>
        </w:tc>
      </w:tr>
    </w:tbl>
    <w:p w14:paraId="06BFCCF9">
      <w:pPr>
        <w:pStyle w:val="3"/>
        <w:spacing w:line="371" w:lineRule="auto"/>
      </w:pPr>
    </w:p>
    <w:p w14:paraId="1CE97BEE">
      <w:pPr>
        <w:pStyle w:val="3"/>
        <w:spacing w:line="371" w:lineRule="auto"/>
      </w:pPr>
    </w:p>
    <w:p w14:paraId="7491E2FB">
      <w:pPr>
        <w:pStyle w:val="10"/>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本项目采取公开招租模式，各供应商须在该底价基础上进行报价。租金底价设定为200元/点位/月，低于租金底价的报价将被视作无效。</w:t>
      </w:r>
      <w:r>
        <w:rPr>
          <w:rFonts w:hint="eastAsia" w:ascii="宋体" w:hAnsi="宋体" w:eastAsia="宋体" w:cs="宋体"/>
          <w:b/>
          <w:bCs/>
          <w:spacing w:val="7"/>
          <w:sz w:val="20"/>
          <w:szCs w:val="20"/>
          <w:lang w:eastAsia="zh-CN"/>
        </w:rPr>
        <w:t>不得随意更改本表格式。</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通过资格审查的供应商，遵循价格优先原则，报价最高者确定为拟中标候选人。若存在两家及以上供应商报价相同的情形，以平台响应报名时间更早者为优先。</w:t>
      </w:r>
    </w:p>
    <w:p w14:paraId="40A56808">
      <w:pPr>
        <w:pStyle w:val="10"/>
        <w:keepNext w:val="0"/>
        <w:keepLines w:val="0"/>
        <w:pageBreakBefore w:val="0"/>
        <w:widowControl w:val="0"/>
        <w:kinsoku/>
        <w:wordWrap/>
        <w:overflowPunct/>
        <w:topLinePunct w:val="0"/>
        <w:autoSpaceDE w:val="0"/>
        <w:autoSpaceDN w:val="0"/>
        <w:bidi w:val="0"/>
        <w:adjustRightInd w:val="0"/>
        <w:snapToGrid/>
        <w:spacing w:before="0" w:beforeLines="50"/>
        <w:textAlignment w:val="auto"/>
        <w:rPr>
          <w:rFonts w:hint="eastAsia" w:hAnsi="宋体" w:cs="宋体"/>
          <w:b/>
          <w:bCs/>
          <w:sz w:val="20"/>
          <w:szCs w:val="20"/>
          <w:lang w:val="en-US" w:eastAsia="zh-CN"/>
        </w:rPr>
      </w:pPr>
      <w:r>
        <w:rPr>
          <w:rFonts w:hint="eastAsia" w:hAnsi="宋体" w:cs="宋体"/>
          <w:b/>
          <w:bCs/>
          <w:sz w:val="20"/>
          <w:szCs w:val="20"/>
          <w:lang w:val="en-US" w:eastAsia="zh-CN"/>
        </w:rPr>
        <w:t>3. 报价次数：1次。</w:t>
      </w:r>
    </w:p>
    <w:p w14:paraId="17E08FB6">
      <w:pPr>
        <w:pStyle w:val="3"/>
        <w:rPr>
          <w:rFonts w:ascii="宋体" w:hAnsi="宋体" w:eastAsia="宋体" w:cs="宋体"/>
          <w:spacing w:val="2"/>
          <w:sz w:val="24"/>
          <w:szCs w:val="24"/>
          <w:lang w:eastAsia="zh-CN"/>
        </w:rPr>
      </w:pPr>
    </w:p>
    <w:p w14:paraId="573023C5">
      <w:pPr>
        <w:pStyle w:val="10"/>
        <w:rPr>
          <w:rFonts w:ascii="宋体" w:hAnsi="宋体" w:eastAsia="宋体" w:cs="宋体"/>
          <w:spacing w:val="2"/>
          <w:sz w:val="24"/>
          <w:szCs w:val="24"/>
          <w:lang w:eastAsia="zh-CN"/>
        </w:rPr>
      </w:pPr>
    </w:p>
    <w:p w14:paraId="400D596C">
      <w:pPr>
        <w:pStyle w:val="10"/>
        <w:rPr>
          <w:rFonts w:ascii="宋体" w:hAnsi="宋体" w:eastAsia="宋体" w:cs="宋体"/>
          <w:spacing w:val="2"/>
          <w:sz w:val="24"/>
          <w:szCs w:val="24"/>
          <w:lang w:eastAsia="zh-CN"/>
        </w:rPr>
      </w:pPr>
    </w:p>
    <w:p w14:paraId="4E28C739">
      <w:pPr>
        <w:pStyle w:val="10"/>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keepNext w:val="0"/>
        <w:keepLines w:val="0"/>
        <w:pageBreakBefore w:val="0"/>
        <w:widowControl/>
        <w:kinsoku w:val="0"/>
        <w:wordWrap/>
        <w:overflowPunct/>
        <w:topLinePunct w:val="0"/>
        <w:autoSpaceDE w:val="0"/>
        <w:autoSpaceDN w:val="0"/>
        <w:bidi w:val="0"/>
        <w:adjustRightInd w:val="0"/>
        <w:snapToGrid w:val="0"/>
        <w:spacing w:before="184" w:line="48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中山市东升医院便民服务采购项目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包含相关食品经营、销售及自动售货机业务</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中山市东升医院便民服务采购项目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240"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十一、相关资质证明文件，包括但不限于：便民充电设备的合格证明文件及品牌授权代理证明文件；食品经营许可证等。</w:t>
      </w:r>
    </w:p>
    <w:p w14:paraId="16909AC6">
      <w:pPr>
        <w:rPr>
          <w:rFonts w:hint="default"/>
          <w:lang w:val="en-US" w:eastAsia="zh-CN"/>
        </w:rPr>
      </w:pPr>
      <w:r>
        <w:rPr>
          <w:rFonts w:hint="default"/>
          <w:lang w:val="en-US" w:eastAsia="zh-CN"/>
        </w:rPr>
        <w:br w:type="page"/>
      </w:r>
    </w:p>
    <w:p w14:paraId="207545BA">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十二、拟投入的自动售货机和便民充电设备的设备合格证、设备技术参数（包含设备规格尺寸、电压功率、运行方式等）相关资料。</w:t>
      </w:r>
    </w:p>
    <w:p w14:paraId="0AD9DD18">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三</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1"/>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958"/>
        <w:gridCol w:w="5373"/>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958"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373"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373" w:type="dxa"/>
          </w:tcPr>
          <w:p w14:paraId="4721B54E">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一、项目概况</w:t>
            </w:r>
          </w:p>
          <w:p w14:paraId="5FCEB60A">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项目名称：中山市东升医院便民服务采购项目</w:t>
            </w:r>
          </w:p>
          <w:p w14:paraId="49329B3F">
            <w:pPr>
              <w:pStyle w:val="6"/>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项目编号：FW-CW-CW-2026045</w:t>
            </w:r>
          </w:p>
          <w:p w14:paraId="4F374D14">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服务期</w:t>
            </w:r>
            <w:r>
              <w:rPr>
                <w:rFonts w:hint="eastAsia" w:ascii="宋体" w:hAnsi="宋体" w:eastAsia="宋体" w:cs="宋体"/>
                <w:sz w:val="20"/>
                <w:szCs w:val="20"/>
                <w:lang w:val="en-US" w:eastAsia="zh-CN"/>
              </w:rPr>
              <w:t>限：三年（自合同签订之日起计算）</w:t>
            </w:r>
          </w:p>
          <w:p w14:paraId="4EF711C4">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项目内容：为提升就医群众便利度，医院拟引入智能零售与应急充电一体化服务。供应商需在中山市东升医院指定区域内投放并运营多个便民服务点位，每个点位应配置共享充电宝设备与便民耗材售卖机各一台。其中，智能售货机商品配置需涵盖矿泉水、饮料、面包、饼干及日用品等，并可依据实际需求进行及时调整，确保全天候24小时供应；共享充电宝设备应采用与知名品牌（如美团、怪兽、街电等）合作模式或自营高品质设备，以保障使用安全、快速充电及网点互联功能。</w:t>
            </w:r>
          </w:p>
          <w:p w14:paraId="03596A6D">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项目点位场地底价：200元/点位</w:t>
            </w:r>
            <w:r>
              <w:rPr>
                <w:rFonts w:hint="eastAsia" w:ascii="宋体" w:hAnsi="宋体" w:eastAsia="宋体" w:cs="宋体"/>
                <w:sz w:val="20"/>
                <w:szCs w:val="20"/>
                <w:lang w:val="en-US" w:eastAsia="zh-CN"/>
              </w:rPr>
              <w:t>/月（每个点位的场地报价不得低于此标准，费用包含电费）</w:t>
            </w:r>
          </w:p>
          <w:p w14:paraId="4E9DE7B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项目布点规划：全院区拟布设点位主要分布于以下区域：一楼大堂药房等候区、</w:t>
            </w:r>
            <w:r>
              <w:rPr>
                <w:rFonts w:hint="eastAsia" w:ascii="宋体" w:hAnsi="宋体" w:eastAsia="宋体" w:cs="宋体"/>
                <w:sz w:val="20"/>
                <w:szCs w:val="20"/>
                <w:lang w:val="en-US" w:eastAsia="zh-CN"/>
              </w:rPr>
              <w:t>二楼超声科等候区、二楼妇科导诊台等候区、三楼收费处对面、四楼5号及6号电梯等候区。预计布设5个点位，具体数量由双方协商确定。</w:t>
            </w:r>
          </w:p>
          <w:p w14:paraId="291DFA8E">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eastAsia="zh-CN"/>
              </w:rPr>
              <w:t>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现场勘察：意向供应商如需进行现场勘察，应自行安排，医院不统一组织。</w:t>
            </w:r>
          </w:p>
        </w:tc>
        <w:tc>
          <w:tcPr>
            <w:tcW w:w="1541" w:type="dxa"/>
          </w:tcPr>
          <w:p w14:paraId="5B3B314A">
            <w:pPr>
              <w:pStyle w:val="12"/>
              <w:rPr>
                <w:rFonts w:ascii="宋体" w:hAnsi="宋体" w:eastAsia="宋体" w:cs="宋体"/>
                <w:lang w:eastAsia="zh-CN"/>
              </w:rPr>
            </w:pPr>
          </w:p>
        </w:tc>
        <w:tc>
          <w:tcPr>
            <w:tcW w:w="1510" w:type="dxa"/>
          </w:tcPr>
          <w:p w14:paraId="28582A36">
            <w:pPr>
              <w:pStyle w:val="12"/>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958"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373" w:type="dxa"/>
          </w:tcPr>
          <w:p w14:paraId="2D71965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二、供应商的资格要求</w:t>
            </w:r>
          </w:p>
          <w:p w14:paraId="45396DE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响应供应商须为在中华人民共和国境内注册，能够独立承担民事责任的企业法人、其他组织或自然人。</w:t>
            </w:r>
          </w:p>
          <w:p w14:paraId="01E2E0F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响应供应商须持有有效的营业执照，其经营范围应包含相关食品经营、销售及自动售货机业务，并已取得食品经营许可证。</w:t>
            </w:r>
          </w:p>
          <w:p w14:paraId="0FD7F26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响应供应商须依法取得便民充电设备的合格证明文件及品牌授权代理证明文件。</w:t>
            </w:r>
          </w:p>
          <w:p w14:paraId="5500E6D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响应供应商应具备项目承接能力、合同履约能力、售后保障能力及良好的商业信誉。</w:t>
            </w:r>
          </w:p>
          <w:p w14:paraId="769A7AAB">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 响应供应商在参与公开招标活动中无违法违纪行为及受处罚记录，且近三年内无因串标、围标等行为受到处罚的记录。</w:t>
            </w:r>
          </w:p>
        </w:tc>
        <w:tc>
          <w:tcPr>
            <w:tcW w:w="1541" w:type="dxa"/>
          </w:tcPr>
          <w:p w14:paraId="11B334CA">
            <w:pPr>
              <w:pStyle w:val="12"/>
              <w:rPr>
                <w:rFonts w:ascii="宋体" w:hAnsi="宋体" w:eastAsia="宋体" w:cs="宋体"/>
                <w:lang w:eastAsia="zh-CN"/>
              </w:rPr>
            </w:pPr>
          </w:p>
        </w:tc>
        <w:tc>
          <w:tcPr>
            <w:tcW w:w="1510" w:type="dxa"/>
          </w:tcPr>
          <w:p w14:paraId="0566467E">
            <w:pPr>
              <w:pStyle w:val="12"/>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373" w:type="dxa"/>
          </w:tcPr>
          <w:p w14:paraId="38D4229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三、总体要求</w:t>
            </w:r>
          </w:p>
          <w:p w14:paraId="61663AC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（一）智能售货机</w:t>
            </w:r>
          </w:p>
          <w:p w14:paraId="6F9B068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响应供应商必须严格遵守国家相关法律法规及招租人的各项规章制度，严禁张贴法律法规规定医疗单位不得出现的标志、标识及广告等内容。</w:t>
            </w:r>
          </w:p>
          <w:p w14:paraId="2D9643C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招租人提供场地，响应供应商在成交后负责提供自助售货机设备，并承担设备的安装与调试工作。若投放位置未配备配电装置，由供应商自行负责电源设备、插座及线路的安装。</w:t>
            </w:r>
          </w:p>
          <w:p w14:paraId="205C018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响应供应商提供的自助售货机所供应商品必须符合国家相关合格标准及食品安全标准。因设备安全或质量问题引发的一切经济损失与法律责任，均由响应供应商承担全部责任。</w:t>
            </w:r>
          </w:p>
          <w:p w14:paraId="2B7C3BC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因产品安全、质量问题等引发的顾客投诉，或因非法运营导致政府部门处罚等情况，均由响应供应商负责处理，并自行承担相应的偿付责任及法律责任，与招租人无关。如因此给招租人造成经济损失，响应供应商应向招租人赔偿全部经济损失并承担法律责任。</w:t>
            </w:r>
          </w:p>
          <w:p w14:paraId="3640587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严禁销售变质、过期等不合格食品。因食品质量问题导致人身损害的，一切责任由成交供应商承担。若发生严重的食品安全质量事故，响应供应商除承担相应赔偿及责任外，还需向招租人支付每次500-1000元的违约金。招租人有权从履约保证金中直接抵扣该违约金，不足部分由响应供应商在5个工作日内补足。</w:t>
            </w:r>
          </w:p>
          <w:p w14:paraId="3A5918A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负责设备的巡回检查、维修与保养，确保设备正常运转，并自行承担运营管理成本（包括设备日常维修、清洁及保养等）。设备发生故障时，响应供应商应提供免费维修服务。设备显眼位置须注明报修电话，并提供7×24小时响应及维修服务。对于可远程处理的故障，客服应远程解决；如需现场处理，响应供应商须在接到故障通知后1小时内到达现场，并于2小时内处理完毕。</w:t>
            </w:r>
          </w:p>
          <w:p w14:paraId="48F30F0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响应供应商工作人员进入招租人场地时，必须严格遵守招租人的所有规章制度，包括安全生产、交通安全、消防安全等方面的规定。</w:t>
            </w:r>
          </w:p>
          <w:p w14:paraId="41550C2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如因不可抗力因素（如国家或政府相关法律法规禁止开展此类业务，或甲方场地变更使用功能）导致双方无法继续合作，成交供应商应无条件配合招租人完成设备撤离等相关工作。</w:t>
            </w:r>
          </w:p>
          <w:p w14:paraId="4890944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9.</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如在合作期内项目合同解除或提前终止的，成交供应商应于七个日历天内完成设备搬离工作。</w:t>
            </w:r>
          </w:p>
          <w:p w14:paraId="13DEE63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若成交供应商逾期未实施搬离，招租人应进行书面催告，催告期限为七个日历天。催告期满仍未搬离的，招租人有权将设备转移至指定场所代为保管，保管费用由成交供应商承担，且保管期限不超过三十个日历天。</w:t>
            </w:r>
          </w:p>
          <w:p w14:paraId="053EC07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11.保管期满后成交供应商仍未搬离设备的，招租人有权通过拍卖、变卖等法定方式处置该设备，处置所得款项应优先用于抵扣保管费、搬运费及成交供应商应付未付款项，剩余款项退还成交供应商；若处置所得不足以抵扣上述费用及款项，不足部分由成交供应商补足。</w:t>
            </w:r>
          </w:p>
          <w:p w14:paraId="4F30DF5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12.因设备搬离行为造成招租人场地损坏的，成交供应商应承担修复责任或赔偿由此产生的损失。</w:t>
            </w:r>
          </w:p>
          <w:p w14:paraId="28F57D3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3.合同履行期限内，成交供应商不得擅自改变场所的使用功能，否则将视为违约。</w:t>
            </w:r>
          </w:p>
          <w:p w14:paraId="2668CA8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4</w:t>
            </w:r>
            <w:r>
              <w:rPr>
                <w:rFonts w:hint="eastAsia" w:ascii="宋体" w:hAnsi="宋体" w:eastAsia="宋体" w:cs="宋体"/>
                <w:sz w:val="20"/>
                <w:szCs w:val="20"/>
                <w:lang w:eastAsia="zh-CN"/>
              </w:rPr>
              <w:t>.食品安全专项责任</w:t>
            </w:r>
          </w:p>
          <w:p w14:paraId="246A5FF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1）响应供应商须建立并严格执行进货查验记录制度，相关记录保存期限不得少于产品保质期满后六个月；对无明确保质期的产品，保存期限不得少于两年。</w:t>
            </w:r>
          </w:p>
          <w:p w14:paraId="3416423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）响应供应商须为所售食品提供食品安全责任承诺函，因食品安全问题产生的一切损失由响应供应商承担。</w:t>
            </w:r>
          </w:p>
          <w:p w14:paraId="7F3FBB8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）响应供应商须在售货机显著位置公示食品经营许可证复印件、投诉举报电话及商品保质期信息。</w:t>
            </w:r>
          </w:p>
          <w:p w14:paraId="51D0682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4）响应供应商应建立食品安全事故应急预案。发生一般食品安全事故（如个别消费者出现轻微不适症状）的，须在两小时内向招租人报告；发生重大食品安全事故（如三人以上食物中毒或一人以上住院治疗）的，须在三十分钟内向招租人及属地市场监督管理部门报告，并同步启动应急预案。</w:t>
            </w:r>
          </w:p>
          <w:p w14:paraId="66383A2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5</w:t>
            </w:r>
            <w:r>
              <w:rPr>
                <w:rFonts w:hint="eastAsia" w:ascii="宋体" w:hAnsi="宋体" w:eastAsia="宋体" w:cs="宋体"/>
                <w:sz w:val="20"/>
                <w:szCs w:val="20"/>
                <w:lang w:eastAsia="zh-CN"/>
              </w:rPr>
              <w:t>.商品定价与明码标价责任</w:t>
            </w:r>
          </w:p>
          <w:p w14:paraId="483E9D4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1）所有商品须严格执行明码标价规定，标价内容应包含品名、产地、规格、计价单位、价格等信息，不得收取任何未予标明的费用。</w:t>
            </w:r>
          </w:p>
          <w:p w14:paraId="7B188B7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2）同类商品售价不得高于医院周边五百米范围内主流连锁便利店（如7-11、美宜佳、芙蓉兴盛等）同类商品的同期售价，招租人有权对商品价格进行抽查。</w:t>
            </w:r>
          </w:p>
          <w:p w14:paraId="24EE2B0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3）若发现上述违规行为，供应商应支付违约金五百元/次；若违规行为发生两次，招租人有权单方终止合同。</w:t>
            </w:r>
          </w:p>
          <w:p w14:paraId="3FCFA1F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6</w:t>
            </w:r>
            <w:r>
              <w:rPr>
                <w:rFonts w:hint="eastAsia" w:ascii="宋体" w:hAnsi="宋体" w:eastAsia="宋体" w:cs="宋体"/>
                <w:sz w:val="20"/>
                <w:szCs w:val="20"/>
                <w:lang w:eastAsia="zh-CN"/>
              </w:rPr>
              <w:t>.数据安全与隐私保护责任</w:t>
            </w:r>
          </w:p>
          <w:p w14:paraId="5A240FD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）智能售货机涉及消费者个人信息收集的，响应供应商须严格遵守《中华人民共和国个人信息保护法》，采取加密等安全技术措施，不得向第三方非法提供、出售消费者个人信息。</w:t>
            </w:r>
          </w:p>
          <w:p w14:paraId="5898100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）因数据泄露导致消费者或招租人遭受损失的，由响应供应商承担全部赔偿责任。</w:t>
            </w:r>
          </w:p>
          <w:p w14:paraId="7E5BBFD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7</w:t>
            </w:r>
            <w:r>
              <w:rPr>
                <w:rFonts w:hint="eastAsia" w:ascii="宋体" w:hAnsi="宋体" w:eastAsia="宋体" w:cs="宋体"/>
                <w:sz w:val="20"/>
                <w:szCs w:val="20"/>
                <w:lang w:eastAsia="zh-CN"/>
              </w:rPr>
              <w:t>.环境卫生与防疫责任</w:t>
            </w:r>
          </w:p>
          <w:p w14:paraId="6746057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1）响应供应商须每日对售货机外观及取货口进行消毒清洁，并做好记录以备查验。</w:t>
            </w:r>
          </w:p>
          <w:p w14:paraId="7E1D4DF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）医院启动突发公共卫生事件应急响应期间，响应供应商须无条件配合医院的防疫管控要求。</w:t>
            </w:r>
          </w:p>
          <w:p w14:paraId="70DC7AD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（二）共享充电宝</w:t>
            </w:r>
          </w:p>
          <w:p w14:paraId="64FCDEC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响应供应商必须遵守国家相关法律法规及招租人的规章制度，严禁张贴、设置任何法律规定医疗单位不得出现的标志、标识、广告等内容。</w:t>
            </w:r>
          </w:p>
          <w:p w14:paraId="35F8C25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招租人提供场地，响应供应商在成交后负责提供便民充电设备，并承担设备的安装、调试工作；如投放位置未设置配电装置，由供应商负责自行安装电源设备、插座及线路等设施。</w:t>
            </w:r>
          </w:p>
          <w:p w14:paraId="68A4879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响应供应商所提供的便民充电设备应符合国家合格标准。因设备安全及质量问题所导致的一切经济损失和法律责任，由响应供应商全部承担。</w:t>
            </w:r>
          </w:p>
          <w:p w14:paraId="6DDA56B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因产品安全、质量问题等引发的顾客投诉，或因非法运营等行为导致政府部门处罚的，均由响应供应商负责处理，并自行承担偿付责任及法律责任，与招租人无关。如因此造成招租人经济损失的，响应供应商应向招租人赔偿全部经济损失并承担相应法律责任。</w:t>
            </w:r>
          </w:p>
          <w:p w14:paraId="14BAAAB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因设备质量问题导致人身损害的，一切责任由成交供应商承担。若发生严重安全质量事故，响应供应商除须承担</w:t>
            </w:r>
            <w:r>
              <w:rPr>
                <w:rFonts w:hint="eastAsia" w:ascii="宋体" w:hAnsi="宋体" w:eastAsia="宋体" w:cs="宋体"/>
                <w:sz w:val="20"/>
                <w:szCs w:val="20"/>
                <w:lang w:val="en-US" w:eastAsia="zh-CN"/>
              </w:rPr>
              <w:t>全部赔偿及责任外，招租人有权根据事件严重程度处以合同总额20%的违约金，并有权单方终止合同。</w:t>
            </w:r>
          </w:p>
          <w:p w14:paraId="4582325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负责设备的巡回检查、维修及保养工作，保证设备正常运转，并自行承担运营管理成本（包括设备日常维修、清洁及保养等费用）。当机器发生故障时，响应供应商应提供免费维修服务。响应供应商应在设备显著位置标注报修电话，提供全天候（7×24小时）响应及维修服务。客服人员具备远程处理能力，若需现场处置，应于接到故障通知后1小时内抵达现场，并在2小时内完成处理。</w:t>
            </w:r>
          </w:p>
          <w:p w14:paraId="2CB5F57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响应供应商工作人员进出招租人场地时，必须遵守招租人的各项规章制度，其中包括安全生产、交通安全及消防安全等相关规定。</w:t>
            </w:r>
          </w:p>
          <w:p w14:paraId="36CBC31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若因不可抗力因素（如国家或政府相关法律法规禁止开展本项目，或甲方场地变更使用功能）导致双方无法继续合作，成交供应商应无条件配合招租人完成设备撤离相关工作。</w:t>
            </w:r>
          </w:p>
          <w:p w14:paraId="2E612C2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9.</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合作期内，若项目合同解除或提前终止，成交供应商须在7个日历天内完成设备的搬离工作。</w:t>
            </w:r>
          </w:p>
          <w:p w14:paraId="39266D2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10.若成交供应商逾期未搬离设备，招租人应进行书面催告，催告期为7个日历天。催告期满仍未搬离的，招租人有权将设备转移至指定场所代为保管，保管费用由成交供应商承担，且保管期限不超过30个日历天。</w:t>
            </w:r>
          </w:p>
          <w:p w14:paraId="29069D3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11.保管期满后，若成交供应商仍未搬离设备，招租人有权通过拍卖、变卖等方式对设备进行处置。处置所得款项将优先用于抵扣保管费、搬运费及成交供应商应付未付款项，剩余款项退还成交供应商；若处置所得不足以抵扣上述费用及款项，不足部分由成交供应商补足。</w:t>
            </w:r>
          </w:p>
          <w:p w14:paraId="7880EA9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12.因设备搬离行为造成招租人场地损坏的，成交供应商应负责修复或予以赔偿。</w:t>
            </w:r>
          </w:p>
          <w:p w14:paraId="20FB69E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3.在合同期限内，响应供应商不得擅自改变场所的使用功能，否则将被视为违约。</w:t>
            </w:r>
          </w:p>
          <w:p w14:paraId="30847BA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4</w:t>
            </w:r>
            <w:r>
              <w:rPr>
                <w:rFonts w:hint="eastAsia" w:ascii="宋体" w:hAnsi="宋体" w:eastAsia="宋体" w:cs="宋体"/>
                <w:sz w:val="20"/>
                <w:szCs w:val="20"/>
                <w:lang w:eastAsia="zh-CN"/>
              </w:rPr>
              <w:t>.设备安全与产品质量责任</w:t>
            </w:r>
          </w:p>
          <w:p w14:paraId="3703954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）共享充电宝设备必须通过CCC强制性产品认证，并提供认证证书复印件。</w:t>
            </w:r>
          </w:p>
          <w:p w14:paraId="318A070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）设备电池应符合《便携式电子产品用锂离子电池和电池组安全技术规范》（GB 31241）标准要求。</w:t>
            </w:r>
          </w:p>
          <w:p w14:paraId="17520C4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）响应供应商须为所提供的设备出具公众责任承诺函，由此产生的一切损失由响应供应商承担。</w:t>
            </w:r>
          </w:p>
          <w:p w14:paraId="570406A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5</w:t>
            </w:r>
            <w:r>
              <w:rPr>
                <w:rFonts w:hint="eastAsia" w:ascii="宋体" w:hAnsi="宋体" w:eastAsia="宋体" w:cs="宋体"/>
                <w:sz w:val="20"/>
                <w:szCs w:val="20"/>
                <w:lang w:eastAsia="zh-CN"/>
              </w:rPr>
              <w:t>.收费透明与消费者权益保护责任</w:t>
            </w:r>
          </w:p>
          <w:p w14:paraId="6CA63DB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）收费标准须在设备显著位置及扫码页面明确公示，内容包括免费时长、计费标准、封顶价格、押金规则等。</w:t>
            </w:r>
          </w:p>
          <w:p w14:paraId="6FBCA53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）不得设置默认自动续费、强制捆绑消费等侵害消费者权益的条款。</w:t>
            </w:r>
          </w:p>
          <w:p w14:paraId="792B085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3）须设立全天候（7×24小时）客服热线，消费纠纷应在24小时内处理完毕，并将处理结果反馈招租人。</w:t>
            </w:r>
          </w:p>
          <w:p w14:paraId="01782A1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6</w:t>
            </w:r>
            <w:r>
              <w:rPr>
                <w:rFonts w:hint="eastAsia" w:ascii="宋体" w:hAnsi="宋体" w:eastAsia="宋体" w:cs="宋体"/>
                <w:sz w:val="20"/>
                <w:szCs w:val="20"/>
                <w:lang w:eastAsia="zh-CN"/>
              </w:rPr>
              <w:t>.数据安全责任</w:t>
            </w:r>
          </w:p>
          <w:p w14:paraId="0024695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1）在扫码租借过程中收集的用户个人信息（如手机号、位置信息等），响应供应商须严格保密，不得用于本项目以外的商业用途。</w:t>
            </w:r>
          </w:p>
          <w:p w14:paraId="24E24E9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2）涉及个人信息的数据处理活动，应遵守《中华人民共和国个人信息保护法》的相关规定。若存在违规操作，由成交供应商承担一切责任。</w:t>
            </w:r>
          </w:p>
        </w:tc>
        <w:tc>
          <w:tcPr>
            <w:tcW w:w="1541" w:type="dxa"/>
          </w:tcPr>
          <w:p w14:paraId="6483D143">
            <w:pPr>
              <w:pStyle w:val="12"/>
              <w:rPr>
                <w:rFonts w:ascii="宋体" w:hAnsi="宋体" w:eastAsia="宋体" w:cs="宋体"/>
                <w:lang w:eastAsia="zh-CN"/>
              </w:rPr>
            </w:pPr>
          </w:p>
        </w:tc>
        <w:tc>
          <w:tcPr>
            <w:tcW w:w="1510" w:type="dxa"/>
          </w:tcPr>
          <w:p w14:paraId="774B4E9C">
            <w:pPr>
              <w:pStyle w:val="12"/>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10" w:hRule="atLeast"/>
        </w:trPr>
        <w:tc>
          <w:tcPr>
            <w:tcW w:w="958"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373" w:type="dxa"/>
          </w:tcPr>
          <w:p w14:paraId="6A3AC98F">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四、其他要求</w:t>
            </w:r>
          </w:p>
          <w:p w14:paraId="3480F78B">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响应供应商须出具拟投入的自动售货机和便民充电设备的设备合格证、设备技术参数（包含设备规格尺寸、电压功率、运行方式等）相关资料。</w:t>
            </w:r>
          </w:p>
          <w:p w14:paraId="256DBCD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响应供应商实行自负盈亏模式，在经营期间所发生的一切责任、债务和纠纷均由成交供应商自行承担。</w:t>
            </w:r>
          </w:p>
          <w:p w14:paraId="345912F0">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lang w:val="en-US" w:eastAsia="zh-CN"/>
              </w:rPr>
            </w:pPr>
            <w:r>
              <w:rPr>
                <w:rFonts w:hint="eastAsia" w:ascii="宋体" w:hAnsi="宋体" w:eastAsia="宋体" w:cs="宋体"/>
                <w:sz w:val="20"/>
                <w:szCs w:val="20"/>
                <w:lang w:val="en-US" w:eastAsia="zh-CN"/>
              </w:rPr>
              <w:t>3. 响应供应商的便民充电设备应严格按照招租人指定的位置（门诊、住院部公共区域）进行摆放，不得随意调整。如在合同期内，响应供应商因实际情况需要调整摆放位置，必须至少提前7个日历天向招租人提交书面申请，经招租人同意后方可进行调整，且调整后的摆放位置不得影响招租人的正常通行。</w:t>
            </w:r>
          </w:p>
        </w:tc>
        <w:tc>
          <w:tcPr>
            <w:tcW w:w="1541" w:type="dxa"/>
          </w:tcPr>
          <w:p w14:paraId="193D8761">
            <w:pPr>
              <w:pStyle w:val="12"/>
              <w:rPr>
                <w:rFonts w:ascii="宋体" w:hAnsi="宋体" w:eastAsia="宋体" w:cs="宋体"/>
                <w:lang w:eastAsia="zh-CN"/>
              </w:rPr>
            </w:pPr>
          </w:p>
        </w:tc>
        <w:tc>
          <w:tcPr>
            <w:tcW w:w="1510" w:type="dxa"/>
          </w:tcPr>
          <w:p w14:paraId="091A4CD4">
            <w:pPr>
              <w:pStyle w:val="12"/>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958"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373" w:type="dxa"/>
          </w:tcPr>
          <w:p w14:paraId="0F570E4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五、供应商通用责任</w:t>
            </w:r>
          </w:p>
          <w:p w14:paraId="5EBF2FF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守法经营责任</w:t>
            </w:r>
          </w:p>
          <w:p w14:paraId="67246B4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响应供应商须严格遵守《中华人民共和国食品安全法》《中华人民共和国产品质量法》《中华人民共和国消费者权益保护法》《中华人民共和国个人信息保护法》《中华人民共和国价格法》《中华人民共和国广告法》等相关法律法规。因违法违规行为所导致的一切行政处罚、民事赔偿及刑事责任，均由响应供应商承担。</w:t>
            </w:r>
          </w:p>
          <w:p w14:paraId="443BC8E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人员管理责任</w:t>
            </w:r>
          </w:p>
          <w:p w14:paraId="558B262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1）派驻医院的工作人员须持有有效健康证明（涉及食品经营的，须持有有效健康证），并提前向招租人报备身份信息。</w:t>
            </w:r>
          </w:p>
          <w:p w14:paraId="170BFB3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）工作人员须接受招租人组织的医院感染管理、消防安全等培训，遵守医院工作纪律，不得在院内吸烟、喧哗或从事与本职工作无关的活动。</w:t>
            </w:r>
          </w:p>
          <w:p w14:paraId="7B7D9E4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3）若工作人员造成医院设施损坏或第三方人身财产损害，由响应供应商承担赔偿责任。</w:t>
            </w:r>
          </w:p>
          <w:p w14:paraId="7ED0B6A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安全生产责任</w:t>
            </w:r>
          </w:p>
          <w:p w14:paraId="0613370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1）响应供应商须建立健全安全生产责任制，定期对设备进行电气安全检测，并每半年向招租人提交检测报告备案。（2）若因设备电气故障引发火灾等安全事故，响应供应商应承担全部法律责任及经济赔偿。</w:t>
            </w:r>
          </w:p>
          <w:p w14:paraId="4845EFD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 知识产权保护责任</w:t>
            </w:r>
          </w:p>
          <w:p w14:paraId="74D5F62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）响应供应商承诺所提供的设备、商品及服务不侵犯任何第三方知识产权，否则应承担全部侵权责任并赔偿招租人损失。</w:t>
            </w:r>
          </w:p>
          <w:p w14:paraId="02E5F9D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（2）响应供应商使用第三方品牌（如共享充电宝品牌）的，须提供商标使用许可备案证明或品牌授权书，以确保招租人不会因设备使用而被主张商标侵权。</w:t>
            </w:r>
          </w:p>
          <w:p w14:paraId="5381834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（3）如因供应商设备或商品侵犯第三方知识产权，导致招租人被起诉或遭受损失的，响应供应商应承担全部应诉费用、赔偿金及招租人因此支出的合理律师费。</w:t>
            </w:r>
          </w:p>
          <w:p w14:paraId="5481EE9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 反商业贿赂责任</w:t>
            </w:r>
          </w:p>
          <w:p w14:paraId="6A03881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）响应供应商及其工作人员不得向招租人及其工作人员提供任何形式的回扣、贿赂或不正当利益。一经发现，招租人有权立即解除合同，履约保证金不予退还，并将相关情况报送纪检监察部门。</w:t>
            </w:r>
          </w:p>
          <w:p w14:paraId="315F530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6. 配合检查责任</w:t>
            </w:r>
          </w:p>
          <w:p w14:paraId="196E18A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响应供应商须配合招租人及政府监管部门的日常检查、飞行检查及专项检查，不得拒绝、阻挠或隐瞒。</w:t>
            </w:r>
          </w:p>
          <w:p w14:paraId="34EFE87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7. 舆情与投诉处理责任</w:t>
            </w:r>
          </w:p>
          <w:p w14:paraId="67392C5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）因供应商服务引发的投诉、媒体曝光或网络舆情，响应供应商须在2小时内予以响应，24小时内提交书面处理方案，并于72小时内妥善解决。</w:t>
            </w:r>
          </w:p>
          <w:p w14:paraId="7911243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）因处理不及时导致舆情升级并影响医院声誉的，招租人有权根据事件严重程度要求响应供应商支付违约金500-1000元/次，情节严重的，有权解除合同。</w:t>
            </w:r>
          </w:p>
          <w:p w14:paraId="1F9F501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8. 合同转让限制</w:t>
            </w:r>
          </w:p>
          <w:p w14:paraId="5A73E48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）未经招租人书面同意，响应供应商不得将本合同项下的权利义务全部或部分转让给第三方。</w:t>
            </w:r>
          </w:p>
          <w:p w14:paraId="26E0FFA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）擅自转包、分包的，招租人有权解除合同并追究其违约责任。</w:t>
            </w:r>
          </w:p>
        </w:tc>
        <w:tc>
          <w:tcPr>
            <w:tcW w:w="1541" w:type="dxa"/>
          </w:tcPr>
          <w:p w14:paraId="400EB205">
            <w:pPr>
              <w:pStyle w:val="12"/>
              <w:rPr>
                <w:rFonts w:ascii="宋体" w:hAnsi="宋体" w:eastAsia="宋体" w:cs="宋体"/>
                <w:lang w:eastAsia="zh-CN"/>
              </w:rPr>
            </w:pPr>
          </w:p>
        </w:tc>
        <w:tc>
          <w:tcPr>
            <w:tcW w:w="1510" w:type="dxa"/>
          </w:tcPr>
          <w:p w14:paraId="4379F7B4">
            <w:pPr>
              <w:pStyle w:val="12"/>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958"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373" w:type="dxa"/>
          </w:tcPr>
          <w:p w14:paraId="2D5C35F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六、报价</w:t>
            </w:r>
            <w:r>
              <w:rPr>
                <w:rFonts w:hint="eastAsia" w:ascii="宋体" w:hAnsi="宋体" w:eastAsia="宋体" w:cs="宋体"/>
                <w:color w:val="auto"/>
                <w:sz w:val="20"/>
                <w:szCs w:val="20"/>
                <w:shd w:val="clear" w:color="auto" w:fill="FFFFFF"/>
                <w:lang w:val="en-US" w:eastAsia="zh-CN" w:bidi="ar"/>
              </w:rPr>
              <w:t>及评审</w:t>
            </w:r>
            <w:r>
              <w:rPr>
                <w:rFonts w:hint="eastAsia" w:ascii="宋体" w:hAnsi="宋体" w:eastAsia="宋体" w:cs="宋体"/>
                <w:color w:val="auto"/>
                <w:sz w:val="20"/>
                <w:szCs w:val="20"/>
                <w:shd w:val="clear" w:color="auto" w:fill="FFFFFF"/>
                <w:lang w:eastAsia="zh-CN" w:bidi="ar"/>
              </w:rPr>
              <w:t>方式：</w:t>
            </w:r>
          </w:p>
          <w:p w14:paraId="3D1E91E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 本项目采取院内</w:t>
            </w:r>
            <w:bookmarkStart w:id="0" w:name="_GoBack"/>
            <w:bookmarkEnd w:id="0"/>
            <w:r>
              <w:rPr>
                <w:rFonts w:hint="eastAsia" w:ascii="宋体" w:hAnsi="宋体" w:eastAsia="宋体" w:cs="宋体"/>
                <w:color w:val="auto"/>
                <w:sz w:val="20"/>
                <w:szCs w:val="20"/>
                <w:shd w:val="clear" w:color="auto" w:fill="FFFFFF"/>
                <w:lang w:val="en-US" w:eastAsia="zh-CN" w:bidi="ar"/>
              </w:rPr>
              <w:t>公开招租模式，设定租金底价为每月每个点位200元，各供应商须在该底价基础上进行报价。通过资格审查的供应商，遵循价格优先原则，报价最高者确定为拟中标候选人，低于租金底价的报价将被视作无效。若出现两家及以上供应商报价相同的情况，以平台响应报名时间更早者为优先。</w:t>
            </w:r>
          </w:p>
          <w:p w14:paraId="1E8AEDC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报价次数：1次。</w:t>
            </w:r>
          </w:p>
          <w:p w14:paraId="44D7546E">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结算公式：结算价格 = 成交单价×点位数量。</w:t>
            </w:r>
          </w:p>
        </w:tc>
        <w:tc>
          <w:tcPr>
            <w:tcW w:w="1541" w:type="dxa"/>
          </w:tcPr>
          <w:p w14:paraId="0ECC2677">
            <w:pPr>
              <w:pStyle w:val="12"/>
              <w:rPr>
                <w:rFonts w:ascii="宋体" w:hAnsi="宋体" w:eastAsia="宋体" w:cs="宋体"/>
                <w:lang w:eastAsia="zh-CN"/>
              </w:rPr>
            </w:pPr>
          </w:p>
        </w:tc>
        <w:tc>
          <w:tcPr>
            <w:tcW w:w="1510" w:type="dxa"/>
          </w:tcPr>
          <w:p w14:paraId="79CBAC54">
            <w:pPr>
              <w:pStyle w:val="12"/>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054" w:hRule="atLeast"/>
        </w:trPr>
        <w:tc>
          <w:tcPr>
            <w:tcW w:w="958"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373" w:type="dxa"/>
          </w:tcPr>
          <w:p w14:paraId="0717C35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七、租金支付</w:t>
            </w:r>
          </w:p>
          <w:p w14:paraId="2FDB995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付款方式：按月结算汇款，成交供应商应于每月</w:t>
            </w:r>
            <w:r>
              <w:rPr>
                <w:rFonts w:hint="eastAsia" w:ascii="宋体" w:hAnsi="宋体" w:eastAsia="宋体" w:cs="宋体"/>
                <w:color w:val="auto"/>
                <w:sz w:val="20"/>
                <w:szCs w:val="20"/>
                <w:shd w:val="clear" w:color="auto" w:fill="FFFFFF"/>
                <w:lang w:val="en-US" w:eastAsia="zh-CN" w:bidi="ar"/>
              </w:rPr>
              <w:t>10日前将当月租赁费用转账至招租人指定账号。</w:t>
            </w:r>
          </w:p>
          <w:p w14:paraId="0EF80F3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首月租金，成交供应商应于合同签订之日起5日内向招租人一次性足额支付。</w:t>
            </w:r>
          </w:p>
          <w:p w14:paraId="74B0791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应于签订合同后5日内向招租人缴纳合同总金额5%的履约保证金。履约保证金在合同期满后一个月内，如双方无争议，将无息退还。合同期间，若成交供应商违约或无故终止合同，招租人有权从履约保证金中扣除相应违约金及损失赔偿金，不足部分由响应供应商补足。</w:t>
            </w:r>
          </w:p>
        </w:tc>
        <w:tc>
          <w:tcPr>
            <w:tcW w:w="1541" w:type="dxa"/>
          </w:tcPr>
          <w:p w14:paraId="3CC5F3B6">
            <w:pPr>
              <w:pStyle w:val="12"/>
              <w:rPr>
                <w:rFonts w:ascii="宋体" w:hAnsi="宋体" w:eastAsia="宋体" w:cs="宋体"/>
                <w:lang w:eastAsia="zh-CN"/>
              </w:rPr>
            </w:pPr>
          </w:p>
        </w:tc>
        <w:tc>
          <w:tcPr>
            <w:tcW w:w="1510" w:type="dxa"/>
          </w:tcPr>
          <w:p w14:paraId="3ECDB715">
            <w:pPr>
              <w:pStyle w:val="12"/>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373" w:type="dxa"/>
          </w:tcPr>
          <w:p w14:paraId="3BF7E68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八、违约责任：</w:t>
            </w:r>
          </w:p>
          <w:p w14:paraId="5E9CD09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响应供应商不得擅自改变场地使用性质和经营项目，不得擅自转包给第三方，不得超范围经营或利用场地进行非法活动。若响应供应商存在上述行为之一，招租人有权提前单方解除合同，响应供应商应承担全部违约责任。</w:t>
            </w:r>
          </w:p>
          <w:p w14:paraId="26B78C6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 xml:space="preserve">2. </w:t>
            </w:r>
            <w:r>
              <w:rPr>
                <w:rFonts w:hint="eastAsia" w:ascii="宋体" w:hAnsi="宋体" w:eastAsia="宋体" w:cs="宋体"/>
                <w:color w:val="auto"/>
                <w:sz w:val="20"/>
                <w:szCs w:val="20"/>
                <w:shd w:val="clear" w:color="auto" w:fill="FFFFFF"/>
                <w:lang w:eastAsia="zh-CN" w:bidi="ar"/>
              </w:rPr>
              <w:t>合同履行期间，若因任</w:t>
            </w:r>
            <w:r>
              <w:rPr>
                <w:rFonts w:hint="eastAsia" w:ascii="宋体" w:hAnsi="宋体" w:eastAsia="宋体" w:cs="宋体"/>
                <w:color w:val="auto"/>
                <w:sz w:val="20"/>
                <w:szCs w:val="20"/>
                <w:shd w:val="clear" w:color="auto" w:fill="FFFFFF"/>
                <w:lang w:val="en-US" w:eastAsia="zh-CN" w:bidi="ar"/>
              </w:rPr>
              <w:t>何</w:t>
            </w:r>
            <w:r>
              <w:rPr>
                <w:rFonts w:hint="eastAsia" w:ascii="宋体" w:hAnsi="宋体" w:eastAsia="宋体" w:cs="宋体"/>
                <w:color w:val="auto"/>
                <w:sz w:val="20"/>
                <w:szCs w:val="20"/>
                <w:shd w:val="clear" w:color="auto" w:fill="FFFFFF"/>
                <w:lang w:eastAsia="zh-CN" w:bidi="ar"/>
              </w:rPr>
              <w:t>一方违约导致合同终止，违约方应向守约方支付合同总金额5%的违约金，并赔偿因此给守约方造成的全部经济损失。本条款所涉违约金与</w:t>
            </w:r>
            <w:r>
              <w:rPr>
                <w:rFonts w:hint="eastAsia" w:ascii="宋体" w:hAnsi="宋体" w:eastAsia="宋体" w:cs="宋体"/>
                <w:color w:val="auto"/>
                <w:sz w:val="20"/>
                <w:szCs w:val="20"/>
                <w:shd w:val="clear" w:color="auto" w:fill="FFFFFF"/>
                <w:lang w:val="en-US" w:eastAsia="zh-CN" w:bidi="ar"/>
              </w:rPr>
              <w:t>违约责任中其他条款规定的逾期违约金不重复计算，且招租人可主张的违约金总额以实际损失的130%为上限。</w:t>
            </w:r>
          </w:p>
          <w:p w14:paraId="0134D6B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响应供应商未能按本合同规定时间支付合同款项（包括租金、履约保证金等费用）的，从逾期之日起，每日按应付未付款项的万分之五向招租人支付违约金；逾期30天以上（含30天）的，招租人有权终止合同，要求响应供应商支付合同总金额5%的违约金，并由响应供应商赔偿因此给招租人造成的经济损失（本条逾期违约金与第七条第2款合同终止违约金不重复计算）。</w:t>
            </w:r>
          </w:p>
          <w:p w14:paraId="71CAF04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其他违约责任依照《中华人民共和国民法典》相关规定处理。</w:t>
            </w:r>
          </w:p>
        </w:tc>
        <w:tc>
          <w:tcPr>
            <w:tcW w:w="1541" w:type="dxa"/>
          </w:tcPr>
          <w:p w14:paraId="0F06F75D">
            <w:pPr>
              <w:pStyle w:val="12"/>
              <w:rPr>
                <w:rFonts w:ascii="宋体" w:hAnsi="宋体" w:eastAsia="宋体" w:cs="宋体"/>
                <w:lang w:eastAsia="zh-CN"/>
              </w:rPr>
            </w:pPr>
          </w:p>
        </w:tc>
        <w:tc>
          <w:tcPr>
            <w:tcW w:w="1510" w:type="dxa"/>
          </w:tcPr>
          <w:p w14:paraId="1CE95EF2">
            <w:pPr>
              <w:pStyle w:val="12"/>
              <w:rPr>
                <w:rFonts w:ascii="宋体" w:hAnsi="宋体" w:eastAsia="宋体" w:cs="宋体"/>
                <w:lang w:eastAsia="zh-CN"/>
              </w:rPr>
            </w:pPr>
          </w:p>
        </w:tc>
      </w:tr>
    </w:tbl>
    <w:p w14:paraId="4C88AA66">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四</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1"/>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2"/>
            </w:pPr>
          </w:p>
        </w:tc>
        <w:tc>
          <w:tcPr>
            <w:tcW w:w="1854" w:type="dxa"/>
          </w:tcPr>
          <w:p w14:paraId="43601105">
            <w:pPr>
              <w:pStyle w:val="12"/>
            </w:pPr>
          </w:p>
        </w:tc>
        <w:tc>
          <w:tcPr>
            <w:tcW w:w="1986" w:type="dxa"/>
          </w:tcPr>
          <w:p w14:paraId="6311272B">
            <w:pPr>
              <w:pStyle w:val="12"/>
            </w:pPr>
          </w:p>
        </w:tc>
        <w:tc>
          <w:tcPr>
            <w:tcW w:w="1722" w:type="dxa"/>
          </w:tcPr>
          <w:p w14:paraId="3768DC7F">
            <w:pPr>
              <w:pStyle w:val="12"/>
            </w:pPr>
          </w:p>
        </w:tc>
        <w:tc>
          <w:tcPr>
            <w:tcW w:w="1191" w:type="dxa"/>
          </w:tcPr>
          <w:p w14:paraId="2305DC57">
            <w:pPr>
              <w:pStyle w:val="12"/>
            </w:pPr>
          </w:p>
        </w:tc>
        <w:tc>
          <w:tcPr>
            <w:tcW w:w="1471" w:type="dxa"/>
            <w:tcBorders>
              <w:right w:val="single" w:color="000000" w:sz="2" w:space="0"/>
            </w:tcBorders>
          </w:tcPr>
          <w:p w14:paraId="1DC4DC5D">
            <w:pPr>
              <w:pStyle w:val="12"/>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2"/>
            </w:pPr>
          </w:p>
        </w:tc>
        <w:tc>
          <w:tcPr>
            <w:tcW w:w="1854" w:type="dxa"/>
          </w:tcPr>
          <w:p w14:paraId="26C3F9DC">
            <w:pPr>
              <w:pStyle w:val="12"/>
            </w:pPr>
          </w:p>
        </w:tc>
        <w:tc>
          <w:tcPr>
            <w:tcW w:w="1986" w:type="dxa"/>
          </w:tcPr>
          <w:p w14:paraId="0C8FC5A6">
            <w:pPr>
              <w:pStyle w:val="12"/>
            </w:pPr>
          </w:p>
        </w:tc>
        <w:tc>
          <w:tcPr>
            <w:tcW w:w="1722" w:type="dxa"/>
          </w:tcPr>
          <w:p w14:paraId="036176B2">
            <w:pPr>
              <w:pStyle w:val="12"/>
            </w:pPr>
          </w:p>
        </w:tc>
        <w:tc>
          <w:tcPr>
            <w:tcW w:w="1191" w:type="dxa"/>
          </w:tcPr>
          <w:p w14:paraId="69BDA775">
            <w:pPr>
              <w:pStyle w:val="12"/>
            </w:pPr>
          </w:p>
        </w:tc>
        <w:tc>
          <w:tcPr>
            <w:tcW w:w="1471" w:type="dxa"/>
            <w:tcBorders>
              <w:right w:val="single" w:color="000000" w:sz="2" w:space="0"/>
            </w:tcBorders>
          </w:tcPr>
          <w:p w14:paraId="74EE419A">
            <w:pPr>
              <w:pStyle w:val="12"/>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2"/>
            </w:pPr>
          </w:p>
        </w:tc>
        <w:tc>
          <w:tcPr>
            <w:tcW w:w="1854" w:type="dxa"/>
            <w:tcBorders>
              <w:bottom w:val="single" w:color="000000" w:sz="2" w:space="0"/>
            </w:tcBorders>
          </w:tcPr>
          <w:p w14:paraId="40B04108">
            <w:pPr>
              <w:pStyle w:val="12"/>
            </w:pPr>
          </w:p>
        </w:tc>
        <w:tc>
          <w:tcPr>
            <w:tcW w:w="1986" w:type="dxa"/>
            <w:tcBorders>
              <w:bottom w:val="single" w:color="000000" w:sz="2" w:space="0"/>
            </w:tcBorders>
          </w:tcPr>
          <w:p w14:paraId="4C40CFD8">
            <w:pPr>
              <w:pStyle w:val="12"/>
            </w:pPr>
          </w:p>
        </w:tc>
        <w:tc>
          <w:tcPr>
            <w:tcW w:w="1722" w:type="dxa"/>
            <w:tcBorders>
              <w:bottom w:val="single" w:color="000000" w:sz="2" w:space="0"/>
            </w:tcBorders>
          </w:tcPr>
          <w:p w14:paraId="4F595AE5">
            <w:pPr>
              <w:pStyle w:val="12"/>
            </w:pPr>
          </w:p>
        </w:tc>
        <w:tc>
          <w:tcPr>
            <w:tcW w:w="1191" w:type="dxa"/>
            <w:tcBorders>
              <w:bottom w:val="single" w:color="000000" w:sz="2" w:space="0"/>
            </w:tcBorders>
          </w:tcPr>
          <w:p w14:paraId="7692FA63">
            <w:pPr>
              <w:pStyle w:val="12"/>
            </w:pPr>
          </w:p>
        </w:tc>
        <w:tc>
          <w:tcPr>
            <w:tcW w:w="1471" w:type="dxa"/>
            <w:tcBorders>
              <w:bottom w:val="single" w:color="000000" w:sz="2" w:space="0"/>
              <w:right w:val="single" w:color="000000" w:sz="2" w:space="0"/>
            </w:tcBorders>
          </w:tcPr>
          <w:p w14:paraId="48AC055B">
            <w:pPr>
              <w:pStyle w:val="12"/>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7C984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十五</w:t>
      </w:r>
      <w:r>
        <w:rPr>
          <w:rFonts w:ascii="宋体" w:hAnsi="宋体" w:eastAsia="宋体" w:cs="宋体"/>
          <w:b/>
          <w:bCs/>
          <w:spacing w:val="7"/>
          <w:sz w:val="20"/>
          <w:szCs w:val="20"/>
          <w:lang w:eastAsia="zh-CN"/>
        </w:rPr>
        <w:t>、项目整体实施方案（格式自拟）</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3A1B73B1">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六、责任承诺函（格式自拟，加盖公章），包括但不限于：针对公告文件第五点《供应商通用责任》所列各项责任条款，逐条作出书面承诺，明确表示完全理解并接受相关责任要求，承诺在合作期间严格履行各项义务，如因自身原因导致任何违约、违规或安全事故，自愿承担全部法律责任及相应经济赔偿。</w:t>
      </w:r>
    </w:p>
    <w:p w14:paraId="1B4959BF">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1B55C4C2">
      <w:pPr>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p w14:paraId="10E1D423">
      <w:pPr>
        <w:rPr>
          <w:rFonts w:ascii="宋体" w:hAnsi="宋体" w:eastAsia="宋体" w:cs="宋体"/>
          <w:sz w:val="20"/>
          <w:szCs w:val="20"/>
          <w:lang w:eastAsia="zh-CN"/>
        </w:rPr>
      </w:pPr>
    </w:p>
    <w:p w14:paraId="6D0D903D">
      <w:pPr>
        <w:rPr>
          <w:lang w:eastAsia="zh-CN"/>
        </w:rPr>
      </w:pPr>
    </w:p>
    <w:sectPr>
      <w:pgSz w:w="11900" w:h="16840"/>
      <w:pgMar w:top="907" w:right="1361" w:bottom="907" w:left="136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693203"/>
    <w:rsid w:val="00B1270F"/>
    <w:rsid w:val="00DF1B45"/>
    <w:rsid w:val="01177A27"/>
    <w:rsid w:val="01E26336"/>
    <w:rsid w:val="041B280B"/>
    <w:rsid w:val="05D250F6"/>
    <w:rsid w:val="06984FFC"/>
    <w:rsid w:val="07D772C8"/>
    <w:rsid w:val="07DE22A7"/>
    <w:rsid w:val="09537203"/>
    <w:rsid w:val="0A1B60BD"/>
    <w:rsid w:val="0A382368"/>
    <w:rsid w:val="0E881903"/>
    <w:rsid w:val="0E9C78E3"/>
    <w:rsid w:val="10F8620F"/>
    <w:rsid w:val="126C008B"/>
    <w:rsid w:val="13666B31"/>
    <w:rsid w:val="16DD5993"/>
    <w:rsid w:val="18C80C4B"/>
    <w:rsid w:val="1E9D0594"/>
    <w:rsid w:val="1EA21FDF"/>
    <w:rsid w:val="1EDF5020"/>
    <w:rsid w:val="1FB73B6E"/>
    <w:rsid w:val="20607AD1"/>
    <w:rsid w:val="20BE2A44"/>
    <w:rsid w:val="220611C3"/>
    <w:rsid w:val="22732647"/>
    <w:rsid w:val="231E7145"/>
    <w:rsid w:val="23487B36"/>
    <w:rsid w:val="243E45C7"/>
    <w:rsid w:val="2695736E"/>
    <w:rsid w:val="26B446CD"/>
    <w:rsid w:val="281105FD"/>
    <w:rsid w:val="28580DF7"/>
    <w:rsid w:val="2EB9081B"/>
    <w:rsid w:val="36073C0B"/>
    <w:rsid w:val="37620175"/>
    <w:rsid w:val="3AC4344A"/>
    <w:rsid w:val="3B082DE1"/>
    <w:rsid w:val="3BF85816"/>
    <w:rsid w:val="3EB26D88"/>
    <w:rsid w:val="40671DCB"/>
    <w:rsid w:val="40C03509"/>
    <w:rsid w:val="433379C8"/>
    <w:rsid w:val="43B35DD1"/>
    <w:rsid w:val="44FC588B"/>
    <w:rsid w:val="45D45685"/>
    <w:rsid w:val="45F428E0"/>
    <w:rsid w:val="48993DFC"/>
    <w:rsid w:val="48A54FAE"/>
    <w:rsid w:val="4A4831FA"/>
    <w:rsid w:val="4C030C69"/>
    <w:rsid w:val="50573AD2"/>
    <w:rsid w:val="5178029F"/>
    <w:rsid w:val="526F5AAA"/>
    <w:rsid w:val="535864C5"/>
    <w:rsid w:val="54B97F1A"/>
    <w:rsid w:val="556A1102"/>
    <w:rsid w:val="5774562F"/>
    <w:rsid w:val="58514D81"/>
    <w:rsid w:val="58C84041"/>
    <w:rsid w:val="597F545A"/>
    <w:rsid w:val="5AC43250"/>
    <w:rsid w:val="5E5E5F4E"/>
    <w:rsid w:val="609028F6"/>
    <w:rsid w:val="60B64237"/>
    <w:rsid w:val="682329EA"/>
    <w:rsid w:val="68391C49"/>
    <w:rsid w:val="688E0426"/>
    <w:rsid w:val="69CE3A78"/>
    <w:rsid w:val="6A043A8B"/>
    <w:rsid w:val="6AD722E3"/>
    <w:rsid w:val="6DC8099B"/>
    <w:rsid w:val="6E300441"/>
    <w:rsid w:val="72507210"/>
    <w:rsid w:val="726C3C18"/>
    <w:rsid w:val="72EC5D52"/>
    <w:rsid w:val="73052C46"/>
    <w:rsid w:val="73252077"/>
    <w:rsid w:val="7372318C"/>
    <w:rsid w:val="74273CFD"/>
    <w:rsid w:val="74C07CAE"/>
    <w:rsid w:val="75E87F4B"/>
    <w:rsid w:val="77731B22"/>
    <w:rsid w:val="790F76AC"/>
    <w:rsid w:val="7A904F05"/>
    <w:rsid w:val="7EA0305E"/>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styleId="4">
    <w:name w:val="toc 5"/>
    <w:basedOn w:val="1"/>
    <w:next w:val="1"/>
    <w:qFormat/>
    <w:uiPriority w:val="0"/>
    <w:pPr>
      <w:widowControl/>
      <w:ind w:left="1680" w:leftChars="800"/>
    </w:pPr>
    <w:rPr>
      <w:rFonts w:ascii="Times New Roman"/>
      <w:szCs w:val="20"/>
    </w:rPr>
  </w:style>
  <w:style w:type="paragraph" w:styleId="5">
    <w:name w:val="Body Text Indent 2"/>
    <w:basedOn w:val="1"/>
    <w:link w:val="13"/>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paragraph" w:customStyle="1" w:styleId="1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 w:type="character" w:customStyle="1" w:styleId="13">
    <w:name w:val="正文文本缩进 2 Char"/>
    <w:link w:val="5"/>
    <w:autoRedefine/>
    <w:qFormat/>
    <w:uiPriority w:val="0"/>
    <w:rPr>
      <w:szCs w:val="20"/>
    </w:rPr>
  </w:style>
  <w:style w:type="character" w:customStyle="1" w:styleId="14">
    <w:name w:val="font11"/>
    <w:basedOn w:val="8"/>
    <w:autoRedefine/>
    <w:qFormat/>
    <w:uiPriority w:val="0"/>
    <w:rPr>
      <w:rFonts w:hint="eastAsia" w:ascii="宋体" w:hAnsi="宋体" w:eastAsia="宋体" w:cs="宋体"/>
      <w:color w:val="000000"/>
      <w:sz w:val="22"/>
      <w:szCs w:val="22"/>
      <w:u w:val="single"/>
    </w:rPr>
  </w:style>
  <w:style w:type="character" w:customStyle="1" w:styleId="15">
    <w:name w:val="font31"/>
    <w:basedOn w:val="8"/>
    <w:qFormat/>
    <w:uiPriority w:val="0"/>
    <w:rPr>
      <w:rFonts w:hint="eastAsia" w:ascii="宋体" w:hAnsi="宋体" w:eastAsia="宋体" w:cs="宋体"/>
      <w:color w:val="000000"/>
      <w:sz w:val="21"/>
      <w:szCs w:val="21"/>
      <w:u w:val="none"/>
    </w:rPr>
  </w:style>
  <w:style w:type="paragraph" w:styleId="16">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9256</Words>
  <Characters>9509</Characters>
  <Lines>55</Lines>
  <Paragraphs>15</Paragraphs>
  <TotalTime>2</TotalTime>
  <ScaleCrop>false</ScaleCrop>
  <LinksUpToDate>false</LinksUpToDate>
  <CharactersWithSpaces>9950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2026-07-08T01:50:56Z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