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C101C">
      <w:pPr>
        <w:spacing w:line="360" w:lineRule="auto"/>
        <w:jc w:val="center"/>
        <w:outlineLvl w:val="1"/>
        <w:rPr>
          <w:rStyle w:val="18"/>
          <w:rFonts w:hint="eastAsia" w:ascii="宋体" w:hAnsi="宋体" w:eastAsia="宋体" w:cs="宋体"/>
          <w:b/>
          <w:bCs/>
          <w:sz w:val="32"/>
          <w:szCs w:val="28"/>
        </w:rPr>
      </w:pPr>
    </w:p>
    <w:p w14:paraId="0C8D5C73">
      <w:pPr>
        <w:spacing w:line="360" w:lineRule="auto"/>
        <w:jc w:val="center"/>
        <w:outlineLvl w:val="1"/>
        <w:rPr>
          <w:rStyle w:val="18"/>
          <w:rFonts w:hint="eastAsia" w:ascii="宋体" w:hAnsi="宋体" w:eastAsia="宋体" w:cs="宋体"/>
          <w:b/>
          <w:bCs/>
          <w:sz w:val="32"/>
          <w:szCs w:val="28"/>
          <w:lang w:val="en-US" w:eastAsia="zh-CN"/>
        </w:rPr>
      </w:pPr>
    </w:p>
    <w:p w14:paraId="268FE1B6">
      <w:pPr>
        <w:spacing w:line="360" w:lineRule="auto"/>
        <w:jc w:val="center"/>
        <w:outlineLvl w:val="1"/>
        <w:rPr>
          <w:rStyle w:val="18"/>
          <w:rFonts w:hint="eastAsia" w:ascii="宋体" w:hAnsi="宋体" w:eastAsia="宋体" w:cs="宋体"/>
          <w:b/>
          <w:bCs/>
          <w:sz w:val="32"/>
          <w:szCs w:val="28"/>
          <w:lang w:val="en-US" w:eastAsia="zh-CN"/>
        </w:rPr>
      </w:pPr>
    </w:p>
    <w:p w14:paraId="2F3D57A4">
      <w:pPr>
        <w:spacing w:line="360" w:lineRule="auto"/>
        <w:jc w:val="center"/>
        <w:outlineLvl w:val="1"/>
        <w:rPr>
          <w:rStyle w:val="18"/>
          <w:rFonts w:hint="eastAsia" w:ascii="宋体" w:hAnsi="宋体" w:eastAsia="宋体" w:cs="宋体"/>
          <w:b/>
          <w:bCs/>
          <w:sz w:val="32"/>
          <w:szCs w:val="28"/>
          <w:lang w:val="en-US" w:eastAsia="zh-CN"/>
        </w:rPr>
      </w:pPr>
    </w:p>
    <w:p w14:paraId="0D63EF51">
      <w:pPr>
        <w:pStyle w:val="5"/>
        <w:rPr>
          <w:rStyle w:val="18"/>
          <w:rFonts w:hint="eastAsia" w:ascii="宋体" w:hAnsi="宋体" w:eastAsia="宋体" w:cs="宋体"/>
          <w:b/>
          <w:bCs/>
          <w:sz w:val="32"/>
          <w:szCs w:val="28"/>
          <w:lang w:val="en-US" w:eastAsia="zh-CN"/>
        </w:rPr>
      </w:pPr>
    </w:p>
    <w:p w14:paraId="26170796">
      <w:pPr>
        <w:pStyle w:val="12"/>
        <w:rPr>
          <w:rStyle w:val="18"/>
          <w:rFonts w:hint="eastAsia" w:ascii="宋体" w:hAnsi="宋体" w:eastAsia="宋体" w:cs="宋体"/>
          <w:b/>
          <w:bCs/>
          <w:sz w:val="32"/>
          <w:szCs w:val="28"/>
          <w:lang w:val="en-US" w:eastAsia="zh-CN"/>
        </w:rPr>
      </w:pPr>
    </w:p>
    <w:p w14:paraId="5F9B338A">
      <w:pPr>
        <w:pStyle w:val="12"/>
        <w:rPr>
          <w:rStyle w:val="18"/>
          <w:rFonts w:hint="eastAsia" w:ascii="宋体" w:hAnsi="宋体" w:eastAsia="宋体" w:cs="宋体"/>
          <w:b/>
          <w:bCs/>
          <w:sz w:val="32"/>
          <w:szCs w:val="28"/>
          <w:lang w:val="en-US" w:eastAsia="zh-CN"/>
        </w:rPr>
      </w:pPr>
    </w:p>
    <w:p w14:paraId="0B850935">
      <w:pPr>
        <w:pStyle w:val="12"/>
        <w:rPr>
          <w:rStyle w:val="18"/>
          <w:rFonts w:hint="eastAsia" w:ascii="宋体" w:hAnsi="宋体" w:eastAsia="宋体" w:cs="宋体"/>
          <w:b/>
          <w:bCs/>
          <w:sz w:val="32"/>
          <w:szCs w:val="28"/>
          <w:lang w:val="en-US" w:eastAsia="zh-CN"/>
        </w:rPr>
      </w:pPr>
    </w:p>
    <w:p w14:paraId="73291A6C">
      <w:pPr>
        <w:spacing w:line="360" w:lineRule="auto"/>
        <w:jc w:val="center"/>
        <w:outlineLvl w:val="1"/>
        <w:rPr>
          <w:rFonts w:hint="eastAsia" w:ascii="宋体" w:hAnsi="宋体" w:eastAsia="宋体" w:cs="宋体"/>
          <w:sz w:val="48"/>
          <w:szCs w:val="48"/>
          <w:lang w:val="en-US" w:eastAsia="zh-CN"/>
        </w:rPr>
      </w:pPr>
      <w:r>
        <w:rPr>
          <w:rStyle w:val="18"/>
          <w:rFonts w:hint="eastAsia" w:ascii="宋体" w:hAnsi="宋体" w:eastAsia="宋体" w:cs="宋体"/>
          <w:b/>
          <w:bCs/>
          <w:sz w:val="48"/>
          <w:szCs w:val="48"/>
          <w:lang w:val="en-US" w:eastAsia="zh-CN"/>
        </w:rPr>
        <w:t>中山市东升医院2027-2029年度电梯维护保养项目调研响应文件</w:t>
      </w:r>
    </w:p>
    <w:p w14:paraId="3785F128">
      <w:pPr>
        <w:spacing w:line="360" w:lineRule="auto"/>
        <w:jc w:val="center"/>
        <w:outlineLvl w:val="1"/>
        <w:rPr>
          <w:rStyle w:val="18"/>
          <w:rFonts w:hint="eastAsia" w:ascii="宋体" w:hAnsi="宋体" w:eastAsia="宋体" w:cs="宋体"/>
          <w:b/>
          <w:bCs/>
          <w:sz w:val="32"/>
          <w:szCs w:val="28"/>
        </w:rPr>
      </w:pPr>
    </w:p>
    <w:p w14:paraId="66779CA0">
      <w:pPr>
        <w:spacing w:line="360" w:lineRule="auto"/>
        <w:jc w:val="center"/>
        <w:outlineLvl w:val="1"/>
        <w:rPr>
          <w:rStyle w:val="18"/>
          <w:rFonts w:hint="eastAsia" w:ascii="宋体" w:hAnsi="宋体" w:eastAsia="宋体" w:cs="宋体"/>
          <w:b/>
          <w:bCs/>
          <w:sz w:val="32"/>
          <w:szCs w:val="28"/>
        </w:rPr>
      </w:pPr>
    </w:p>
    <w:p w14:paraId="3ACB86FE">
      <w:pPr>
        <w:spacing w:line="360" w:lineRule="auto"/>
        <w:jc w:val="center"/>
        <w:outlineLvl w:val="1"/>
        <w:rPr>
          <w:rStyle w:val="18"/>
          <w:rFonts w:hint="eastAsia" w:ascii="宋体" w:hAnsi="宋体" w:eastAsia="宋体" w:cs="宋体"/>
          <w:b/>
          <w:bCs/>
          <w:sz w:val="32"/>
          <w:szCs w:val="28"/>
        </w:rPr>
      </w:pPr>
    </w:p>
    <w:p w14:paraId="07D4B0A5">
      <w:pPr>
        <w:spacing w:line="360" w:lineRule="auto"/>
        <w:jc w:val="center"/>
        <w:outlineLvl w:val="1"/>
        <w:rPr>
          <w:rStyle w:val="18"/>
          <w:rFonts w:hint="eastAsia" w:ascii="宋体" w:hAnsi="宋体" w:eastAsia="宋体" w:cs="宋体"/>
          <w:b/>
          <w:bCs/>
          <w:sz w:val="32"/>
          <w:szCs w:val="28"/>
        </w:rPr>
      </w:pPr>
    </w:p>
    <w:p w14:paraId="41060C6E">
      <w:pPr>
        <w:spacing w:line="360" w:lineRule="auto"/>
        <w:jc w:val="center"/>
        <w:outlineLvl w:val="1"/>
        <w:rPr>
          <w:rStyle w:val="18"/>
          <w:rFonts w:hint="eastAsia" w:ascii="宋体" w:hAnsi="宋体" w:eastAsia="宋体" w:cs="宋体"/>
          <w:b/>
          <w:bCs/>
          <w:sz w:val="32"/>
          <w:szCs w:val="28"/>
        </w:rPr>
      </w:pPr>
    </w:p>
    <w:p w14:paraId="43C5CE10">
      <w:pPr>
        <w:pStyle w:val="4"/>
        <w:rPr>
          <w:rStyle w:val="18"/>
          <w:rFonts w:hint="eastAsia" w:ascii="宋体" w:hAnsi="宋体" w:eastAsia="宋体" w:cs="宋体"/>
          <w:b/>
          <w:bCs/>
          <w:sz w:val="32"/>
          <w:szCs w:val="28"/>
        </w:rPr>
      </w:pPr>
    </w:p>
    <w:p w14:paraId="13F4767D">
      <w:pPr>
        <w:spacing w:line="360" w:lineRule="auto"/>
        <w:ind w:firstLine="1680" w:firstLineChars="700"/>
        <w:jc w:val="both"/>
        <w:outlineLvl w:val="1"/>
        <w:rPr>
          <w:rStyle w:val="18"/>
          <w:rFonts w:hint="default" w:ascii="宋体" w:hAnsi="宋体" w:eastAsia="宋体" w:cs="宋体"/>
          <w:b w:val="0"/>
          <w:bCs w:val="0"/>
          <w:sz w:val="24"/>
          <w:szCs w:val="24"/>
          <w:u w:val="single"/>
          <w:lang w:val="en-US" w:eastAsia="zh-CN"/>
        </w:rPr>
      </w:pPr>
      <w:r>
        <w:rPr>
          <w:rStyle w:val="18"/>
          <w:rFonts w:hint="eastAsia" w:ascii="宋体" w:hAnsi="宋体" w:eastAsia="宋体" w:cs="宋体"/>
          <w:b w:val="0"/>
          <w:bCs w:val="0"/>
          <w:sz w:val="24"/>
          <w:szCs w:val="24"/>
          <w:lang w:val="en-US" w:eastAsia="zh-CN"/>
        </w:rPr>
        <w:t>报名单位：</w:t>
      </w:r>
    </w:p>
    <w:p w14:paraId="7C0E67B4">
      <w:pPr>
        <w:spacing w:line="360" w:lineRule="auto"/>
        <w:ind w:firstLine="1680" w:firstLineChars="700"/>
        <w:jc w:val="both"/>
        <w:outlineLvl w:val="1"/>
        <w:rPr>
          <w:rStyle w:val="18"/>
          <w:rFonts w:hint="eastAsia" w:ascii="宋体" w:hAnsi="宋体" w:eastAsia="宋体" w:cs="宋体"/>
          <w:b w:val="0"/>
          <w:bCs w:val="0"/>
          <w:sz w:val="24"/>
          <w:szCs w:val="24"/>
          <w:lang w:val="en-US" w:eastAsia="zh-CN"/>
        </w:rPr>
      </w:pPr>
      <w:r>
        <w:rPr>
          <w:rStyle w:val="18"/>
          <w:rFonts w:hint="eastAsia" w:ascii="宋体" w:hAnsi="宋体" w:eastAsia="宋体" w:cs="宋体"/>
          <w:b w:val="0"/>
          <w:bCs w:val="0"/>
          <w:sz w:val="24"/>
          <w:szCs w:val="24"/>
          <w:lang w:val="en-US" w:eastAsia="zh-CN"/>
        </w:rPr>
        <w:t>联系人：</w:t>
      </w:r>
    </w:p>
    <w:p w14:paraId="35E49516">
      <w:pPr>
        <w:spacing w:line="360" w:lineRule="auto"/>
        <w:ind w:firstLine="1680" w:firstLineChars="700"/>
        <w:jc w:val="both"/>
        <w:outlineLvl w:val="1"/>
        <w:rPr>
          <w:rStyle w:val="18"/>
          <w:rFonts w:hint="eastAsia" w:ascii="宋体" w:hAnsi="宋体" w:eastAsia="宋体" w:cs="宋体"/>
          <w:b w:val="0"/>
          <w:bCs w:val="0"/>
          <w:sz w:val="24"/>
          <w:szCs w:val="24"/>
          <w:lang w:val="en-US" w:eastAsia="zh-CN"/>
        </w:rPr>
      </w:pPr>
      <w:r>
        <w:rPr>
          <w:rStyle w:val="18"/>
          <w:rFonts w:hint="eastAsia" w:ascii="宋体" w:hAnsi="宋体" w:eastAsia="宋体" w:cs="宋体"/>
          <w:b w:val="0"/>
          <w:bCs w:val="0"/>
          <w:sz w:val="24"/>
          <w:szCs w:val="24"/>
          <w:lang w:val="en-US" w:eastAsia="zh-CN"/>
        </w:rPr>
        <w:t>联系电话：</w:t>
      </w:r>
    </w:p>
    <w:p w14:paraId="7EE50031">
      <w:pPr>
        <w:spacing w:line="360" w:lineRule="auto"/>
        <w:ind w:firstLine="1680" w:firstLineChars="700"/>
        <w:jc w:val="both"/>
        <w:outlineLvl w:val="1"/>
        <w:rPr>
          <w:rStyle w:val="18"/>
          <w:rFonts w:hint="default" w:ascii="宋体" w:hAnsi="宋体" w:eastAsia="宋体" w:cs="宋体"/>
          <w:b w:val="0"/>
          <w:bCs w:val="0"/>
          <w:sz w:val="24"/>
          <w:szCs w:val="24"/>
          <w:lang w:val="en-US" w:eastAsia="zh-CN"/>
        </w:rPr>
      </w:pPr>
      <w:r>
        <w:rPr>
          <w:rStyle w:val="18"/>
          <w:rFonts w:hint="eastAsia" w:ascii="宋体" w:hAnsi="宋体" w:eastAsia="宋体" w:cs="宋体"/>
          <w:b w:val="0"/>
          <w:bCs w:val="0"/>
          <w:sz w:val="24"/>
          <w:szCs w:val="24"/>
          <w:lang w:val="en-US" w:eastAsia="zh-CN"/>
        </w:rPr>
        <w:t>邮箱：</w:t>
      </w:r>
    </w:p>
    <w:p w14:paraId="319592BB">
      <w:pPr>
        <w:pStyle w:val="4"/>
        <w:rPr>
          <w:rStyle w:val="18"/>
          <w:rFonts w:hint="eastAsia" w:ascii="宋体" w:hAnsi="宋体" w:eastAsia="宋体" w:cs="宋体"/>
          <w:b/>
          <w:bCs/>
          <w:sz w:val="32"/>
          <w:szCs w:val="28"/>
        </w:rPr>
      </w:pPr>
    </w:p>
    <w:p w14:paraId="18276DFC">
      <w:pPr>
        <w:spacing w:line="360" w:lineRule="auto"/>
        <w:jc w:val="left"/>
        <w:outlineLvl w:val="1"/>
        <w:rPr>
          <w:rStyle w:val="18"/>
          <w:rFonts w:hint="eastAsia" w:ascii="宋体" w:hAnsi="宋体" w:eastAsia="宋体" w:cs="宋体"/>
          <w:b/>
          <w:bCs/>
          <w:sz w:val="21"/>
          <w:szCs w:val="21"/>
          <w:lang w:val="en-US" w:eastAsia="zh-CN"/>
        </w:rPr>
        <w:sectPr>
          <w:headerReference r:id="rId3" w:type="default"/>
          <w:pgSz w:w="11900" w:h="16840"/>
          <w:pgMar w:top="1440" w:right="1800" w:bottom="1440" w:left="1800" w:header="0" w:footer="567" w:gutter="0"/>
          <w:pgBorders>
            <w:top w:val="none" w:sz="0" w:space="0"/>
            <w:left w:val="none" w:sz="0" w:space="0"/>
            <w:bottom w:val="none" w:sz="0" w:space="0"/>
            <w:right w:val="none" w:sz="0" w:space="0"/>
          </w:pgBorders>
          <w:cols w:space="720" w:num="1"/>
        </w:sectPr>
      </w:pPr>
    </w:p>
    <w:p w14:paraId="0CA609BF">
      <w:pPr>
        <w:pStyle w:val="17"/>
        <w:numPr>
          <w:ilvl w:val="0"/>
          <w:numId w:val="0"/>
        </w:numPr>
        <w:spacing w:line="360" w:lineRule="auto"/>
        <w:ind w:leftChars="0"/>
        <w:jc w:val="center"/>
        <w:rPr>
          <w:rFonts w:hint="eastAsia" w:ascii="宋体" w:hAnsi="宋体" w:eastAsia="宋体" w:cs="宋体"/>
          <w:b/>
          <w:bCs/>
          <w:sz w:val="32"/>
          <w:szCs w:val="32"/>
          <w:lang w:val="zh-TW" w:eastAsia="zh-TW"/>
        </w:rPr>
      </w:pPr>
      <w:r>
        <w:rPr>
          <w:rFonts w:hint="eastAsia" w:ascii="宋体" w:hAnsi="宋体" w:eastAsia="宋体" w:cs="宋体"/>
          <w:b/>
          <w:bCs/>
          <w:sz w:val="32"/>
          <w:szCs w:val="32"/>
          <w:lang w:val="zh-TW" w:eastAsia="zh-CN"/>
        </w:rPr>
        <w:t>一、调研</w:t>
      </w:r>
      <w:r>
        <w:rPr>
          <w:rFonts w:hint="eastAsia" w:ascii="宋体" w:hAnsi="宋体" w:eastAsia="宋体" w:cs="宋体"/>
          <w:b/>
          <w:bCs/>
          <w:sz w:val="32"/>
          <w:szCs w:val="32"/>
          <w:lang w:val="zh-TW" w:eastAsia="zh-TW"/>
        </w:rPr>
        <w:t>报价单</w:t>
      </w:r>
    </w:p>
    <w:p w14:paraId="152EF204">
      <w:pPr>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lang w:val="zh-TW" w:eastAsia="zh-TW"/>
        </w:rPr>
        <w:t>本调研公告将作为后续该项目参数设置及预算确定的重要依据，</w:t>
      </w:r>
      <w:r>
        <w:rPr>
          <w:rFonts w:hint="eastAsia" w:ascii="宋体" w:hAnsi="宋体" w:eastAsia="宋体" w:cs="宋体"/>
          <w:b w:val="0"/>
          <w:bCs w:val="0"/>
          <w:sz w:val="21"/>
          <w:szCs w:val="21"/>
          <w:lang w:val="zh-TW" w:eastAsia="zh-CN"/>
        </w:rPr>
        <w:t>请各意向供应商认真核实情况后提供调研报价</w:t>
      </w:r>
    </w:p>
    <w:p w14:paraId="4498CA15">
      <w:pPr>
        <w:numPr>
          <w:ilvl w:val="0"/>
          <w:numId w:val="0"/>
        </w:numPr>
        <w:spacing w:line="360" w:lineRule="auto"/>
        <w:ind w:firstLine="420" w:firstLineChars="200"/>
        <w:rPr>
          <w:rFonts w:hint="default" w:ascii="宋体" w:hAnsi="宋体" w:eastAsia="宋体" w:cs="宋体"/>
          <w:sz w:val="21"/>
          <w:szCs w:val="21"/>
          <w:lang w:val="en-US" w:eastAsia="zh-CN"/>
        </w:rPr>
      </w:pPr>
    </w:p>
    <w:tbl>
      <w:tblPr>
        <w:tblStyle w:val="15"/>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6"/>
        <w:gridCol w:w="3813"/>
        <w:gridCol w:w="2399"/>
        <w:gridCol w:w="2182"/>
      </w:tblGrid>
      <w:tr w14:paraId="5DAB2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616" w:type="dxa"/>
            <w:vAlign w:val="center"/>
          </w:tcPr>
          <w:p w14:paraId="4F707714">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序号</w:t>
            </w:r>
          </w:p>
        </w:tc>
        <w:tc>
          <w:tcPr>
            <w:tcW w:w="3813" w:type="dxa"/>
            <w:vAlign w:val="center"/>
          </w:tcPr>
          <w:p w14:paraId="37D6AA40">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采购内容</w:t>
            </w:r>
          </w:p>
        </w:tc>
        <w:tc>
          <w:tcPr>
            <w:tcW w:w="2399" w:type="dxa"/>
            <w:vAlign w:val="center"/>
          </w:tcPr>
          <w:p w14:paraId="62C352DC">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数量</w:t>
            </w:r>
          </w:p>
        </w:tc>
        <w:tc>
          <w:tcPr>
            <w:tcW w:w="2182" w:type="dxa"/>
            <w:vAlign w:val="center"/>
          </w:tcPr>
          <w:p w14:paraId="14FFFF5D">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总价（元）</w:t>
            </w:r>
          </w:p>
        </w:tc>
      </w:tr>
      <w:tr w14:paraId="39A38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16" w:type="dxa"/>
            <w:vAlign w:val="center"/>
          </w:tcPr>
          <w:p w14:paraId="775BE0AA">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w:t>
            </w:r>
          </w:p>
        </w:tc>
        <w:tc>
          <w:tcPr>
            <w:tcW w:w="3813" w:type="dxa"/>
            <w:vAlign w:val="center"/>
          </w:tcPr>
          <w:p w14:paraId="548E4B51">
            <w:pPr>
              <w:keepNext w:val="0"/>
              <w:keepLines w:val="0"/>
              <w:widowControl/>
              <w:suppressLineNumbers w:val="0"/>
              <w:jc w:val="center"/>
              <w:textAlignment w:val="center"/>
              <w:rPr>
                <w:rFonts w:hint="default"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aps w:val="0"/>
                <w:color w:val="000000"/>
                <w:spacing w:val="0"/>
                <w:sz w:val="21"/>
                <w:szCs w:val="21"/>
                <w:shd w:val="clear" w:fill="FFFFFF"/>
              </w:rPr>
              <w:t>2027-2029年度电梯维护保养</w:t>
            </w:r>
            <w:r>
              <w:rPr>
                <w:rFonts w:hint="eastAsia" w:ascii="宋体" w:hAnsi="宋体" w:eastAsia="宋体" w:cs="宋体"/>
                <w:i w:val="0"/>
                <w:iCs w:val="0"/>
                <w:caps w:val="0"/>
                <w:color w:val="000000"/>
                <w:spacing w:val="0"/>
                <w:sz w:val="21"/>
                <w:szCs w:val="21"/>
                <w:shd w:val="clear" w:fill="FFFFFF"/>
                <w:lang w:eastAsia="zh-CN"/>
              </w:rPr>
              <w:t>服务</w:t>
            </w:r>
          </w:p>
        </w:tc>
        <w:tc>
          <w:tcPr>
            <w:tcW w:w="2399" w:type="dxa"/>
            <w:vAlign w:val="center"/>
          </w:tcPr>
          <w:p w14:paraId="5573E89D">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2"/>
                <w:sz w:val="21"/>
                <w:szCs w:val="21"/>
                <w:u w:val="none"/>
                <w:lang w:val="en-US" w:eastAsia="zh-CN" w:bidi="ar-SA"/>
              </w:rPr>
              <w:t>三年</w:t>
            </w:r>
          </w:p>
        </w:tc>
        <w:tc>
          <w:tcPr>
            <w:tcW w:w="2182" w:type="dxa"/>
            <w:vAlign w:val="center"/>
          </w:tcPr>
          <w:p w14:paraId="1AC3F19D">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p>
        </w:tc>
      </w:tr>
      <w:tr w14:paraId="5578C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4" w:hRule="atLeast"/>
          <w:jc w:val="center"/>
        </w:trPr>
        <w:tc>
          <w:tcPr>
            <w:tcW w:w="9010" w:type="dxa"/>
            <w:gridSpan w:val="4"/>
            <w:vAlign w:val="center"/>
          </w:tcPr>
          <w:p w14:paraId="619023D7">
            <w:pPr>
              <w:spacing w:line="240" w:lineRule="auto"/>
              <w:jc w:val="left"/>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2"/>
                <w:sz w:val="21"/>
                <w:szCs w:val="21"/>
                <w:u w:val="none"/>
                <w:lang w:val="en-US" w:eastAsia="zh-CN" w:bidi="ar-SA"/>
              </w:rPr>
              <w:t xml:space="preserve">备注：维保期限：三年。 </w:t>
            </w:r>
          </w:p>
          <w:p w14:paraId="6A165125">
            <w:pPr>
              <w:spacing w:line="240" w:lineRule="auto"/>
              <w:jc w:val="left"/>
              <w:rPr>
                <w:rFonts w:hint="eastAsia" w:ascii="宋体" w:hAnsi="宋体" w:eastAsia="宋体" w:cs="宋体"/>
                <w:color w:val="000000"/>
                <w:sz w:val="21"/>
                <w:szCs w:val="21"/>
                <w:highlight w:val="none"/>
                <w:lang w:val="en-US" w:eastAsia="zh-CN"/>
              </w:rPr>
            </w:pPr>
            <w:r>
              <w:rPr>
                <w:rFonts w:hint="eastAsia" w:ascii="宋体" w:hAnsi="宋体" w:eastAsia="宋体" w:cs="宋体"/>
                <w:i w:val="0"/>
                <w:iCs w:val="0"/>
                <w:color w:val="000000"/>
                <w:kern w:val="2"/>
                <w:sz w:val="21"/>
                <w:szCs w:val="21"/>
                <w:u w:val="none"/>
                <w:lang w:val="en-US" w:eastAsia="zh-CN" w:bidi="ar-SA"/>
              </w:rPr>
              <w:t>项目服务期限采用1+1+1的形式，即先签订一年合同，在一年合同期满后，如采购人对成交供应商所提供的服务满意且考核合格，经采购人同意，本项目服务期限自动延期，若采购人对成交供应商所提供的服务不满意（即连续两个月考核结果低于75分），采购人有权单方终止合同。</w:t>
            </w:r>
          </w:p>
        </w:tc>
      </w:tr>
    </w:tbl>
    <w:p w14:paraId="3C6A2A9B">
      <w:pPr>
        <w:widowControl/>
        <w:spacing w:line="360" w:lineRule="auto"/>
        <w:jc w:val="left"/>
        <w:rPr>
          <w:rFonts w:hint="eastAsia" w:ascii="宋体" w:hAnsi="宋体" w:eastAsia="宋体" w:cs="宋体"/>
          <w:sz w:val="24"/>
          <w:szCs w:val="24"/>
          <w:lang w:val="zh-TW" w:eastAsia="zh-TW"/>
        </w:rPr>
      </w:pPr>
    </w:p>
    <w:p w14:paraId="5A2D6A19">
      <w:pPr>
        <w:widowControl/>
        <w:spacing w:line="360" w:lineRule="auto"/>
        <w:jc w:val="left"/>
        <w:rPr>
          <w:rFonts w:hint="eastAsia" w:ascii="宋体" w:hAnsi="宋体" w:eastAsia="宋体" w:cs="宋体"/>
          <w:sz w:val="24"/>
          <w:szCs w:val="24"/>
          <w:lang w:val="zh-TW" w:eastAsia="zh-TW"/>
        </w:rPr>
      </w:pPr>
    </w:p>
    <w:p w14:paraId="3F058B46">
      <w:pPr>
        <w:widowControl/>
        <w:spacing w:line="360" w:lineRule="auto"/>
        <w:jc w:val="left"/>
        <w:rPr>
          <w:rFonts w:hint="eastAsia" w:ascii="宋体" w:hAnsi="宋体" w:eastAsia="宋体" w:cs="宋体"/>
          <w:sz w:val="24"/>
          <w:szCs w:val="24"/>
          <w:lang w:val="zh-TW" w:eastAsia="zh-TW"/>
        </w:rPr>
      </w:pPr>
    </w:p>
    <w:p w14:paraId="67C27B39">
      <w:pPr>
        <w:widowControl/>
        <w:spacing w:line="360" w:lineRule="auto"/>
        <w:jc w:val="left"/>
        <w:rPr>
          <w:rFonts w:hint="eastAsia" w:ascii="宋体" w:hAnsi="宋体" w:eastAsia="宋体" w:cs="宋体"/>
          <w:sz w:val="24"/>
          <w:szCs w:val="24"/>
          <w:lang w:val="zh-TW" w:eastAsia="zh-TW"/>
        </w:rPr>
      </w:pPr>
    </w:p>
    <w:p w14:paraId="6C624FBE">
      <w:pPr>
        <w:widowControl/>
        <w:spacing w:line="360" w:lineRule="auto"/>
        <w:jc w:val="left"/>
        <w:rPr>
          <w:rFonts w:hint="eastAsia" w:ascii="宋体" w:hAnsi="宋体" w:eastAsia="宋体" w:cs="宋体"/>
          <w:sz w:val="24"/>
          <w:szCs w:val="24"/>
          <w:lang w:val="zh-TW" w:eastAsia="zh-TW"/>
        </w:rPr>
      </w:pPr>
    </w:p>
    <w:p w14:paraId="428ED1A2">
      <w:pPr>
        <w:widowControl/>
        <w:spacing w:line="360" w:lineRule="auto"/>
        <w:jc w:val="left"/>
        <w:rPr>
          <w:rFonts w:hint="eastAsia" w:ascii="宋体" w:hAnsi="宋体" w:eastAsia="宋体" w:cs="宋体"/>
          <w:sz w:val="24"/>
          <w:szCs w:val="24"/>
          <w:lang w:val="zh-TW" w:eastAsia="zh-TW"/>
        </w:rPr>
      </w:pPr>
    </w:p>
    <w:p w14:paraId="42E9A151">
      <w:pPr>
        <w:widowControl/>
        <w:spacing w:line="360" w:lineRule="auto"/>
        <w:jc w:val="left"/>
        <w:rPr>
          <w:rFonts w:hint="eastAsia" w:ascii="宋体" w:hAnsi="宋体" w:eastAsia="宋体" w:cs="宋体"/>
          <w:sz w:val="24"/>
          <w:szCs w:val="24"/>
          <w:lang w:val="zh-TW" w:eastAsia="zh-TW"/>
        </w:rPr>
      </w:pPr>
    </w:p>
    <w:p w14:paraId="4959D44C">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供应商名称（供应商公章）：</w:t>
      </w:r>
    </w:p>
    <w:p w14:paraId="6C56CCB4">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032F6822">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2E86D20B">
      <w:pPr>
        <w:spacing w:line="360" w:lineRule="auto"/>
        <w:jc w:val="left"/>
        <w:rPr>
          <w:rFonts w:hint="eastAsia" w:ascii="宋体" w:hAnsi="宋体" w:eastAsia="宋体" w:cs="宋体"/>
          <w:sz w:val="24"/>
          <w:szCs w:val="24"/>
          <w:u w:val="none"/>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p w14:paraId="719297F1">
      <w:pPr>
        <w:spacing w:line="360" w:lineRule="auto"/>
        <w:rPr>
          <w:rStyle w:val="18"/>
          <w:rFonts w:hint="eastAsia" w:ascii="宋体" w:hAnsi="宋体" w:eastAsia="宋体" w:cs="宋体"/>
          <w:b/>
          <w:bCs/>
          <w:sz w:val="21"/>
          <w:szCs w:val="21"/>
        </w:rPr>
      </w:pPr>
    </w:p>
    <w:p w14:paraId="52FA8535">
      <w:pPr>
        <w:spacing w:line="360" w:lineRule="auto"/>
        <w:rPr>
          <w:rStyle w:val="18"/>
          <w:rFonts w:hint="eastAsia" w:ascii="宋体" w:hAnsi="宋体" w:eastAsia="宋体" w:cs="宋体"/>
          <w:b/>
          <w:bCs/>
          <w:sz w:val="21"/>
          <w:szCs w:val="21"/>
        </w:rPr>
      </w:pPr>
    </w:p>
    <w:p w14:paraId="50D5BD8E">
      <w:pPr>
        <w:spacing w:line="360" w:lineRule="auto"/>
        <w:rPr>
          <w:rStyle w:val="18"/>
          <w:rFonts w:hint="eastAsia" w:ascii="宋体" w:hAnsi="宋体" w:eastAsia="宋体" w:cs="宋体"/>
          <w:b/>
          <w:bCs/>
          <w:sz w:val="21"/>
          <w:szCs w:val="21"/>
        </w:rPr>
      </w:pPr>
    </w:p>
    <w:p w14:paraId="37E6D51F">
      <w:pPr>
        <w:spacing w:line="360" w:lineRule="auto"/>
        <w:rPr>
          <w:rStyle w:val="18"/>
          <w:rFonts w:hint="eastAsia" w:ascii="宋体" w:hAnsi="宋体" w:eastAsia="宋体" w:cs="宋体"/>
          <w:b/>
          <w:bCs/>
          <w:sz w:val="21"/>
          <w:szCs w:val="21"/>
        </w:rPr>
      </w:pPr>
    </w:p>
    <w:p w14:paraId="21723915">
      <w:pPr>
        <w:spacing w:line="360" w:lineRule="auto"/>
        <w:rPr>
          <w:rStyle w:val="18"/>
          <w:rFonts w:hint="eastAsia" w:ascii="宋体" w:hAnsi="宋体" w:eastAsia="宋体" w:cs="宋体"/>
          <w:b/>
          <w:bCs/>
          <w:sz w:val="21"/>
          <w:szCs w:val="21"/>
        </w:rPr>
      </w:pPr>
    </w:p>
    <w:p w14:paraId="06BC40C1">
      <w:pPr>
        <w:spacing w:line="360" w:lineRule="auto"/>
        <w:rPr>
          <w:rStyle w:val="18"/>
          <w:rFonts w:hint="eastAsia" w:ascii="宋体" w:hAnsi="宋体" w:eastAsia="宋体" w:cs="宋体"/>
          <w:b/>
          <w:bCs/>
          <w:sz w:val="21"/>
          <w:szCs w:val="21"/>
        </w:rPr>
      </w:pPr>
    </w:p>
    <w:p w14:paraId="21275F74">
      <w:pPr>
        <w:spacing w:line="360" w:lineRule="auto"/>
        <w:rPr>
          <w:rStyle w:val="18"/>
          <w:rFonts w:hint="eastAsia" w:ascii="宋体" w:hAnsi="宋体" w:eastAsia="宋体" w:cs="宋体"/>
          <w:b/>
          <w:bCs/>
          <w:sz w:val="21"/>
          <w:szCs w:val="21"/>
        </w:rPr>
      </w:pPr>
    </w:p>
    <w:p w14:paraId="1BFF8C19">
      <w:pPr>
        <w:spacing w:line="360" w:lineRule="auto"/>
        <w:rPr>
          <w:rStyle w:val="18"/>
          <w:rFonts w:hint="eastAsia" w:ascii="宋体" w:hAnsi="宋体" w:eastAsia="宋体" w:cs="宋体"/>
          <w:b/>
          <w:bCs/>
          <w:sz w:val="21"/>
          <w:szCs w:val="21"/>
        </w:rPr>
      </w:pPr>
    </w:p>
    <w:p w14:paraId="4E056FB4">
      <w:pPr>
        <w:spacing w:line="360" w:lineRule="auto"/>
        <w:rPr>
          <w:rStyle w:val="18"/>
          <w:rFonts w:hint="eastAsia" w:ascii="宋体" w:hAnsi="宋体" w:eastAsia="宋体" w:cs="宋体"/>
          <w:b/>
          <w:bCs/>
          <w:sz w:val="21"/>
          <w:szCs w:val="21"/>
        </w:rPr>
      </w:pPr>
    </w:p>
    <w:p w14:paraId="64123E19">
      <w:pPr>
        <w:spacing w:line="360" w:lineRule="auto"/>
        <w:rPr>
          <w:rStyle w:val="18"/>
          <w:rFonts w:hint="eastAsia" w:ascii="宋体" w:hAnsi="宋体" w:eastAsia="宋体" w:cs="宋体"/>
          <w:b/>
          <w:bCs/>
          <w:sz w:val="21"/>
          <w:szCs w:val="21"/>
          <w:lang w:eastAsia="zh-CN"/>
        </w:rPr>
      </w:pPr>
    </w:p>
    <w:p w14:paraId="5B763102">
      <w:pPr>
        <w:spacing w:line="360" w:lineRule="auto"/>
        <w:rPr>
          <w:rFonts w:hint="eastAsia" w:ascii="宋体" w:hAnsi="宋体" w:eastAsia="宋体" w:cs="宋体"/>
          <w:b/>
          <w:bCs/>
          <w:color w:val="auto"/>
          <w:sz w:val="21"/>
          <w:szCs w:val="21"/>
          <w:lang w:eastAsia="zh-CN"/>
        </w:rPr>
      </w:pPr>
      <w:r>
        <w:rPr>
          <w:rStyle w:val="18"/>
          <w:rFonts w:hint="eastAsia" w:ascii="宋体" w:hAnsi="宋体" w:eastAsia="宋体" w:cs="宋体"/>
          <w:b/>
          <w:bCs/>
          <w:sz w:val="21"/>
          <w:szCs w:val="21"/>
          <w:lang w:eastAsia="zh-CN"/>
        </w:rPr>
        <w:t>二、</w:t>
      </w:r>
      <w:r>
        <w:rPr>
          <w:rStyle w:val="18"/>
          <w:rFonts w:hint="eastAsia" w:ascii="宋体" w:hAnsi="宋体" w:eastAsia="宋体" w:cs="宋体"/>
          <w:b/>
          <w:bCs/>
          <w:sz w:val="21"/>
          <w:szCs w:val="21"/>
        </w:rPr>
        <w:t>营业执照</w:t>
      </w:r>
    </w:p>
    <w:p w14:paraId="72489C3C">
      <w:pPr>
        <w:spacing w:line="360" w:lineRule="auto"/>
        <w:jc w:val="both"/>
        <w:outlineLvl w:val="1"/>
        <w:rPr>
          <w:rFonts w:hint="eastAsia" w:ascii="宋体" w:hAnsi="宋体" w:eastAsia="宋体" w:cs="宋体"/>
          <w:b/>
          <w:bCs/>
        </w:rPr>
      </w:pPr>
    </w:p>
    <w:p w14:paraId="3305AB96">
      <w:pPr>
        <w:spacing w:line="360" w:lineRule="auto"/>
        <w:jc w:val="both"/>
        <w:outlineLvl w:val="1"/>
        <w:rPr>
          <w:rFonts w:hint="eastAsia" w:ascii="宋体" w:hAnsi="宋体" w:eastAsia="宋体" w:cs="宋体"/>
          <w:b/>
          <w:bCs/>
        </w:rPr>
      </w:pPr>
    </w:p>
    <w:p w14:paraId="2EE8C065">
      <w:pPr>
        <w:spacing w:line="360" w:lineRule="auto"/>
        <w:jc w:val="both"/>
        <w:outlineLvl w:val="1"/>
        <w:rPr>
          <w:rFonts w:hint="eastAsia" w:ascii="宋体" w:hAnsi="宋体" w:eastAsia="宋体" w:cs="宋体"/>
          <w:b/>
          <w:bCs/>
        </w:rPr>
      </w:pPr>
    </w:p>
    <w:p w14:paraId="677FA1A1">
      <w:pPr>
        <w:spacing w:line="360" w:lineRule="auto"/>
        <w:jc w:val="both"/>
        <w:outlineLvl w:val="1"/>
        <w:rPr>
          <w:rFonts w:hint="eastAsia" w:ascii="宋体" w:hAnsi="宋体" w:eastAsia="宋体" w:cs="宋体"/>
          <w:b/>
          <w:bCs/>
        </w:rPr>
      </w:pPr>
    </w:p>
    <w:p w14:paraId="74CD819E">
      <w:pPr>
        <w:spacing w:line="360" w:lineRule="auto"/>
        <w:jc w:val="both"/>
        <w:outlineLvl w:val="1"/>
        <w:rPr>
          <w:rFonts w:hint="eastAsia" w:ascii="宋体" w:hAnsi="宋体" w:eastAsia="宋体" w:cs="宋体"/>
          <w:b/>
          <w:bCs/>
        </w:rPr>
      </w:pPr>
    </w:p>
    <w:p w14:paraId="4D2FA495">
      <w:pPr>
        <w:spacing w:line="360" w:lineRule="auto"/>
        <w:jc w:val="both"/>
        <w:outlineLvl w:val="1"/>
        <w:rPr>
          <w:rFonts w:hint="eastAsia" w:ascii="宋体" w:hAnsi="宋体" w:eastAsia="宋体" w:cs="宋体"/>
          <w:b/>
          <w:bCs/>
        </w:rPr>
      </w:pPr>
    </w:p>
    <w:p w14:paraId="15A3B503">
      <w:pPr>
        <w:spacing w:line="360" w:lineRule="auto"/>
        <w:jc w:val="both"/>
        <w:outlineLvl w:val="1"/>
        <w:rPr>
          <w:rFonts w:hint="eastAsia" w:ascii="宋体" w:hAnsi="宋体" w:eastAsia="宋体" w:cs="宋体"/>
          <w:b/>
          <w:bCs/>
        </w:rPr>
      </w:pPr>
    </w:p>
    <w:p w14:paraId="3E9D2D0B">
      <w:pPr>
        <w:spacing w:line="360" w:lineRule="auto"/>
        <w:jc w:val="both"/>
        <w:outlineLvl w:val="1"/>
        <w:rPr>
          <w:rFonts w:hint="eastAsia" w:ascii="宋体" w:hAnsi="宋体" w:eastAsia="宋体" w:cs="宋体"/>
          <w:b/>
          <w:bCs/>
        </w:rPr>
      </w:pPr>
    </w:p>
    <w:p w14:paraId="060C979D">
      <w:pPr>
        <w:spacing w:line="360" w:lineRule="auto"/>
        <w:jc w:val="both"/>
        <w:outlineLvl w:val="1"/>
        <w:rPr>
          <w:rFonts w:hint="eastAsia" w:ascii="宋体" w:hAnsi="宋体" w:eastAsia="宋体" w:cs="宋体"/>
          <w:b/>
          <w:bCs/>
        </w:rPr>
      </w:pPr>
    </w:p>
    <w:p w14:paraId="59C1E1D6">
      <w:pPr>
        <w:spacing w:line="360" w:lineRule="auto"/>
        <w:jc w:val="both"/>
        <w:outlineLvl w:val="1"/>
        <w:rPr>
          <w:rFonts w:hint="eastAsia" w:ascii="宋体" w:hAnsi="宋体" w:eastAsia="宋体" w:cs="宋体"/>
          <w:b/>
          <w:bCs/>
        </w:rPr>
      </w:pPr>
    </w:p>
    <w:p w14:paraId="05C3877E">
      <w:pPr>
        <w:spacing w:line="360" w:lineRule="auto"/>
        <w:jc w:val="both"/>
        <w:outlineLvl w:val="1"/>
        <w:rPr>
          <w:rFonts w:hint="eastAsia" w:ascii="宋体" w:hAnsi="宋体" w:eastAsia="宋体" w:cs="宋体"/>
          <w:b/>
          <w:bCs/>
        </w:rPr>
      </w:pPr>
    </w:p>
    <w:p w14:paraId="7F3B9FBF">
      <w:pPr>
        <w:spacing w:line="360" w:lineRule="auto"/>
        <w:jc w:val="both"/>
        <w:outlineLvl w:val="1"/>
        <w:rPr>
          <w:rFonts w:hint="eastAsia" w:ascii="宋体" w:hAnsi="宋体" w:eastAsia="宋体" w:cs="宋体"/>
          <w:b/>
          <w:bCs/>
        </w:rPr>
      </w:pPr>
    </w:p>
    <w:p w14:paraId="17EB68CA">
      <w:pPr>
        <w:spacing w:line="360" w:lineRule="auto"/>
        <w:jc w:val="both"/>
        <w:outlineLvl w:val="1"/>
        <w:rPr>
          <w:rFonts w:hint="eastAsia" w:ascii="宋体" w:hAnsi="宋体" w:eastAsia="宋体" w:cs="宋体"/>
          <w:b/>
          <w:bCs/>
        </w:rPr>
      </w:pPr>
    </w:p>
    <w:p w14:paraId="31F251F8">
      <w:pPr>
        <w:spacing w:line="360" w:lineRule="auto"/>
        <w:jc w:val="both"/>
        <w:outlineLvl w:val="1"/>
        <w:rPr>
          <w:rFonts w:hint="eastAsia" w:ascii="宋体" w:hAnsi="宋体" w:eastAsia="宋体" w:cs="宋体"/>
          <w:b/>
          <w:bCs/>
        </w:rPr>
      </w:pPr>
    </w:p>
    <w:p w14:paraId="59B80A79">
      <w:pPr>
        <w:spacing w:line="360" w:lineRule="auto"/>
        <w:jc w:val="both"/>
        <w:outlineLvl w:val="1"/>
        <w:rPr>
          <w:rFonts w:hint="eastAsia" w:ascii="宋体" w:hAnsi="宋体" w:eastAsia="宋体" w:cs="宋体"/>
          <w:b/>
          <w:bCs/>
        </w:rPr>
      </w:pPr>
    </w:p>
    <w:p w14:paraId="3027E15D">
      <w:pPr>
        <w:spacing w:line="360" w:lineRule="auto"/>
        <w:jc w:val="both"/>
        <w:outlineLvl w:val="1"/>
        <w:rPr>
          <w:rFonts w:hint="eastAsia" w:ascii="宋体" w:hAnsi="宋体" w:eastAsia="宋体" w:cs="宋体"/>
          <w:b/>
          <w:bCs/>
        </w:rPr>
      </w:pPr>
    </w:p>
    <w:p w14:paraId="601B7C4E">
      <w:pPr>
        <w:spacing w:line="360" w:lineRule="auto"/>
        <w:jc w:val="both"/>
        <w:outlineLvl w:val="1"/>
        <w:rPr>
          <w:rFonts w:hint="eastAsia" w:ascii="宋体" w:hAnsi="宋体" w:eastAsia="宋体" w:cs="宋体"/>
          <w:b/>
          <w:bCs/>
        </w:rPr>
      </w:pPr>
    </w:p>
    <w:p w14:paraId="293FB58E">
      <w:pPr>
        <w:spacing w:line="360" w:lineRule="auto"/>
        <w:jc w:val="both"/>
        <w:outlineLvl w:val="1"/>
        <w:rPr>
          <w:rFonts w:hint="eastAsia" w:ascii="宋体" w:hAnsi="宋体" w:eastAsia="宋体" w:cs="宋体"/>
          <w:b/>
          <w:bCs/>
        </w:rPr>
      </w:pPr>
    </w:p>
    <w:p w14:paraId="2C30E251">
      <w:pPr>
        <w:spacing w:line="360" w:lineRule="auto"/>
        <w:jc w:val="both"/>
        <w:outlineLvl w:val="1"/>
        <w:rPr>
          <w:rFonts w:hint="eastAsia" w:ascii="宋体" w:hAnsi="宋体" w:eastAsia="宋体" w:cs="宋体"/>
          <w:b/>
          <w:bCs/>
        </w:rPr>
      </w:pPr>
    </w:p>
    <w:p w14:paraId="595548D8">
      <w:pPr>
        <w:spacing w:line="360" w:lineRule="auto"/>
        <w:jc w:val="both"/>
        <w:outlineLvl w:val="1"/>
        <w:rPr>
          <w:rFonts w:hint="eastAsia" w:ascii="宋体" w:hAnsi="宋体" w:eastAsia="宋体" w:cs="宋体"/>
          <w:b/>
          <w:bCs/>
        </w:rPr>
      </w:pPr>
    </w:p>
    <w:p w14:paraId="45B25240">
      <w:pPr>
        <w:spacing w:line="360" w:lineRule="auto"/>
        <w:jc w:val="both"/>
        <w:outlineLvl w:val="1"/>
        <w:rPr>
          <w:rFonts w:hint="eastAsia" w:ascii="宋体" w:hAnsi="宋体" w:eastAsia="宋体" w:cs="宋体"/>
          <w:b/>
          <w:bCs/>
        </w:rPr>
      </w:pPr>
    </w:p>
    <w:p w14:paraId="337A05CD">
      <w:pPr>
        <w:spacing w:line="360" w:lineRule="auto"/>
        <w:jc w:val="both"/>
        <w:outlineLvl w:val="1"/>
        <w:rPr>
          <w:rFonts w:hint="eastAsia" w:ascii="宋体" w:hAnsi="宋体" w:eastAsia="宋体" w:cs="宋体"/>
          <w:b/>
          <w:bCs/>
        </w:rPr>
      </w:pPr>
    </w:p>
    <w:p w14:paraId="4CB2CBFD">
      <w:pPr>
        <w:spacing w:line="360" w:lineRule="auto"/>
        <w:jc w:val="both"/>
        <w:outlineLvl w:val="1"/>
        <w:rPr>
          <w:rFonts w:hint="eastAsia" w:ascii="宋体" w:hAnsi="宋体" w:eastAsia="宋体" w:cs="宋体"/>
          <w:b/>
          <w:bCs/>
        </w:rPr>
      </w:pPr>
    </w:p>
    <w:p w14:paraId="3D878409">
      <w:pPr>
        <w:spacing w:line="360" w:lineRule="auto"/>
        <w:jc w:val="both"/>
        <w:outlineLvl w:val="1"/>
        <w:rPr>
          <w:rFonts w:hint="eastAsia" w:ascii="宋体" w:hAnsi="宋体" w:eastAsia="宋体" w:cs="宋体"/>
          <w:b/>
          <w:bCs/>
        </w:rPr>
      </w:pPr>
    </w:p>
    <w:p w14:paraId="563CBCFF">
      <w:pPr>
        <w:spacing w:line="360" w:lineRule="auto"/>
        <w:jc w:val="both"/>
        <w:outlineLvl w:val="1"/>
        <w:rPr>
          <w:rFonts w:hint="eastAsia" w:ascii="宋体" w:hAnsi="宋体" w:eastAsia="宋体" w:cs="宋体"/>
          <w:b/>
          <w:bCs/>
        </w:rPr>
      </w:pPr>
    </w:p>
    <w:p w14:paraId="16DB9365">
      <w:pPr>
        <w:spacing w:line="360" w:lineRule="auto"/>
        <w:jc w:val="both"/>
        <w:outlineLvl w:val="1"/>
        <w:rPr>
          <w:rFonts w:hint="eastAsia" w:ascii="宋体" w:hAnsi="宋体" w:eastAsia="宋体" w:cs="宋体"/>
          <w:b/>
          <w:bCs/>
        </w:rPr>
      </w:pPr>
    </w:p>
    <w:p w14:paraId="6BBAF08C">
      <w:pPr>
        <w:spacing w:line="360" w:lineRule="auto"/>
        <w:jc w:val="both"/>
        <w:outlineLvl w:val="1"/>
        <w:rPr>
          <w:rFonts w:hint="eastAsia" w:ascii="宋体" w:hAnsi="宋体" w:eastAsia="宋体" w:cs="宋体"/>
          <w:b/>
          <w:bCs/>
        </w:rPr>
      </w:pPr>
    </w:p>
    <w:p w14:paraId="5FC29E60">
      <w:pPr>
        <w:spacing w:line="360" w:lineRule="auto"/>
        <w:jc w:val="both"/>
        <w:outlineLvl w:val="1"/>
        <w:rPr>
          <w:rFonts w:hint="eastAsia" w:ascii="宋体" w:hAnsi="宋体" w:eastAsia="宋体" w:cs="宋体"/>
          <w:b/>
          <w:bCs/>
        </w:rPr>
      </w:pPr>
    </w:p>
    <w:p w14:paraId="40F1FFBB">
      <w:pPr>
        <w:pStyle w:val="2"/>
        <w:rPr>
          <w:rFonts w:hint="eastAsia"/>
        </w:rPr>
      </w:pPr>
    </w:p>
    <w:p w14:paraId="24B6E3FE">
      <w:pPr>
        <w:pStyle w:val="2"/>
        <w:rPr>
          <w:rFonts w:hint="eastAsia"/>
        </w:rPr>
      </w:pPr>
    </w:p>
    <w:p w14:paraId="060E39A7">
      <w:pPr>
        <w:pStyle w:val="2"/>
        <w:rPr>
          <w:rFonts w:hint="eastAsia"/>
        </w:rPr>
      </w:pPr>
    </w:p>
    <w:p w14:paraId="39D5D4C8">
      <w:pPr>
        <w:pStyle w:val="12"/>
        <w:spacing w:line="360" w:lineRule="auto"/>
        <w:ind w:left="0" w:leftChars="0" w:firstLine="0" w:firstLineChars="0"/>
        <w:jc w:val="both"/>
        <w:outlineLvl w:val="1"/>
        <w:rPr>
          <w:rFonts w:hint="eastAsia" w:ascii="宋体" w:hAnsi="宋体" w:eastAsia="宋体" w:cs="宋体"/>
          <w:color w:val="auto"/>
          <w:sz w:val="21"/>
          <w:szCs w:val="21"/>
        </w:rPr>
      </w:pPr>
      <w:bookmarkStart w:id="0" w:name="_Toc11351"/>
      <w:bookmarkStart w:id="1" w:name="_Toc12015"/>
      <w:bookmarkStart w:id="2" w:name="_Toc25638"/>
      <w:bookmarkStart w:id="3" w:name="_Toc27661"/>
      <w:bookmarkStart w:id="4" w:name="_Toc20589"/>
      <w:bookmarkStart w:id="5" w:name="_Toc15526"/>
      <w:r>
        <w:rPr>
          <w:rStyle w:val="18"/>
          <w:rFonts w:hint="eastAsia" w:ascii="宋体" w:hAnsi="宋体" w:eastAsia="宋体" w:cs="宋体"/>
          <w:b/>
          <w:bCs/>
          <w:sz w:val="21"/>
          <w:szCs w:val="21"/>
          <w:lang w:val="en-US" w:eastAsia="zh-CN"/>
        </w:rPr>
        <w:t>三、</w:t>
      </w:r>
      <w:r>
        <w:rPr>
          <w:rStyle w:val="18"/>
          <w:rFonts w:hint="eastAsia" w:ascii="宋体" w:hAnsi="宋体" w:eastAsia="宋体" w:cs="宋体"/>
          <w:b/>
          <w:bCs/>
          <w:sz w:val="21"/>
          <w:szCs w:val="21"/>
        </w:rPr>
        <w:t>法定代表人身份证明书</w:t>
      </w:r>
      <w:bookmarkEnd w:id="0"/>
      <w:bookmarkEnd w:id="1"/>
      <w:bookmarkEnd w:id="2"/>
      <w:bookmarkEnd w:id="3"/>
      <w:bookmarkEnd w:id="4"/>
      <w:bookmarkEnd w:id="5"/>
    </w:p>
    <w:p w14:paraId="4A1F51DA">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5DBC189">
      <w:pPr>
        <w:spacing w:line="480" w:lineRule="exact"/>
        <w:rPr>
          <w:rFonts w:hint="eastAsia" w:ascii="宋体" w:hAnsi="宋体" w:eastAsia="宋体" w:cs="宋体"/>
          <w:sz w:val="24"/>
        </w:rPr>
      </w:pPr>
    </w:p>
    <w:p w14:paraId="66F41128">
      <w:pPr>
        <w:spacing w:line="480" w:lineRule="exact"/>
        <w:ind w:firstLine="470" w:firstLineChars="196"/>
        <w:rPr>
          <w:rFonts w:hint="eastAsia" w:ascii="宋体" w:hAnsi="宋体" w:eastAsia="宋体" w:cs="宋体"/>
          <w:sz w:val="24"/>
        </w:rPr>
      </w:pPr>
    </w:p>
    <w:p w14:paraId="78DD6DFB">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1564925B">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DA1CBA0">
      <w:pPr>
        <w:spacing w:line="480" w:lineRule="exact"/>
        <w:rPr>
          <w:rFonts w:hint="eastAsia" w:ascii="宋体" w:hAnsi="宋体" w:eastAsia="宋体" w:cs="宋体"/>
          <w:sz w:val="24"/>
        </w:rPr>
      </w:pPr>
    </w:p>
    <w:p w14:paraId="2568D6A7">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AC9D98C">
      <w:pPr>
        <w:spacing w:line="480" w:lineRule="exact"/>
        <w:rPr>
          <w:rFonts w:hint="eastAsia" w:ascii="宋体" w:hAnsi="宋体" w:eastAsia="宋体" w:cs="宋体"/>
          <w:sz w:val="24"/>
        </w:rPr>
      </w:pPr>
    </w:p>
    <w:p w14:paraId="3B891C2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39FA8096">
      <w:pPr>
        <w:spacing w:line="480" w:lineRule="exact"/>
        <w:rPr>
          <w:rFonts w:hint="eastAsia" w:ascii="宋体" w:hAnsi="宋体" w:eastAsia="宋体" w:cs="宋体"/>
          <w:sz w:val="24"/>
        </w:rPr>
      </w:pPr>
    </w:p>
    <w:p w14:paraId="0CCA230E">
      <w:pPr>
        <w:spacing w:line="480" w:lineRule="exact"/>
        <w:rPr>
          <w:rFonts w:hint="eastAsia" w:ascii="宋体" w:hAnsi="宋体" w:eastAsia="宋体" w:cs="宋体"/>
          <w:sz w:val="24"/>
        </w:rPr>
      </w:pPr>
    </w:p>
    <w:p w14:paraId="017681D0">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9B10F8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7"/>
        <w:rPr>
          <w:rFonts w:hint="eastAsia" w:ascii="宋体" w:hAnsi="宋体" w:eastAsia="宋体" w:cs="宋体"/>
          <w:lang w:eastAsia="zh-CN"/>
        </w:rPr>
      </w:pPr>
    </w:p>
    <w:p w14:paraId="2E8967E4">
      <w:pPr>
        <w:pStyle w:val="2"/>
        <w:spacing w:line="360" w:lineRule="auto"/>
        <w:jc w:val="center"/>
        <w:rPr>
          <w:rStyle w:val="18"/>
          <w:rFonts w:hint="eastAsia" w:ascii="宋体" w:hAnsi="宋体" w:eastAsia="宋体" w:cs="宋体"/>
          <w:b/>
          <w:bCs/>
          <w:color w:val="auto"/>
          <w:kern w:val="2"/>
          <w:sz w:val="32"/>
          <w:szCs w:val="28"/>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0101DC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中山市东升医院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5"/>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BF2380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33DFD8A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五、无围标、串标行为声明函</w:t>
      </w:r>
    </w:p>
    <w:p w14:paraId="55A91983">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4D0E5580">
      <w:pPr>
        <w:rPr>
          <w:rFonts w:hint="eastAsia" w:ascii="宋体" w:hAnsi="宋体" w:eastAsia="宋体" w:cs="宋体"/>
        </w:rPr>
      </w:pPr>
    </w:p>
    <w:p w14:paraId="781D710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szCs w:val="24"/>
        </w:rPr>
        <w:t>本公司郑重</w:t>
      </w:r>
      <w:r>
        <w:rPr>
          <w:rFonts w:hint="eastAsia" w:ascii="宋体" w:hAnsi="宋体" w:eastAsia="宋体" w:cs="宋体"/>
          <w:sz w:val="24"/>
          <w:szCs w:val="24"/>
          <w:lang w:eastAsia="zh-CN"/>
        </w:rPr>
        <w:t>声明</w:t>
      </w:r>
      <w:r>
        <w:rPr>
          <w:rFonts w:hint="eastAsia" w:ascii="宋体" w:hAnsi="宋体" w:eastAsia="宋体" w:cs="宋体"/>
          <w:sz w:val="24"/>
          <w:szCs w:val="24"/>
        </w:rPr>
        <w:t>本公司在参加本次</w:t>
      </w:r>
      <w:r>
        <w:rPr>
          <w:rFonts w:hint="eastAsia" w:ascii="宋体" w:hAnsi="宋体" w:eastAsia="宋体" w:cs="宋体"/>
          <w:i w:val="0"/>
          <w:iCs w:val="0"/>
          <w:caps w:val="0"/>
          <w:color w:val="000000"/>
          <w:spacing w:val="0"/>
          <w:sz w:val="24"/>
          <w:szCs w:val="24"/>
          <w:u w:val="single"/>
          <w:shd w:val="clear" w:fill="FFFFFF"/>
        </w:rPr>
        <w:t>中山市东升医院2027-2029年度电梯维护保养项目</w:t>
      </w:r>
      <w:r>
        <w:rPr>
          <w:rFonts w:hint="eastAsia" w:ascii="宋体" w:hAnsi="宋体" w:eastAsia="宋体" w:cs="宋体"/>
          <w:sz w:val="24"/>
          <w:szCs w:val="24"/>
          <w:u w:val="single"/>
          <w:lang w:eastAsia="zh-CN"/>
        </w:rPr>
        <w:t>调研</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5178739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09A50A5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34A2D41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w:t>
      </w:r>
      <w:bookmarkStart w:id="12" w:name="_GoBack"/>
      <w:bookmarkEnd w:id="12"/>
      <w:r>
        <w:rPr>
          <w:rFonts w:hint="eastAsia" w:ascii="宋体" w:hAnsi="宋体" w:eastAsia="宋体" w:cs="宋体"/>
          <w:sz w:val="24"/>
        </w:rPr>
        <w:t>或者联系人员为同一人；</w:t>
      </w:r>
    </w:p>
    <w:p w14:paraId="3A98A62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4E423D7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5F2557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0F1935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653298AE">
      <w:pPr>
        <w:spacing w:line="360" w:lineRule="auto"/>
        <w:rPr>
          <w:rFonts w:hint="eastAsia" w:ascii="宋体" w:hAnsi="宋体" w:eastAsia="宋体" w:cs="宋体"/>
          <w:sz w:val="24"/>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34DCA673">
      <w:pPr>
        <w:spacing w:before="156" w:beforeLines="50" w:after="156" w:afterLines="50" w:line="360" w:lineRule="auto"/>
        <w:ind w:firstLine="480" w:firstLineChars="200"/>
        <w:rPr>
          <w:rFonts w:hint="eastAsia" w:ascii="宋体" w:hAnsi="宋体" w:eastAsia="宋体" w:cs="宋体"/>
          <w:sz w:val="24"/>
        </w:rPr>
      </w:pPr>
    </w:p>
    <w:p w14:paraId="4A62D2CB">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4869F83B">
      <w:pPr>
        <w:spacing w:before="156" w:beforeLines="50" w:after="156" w:afterLines="50" w:line="360" w:lineRule="auto"/>
        <w:rPr>
          <w:rFonts w:hint="eastAsia"/>
        </w:rPr>
      </w:pPr>
      <w:r>
        <w:rPr>
          <w:rFonts w:hint="eastAsia" w:ascii="宋体" w:hAnsi="宋体" w:eastAsia="宋体" w:cs="宋体"/>
          <w:sz w:val="24"/>
        </w:rPr>
        <w:t>供应商名称（加盖公章）：</w:t>
      </w:r>
    </w:p>
    <w:p w14:paraId="0D25A6B3">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1CAE6A51">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3BFFE0A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kern w:val="2"/>
          <w:sz w:val="21"/>
          <w:szCs w:val="22"/>
          <w:lang w:val="en-US" w:eastAsia="zh-CN" w:bidi="ar-SA"/>
        </w:rPr>
      </w:pPr>
      <w:bookmarkStart w:id="6" w:name="_Toc16435"/>
      <w:bookmarkStart w:id="7" w:name="_Toc1074"/>
      <w:bookmarkStart w:id="8" w:name="_Toc23967"/>
      <w:bookmarkStart w:id="9" w:name="_Toc26969"/>
      <w:bookmarkStart w:id="10" w:name="_Toc12967"/>
      <w:bookmarkStart w:id="11" w:name="_Toc2041"/>
    </w:p>
    <w:p w14:paraId="5DDD7D9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kern w:val="2"/>
          <w:sz w:val="21"/>
          <w:szCs w:val="22"/>
          <w:lang w:val="en-US" w:eastAsia="zh-CN" w:bidi="ar-SA"/>
        </w:rPr>
      </w:pPr>
    </w:p>
    <w:p w14:paraId="248C819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kern w:val="2"/>
          <w:sz w:val="21"/>
          <w:szCs w:val="22"/>
          <w:lang w:val="en-US" w:eastAsia="zh-CN" w:bidi="ar-SA"/>
        </w:rPr>
      </w:pPr>
    </w:p>
    <w:p w14:paraId="68F4F41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kern w:val="2"/>
          <w:sz w:val="21"/>
          <w:szCs w:val="22"/>
          <w:lang w:val="en-US" w:eastAsia="zh-CN" w:bidi="ar-SA"/>
        </w:rPr>
      </w:pPr>
    </w:p>
    <w:p w14:paraId="32AC125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kern w:val="2"/>
          <w:sz w:val="21"/>
          <w:szCs w:val="22"/>
          <w:lang w:val="en-US" w:eastAsia="zh-CN" w:bidi="ar-SA"/>
        </w:rPr>
      </w:pPr>
    </w:p>
    <w:p w14:paraId="6E41D3E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kern w:val="2"/>
          <w:sz w:val="21"/>
          <w:szCs w:val="22"/>
          <w:lang w:val="en-US" w:eastAsia="zh-CN" w:bidi="ar-SA"/>
        </w:rPr>
      </w:pPr>
    </w:p>
    <w:p w14:paraId="75DD194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bookmarkEnd w:id="6"/>
    <w:bookmarkEnd w:id="7"/>
    <w:bookmarkEnd w:id="8"/>
    <w:bookmarkEnd w:id="9"/>
    <w:bookmarkEnd w:id="10"/>
    <w:bookmarkEnd w:id="11"/>
    <w:p w14:paraId="43379772">
      <w:pPr>
        <w:keepNext w:val="0"/>
        <w:keepLines w:val="0"/>
        <w:pageBreakBefore w:val="0"/>
        <w:numPr>
          <w:ilvl w:val="0"/>
          <w:numId w:val="0"/>
        </w:numPr>
        <w:shd w:val="clear"/>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bCs/>
          <w:spacing w:val="7"/>
          <w:sz w:val="20"/>
          <w:szCs w:val="20"/>
          <w:lang w:eastAsia="zh-CN"/>
        </w:rPr>
      </w:pPr>
    </w:p>
    <w:p w14:paraId="1AD104C4">
      <w:pPr>
        <w:keepNext w:val="0"/>
        <w:keepLines w:val="0"/>
        <w:pageBreakBefore w:val="0"/>
        <w:numPr>
          <w:ilvl w:val="0"/>
          <w:numId w:val="0"/>
        </w:numPr>
        <w:shd w:val="clea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sz w:val="20"/>
          <w:szCs w:val="20"/>
          <w:lang w:val="en-US" w:eastAsia="zh-CN"/>
        </w:rPr>
      </w:pPr>
      <w:r>
        <w:rPr>
          <w:rFonts w:hint="eastAsia" w:ascii="宋体" w:hAnsi="宋体" w:eastAsia="宋体" w:cs="宋体"/>
          <w:b/>
          <w:bCs/>
          <w:spacing w:val="7"/>
          <w:sz w:val="20"/>
          <w:szCs w:val="20"/>
          <w:lang w:eastAsia="zh-CN"/>
        </w:rPr>
        <w:t>六</w:t>
      </w:r>
      <w:r>
        <w:rPr>
          <w:rFonts w:ascii="宋体" w:hAnsi="宋体" w:eastAsia="宋体" w:cs="宋体"/>
          <w:b/>
          <w:bCs/>
          <w:spacing w:val="7"/>
          <w:sz w:val="20"/>
          <w:szCs w:val="20"/>
          <w:lang w:eastAsia="zh-CN"/>
        </w:rPr>
        <w:t>、采购需求偏离表</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加盖公章）</w:t>
      </w:r>
    </w:p>
    <w:p w14:paraId="46903B95">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62353373">
      <w:pPr>
        <w:pStyle w:val="5"/>
        <w:spacing w:line="286" w:lineRule="auto"/>
        <w:rPr>
          <w:lang w:eastAsia="zh-CN"/>
        </w:rPr>
      </w:pPr>
    </w:p>
    <w:p w14:paraId="65E86C6A">
      <w:pPr>
        <w:keepNext w:val="0"/>
        <w:keepLines w:val="0"/>
        <w:pageBreakBefore w:val="0"/>
        <w:widowControl/>
        <w:kinsoku w:val="0"/>
        <w:wordWrap/>
        <w:overflowPunct/>
        <w:topLinePunct w:val="0"/>
        <w:autoSpaceDE w:val="0"/>
        <w:autoSpaceDN w:val="0"/>
        <w:bidi w:val="0"/>
        <w:adjustRightInd w:val="0"/>
        <w:snapToGrid w:val="0"/>
        <w:spacing w:before="95" w:beforeLines="30" w:line="228" w:lineRule="auto"/>
        <w:textAlignment w:val="baseline"/>
        <w:rPr>
          <w:rFonts w:ascii="宋体" w:hAnsi="宋体" w:eastAsia="宋体" w:cs="宋体"/>
          <w:sz w:val="20"/>
          <w:szCs w:val="20"/>
          <w:lang w:eastAsia="zh-CN"/>
        </w:rPr>
      </w:pPr>
      <w:r>
        <w:rPr>
          <w:rFonts w:ascii="宋体" w:hAnsi="宋体" w:eastAsia="宋体" w:cs="宋体"/>
          <w:spacing w:val="5"/>
          <w:sz w:val="20"/>
          <w:szCs w:val="20"/>
          <w:lang w:eastAsia="zh-CN"/>
        </w:rPr>
        <w:t>填写要求：</w:t>
      </w:r>
    </w:p>
    <w:p w14:paraId="562D69C9">
      <w:pPr>
        <w:keepNext w:val="0"/>
        <w:keepLines w:val="0"/>
        <w:pageBreakBefore w:val="0"/>
        <w:widowControl/>
        <w:kinsoku w:val="0"/>
        <w:wordWrap/>
        <w:overflowPunct/>
        <w:topLinePunct w:val="0"/>
        <w:autoSpaceDE w:val="0"/>
        <w:autoSpaceDN w:val="0"/>
        <w:bidi w:val="0"/>
        <w:adjustRightInd w:val="0"/>
        <w:snapToGrid w:val="0"/>
        <w:spacing w:before="95" w:beforeLines="30" w:line="227" w:lineRule="auto"/>
        <w:textAlignment w:val="baseline"/>
        <w:rPr>
          <w:rFonts w:ascii="宋体" w:hAnsi="宋体" w:eastAsia="宋体" w:cs="宋体"/>
          <w:sz w:val="20"/>
          <w:szCs w:val="20"/>
          <w:lang w:eastAsia="zh-CN"/>
        </w:rPr>
      </w:pPr>
      <w:r>
        <w:rPr>
          <w:rFonts w:ascii="Calibri" w:hAnsi="Calibri" w:eastAsia="Calibri" w:cs="Calibri"/>
          <w:spacing w:val="8"/>
          <w:sz w:val="20"/>
          <w:szCs w:val="20"/>
          <w:lang w:eastAsia="zh-CN"/>
        </w:rPr>
        <w:t>1</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、请按采购需求的要求逐条响应，正负偏离参数请备</w:t>
      </w:r>
      <w:r>
        <w:rPr>
          <w:rFonts w:ascii="宋体" w:hAnsi="宋体" w:eastAsia="宋体" w:cs="宋体"/>
          <w:spacing w:val="7"/>
          <w:sz w:val="20"/>
          <w:szCs w:val="20"/>
          <w:lang w:eastAsia="zh-CN"/>
        </w:rPr>
        <w:t>注说明。</w:t>
      </w:r>
    </w:p>
    <w:p w14:paraId="2C99D150">
      <w:pPr>
        <w:keepNext w:val="0"/>
        <w:keepLines w:val="0"/>
        <w:pageBreakBefore w:val="0"/>
        <w:widowControl/>
        <w:kinsoku w:val="0"/>
        <w:wordWrap/>
        <w:overflowPunct/>
        <w:topLinePunct w:val="0"/>
        <w:autoSpaceDE w:val="0"/>
        <w:autoSpaceDN w:val="0"/>
        <w:bidi w:val="0"/>
        <w:adjustRightInd w:val="0"/>
        <w:snapToGrid w:val="0"/>
        <w:spacing w:before="95" w:beforeLines="30" w:line="228" w:lineRule="auto"/>
        <w:textAlignment w:val="baseline"/>
        <w:rPr>
          <w:rFonts w:ascii="宋体" w:hAnsi="宋体" w:eastAsia="宋体" w:cs="宋体"/>
          <w:sz w:val="20"/>
          <w:szCs w:val="20"/>
          <w:lang w:eastAsia="zh-CN"/>
        </w:rPr>
      </w:pPr>
      <w:r>
        <w:rPr>
          <w:rFonts w:ascii="Calibri" w:hAnsi="Calibri" w:eastAsia="Calibri" w:cs="Calibri"/>
          <w:spacing w:val="7"/>
          <w:sz w:val="20"/>
          <w:szCs w:val="20"/>
          <w:lang w:eastAsia="zh-CN"/>
        </w:rPr>
        <w:t>2</w:t>
      </w:r>
      <w:r>
        <w:rPr>
          <w:rFonts w:ascii="Calibri" w:hAnsi="Calibri" w:eastAsia="Calibri" w:cs="Calibri"/>
          <w:spacing w:val="-14"/>
          <w:sz w:val="20"/>
          <w:szCs w:val="20"/>
          <w:lang w:eastAsia="zh-CN"/>
        </w:rPr>
        <w:t xml:space="preserve"> </w:t>
      </w:r>
      <w:r>
        <w:rPr>
          <w:rFonts w:ascii="宋体" w:hAnsi="宋体" w:eastAsia="宋体" w:cs="宋体"/>
          <w:spacing w:val="7"/>
          <w:sz w:val="20"/>
          <w:szCs w:val="20"/>
          <w:lang w:eastAsia="zh-CN"/>
        </w:rPr>
        <w:t>、其中带★的参数是必须完全响应的参数。</w:t>
      </w:r>
    </w:p>
    <w:p w14:paraId="32B81AA3">
      <w:pPr>
        <w:keepNext w:val="0"/>
        <w:keepLines w:val="0"/>
        <w:pageBreakBefore w:val="0"/>
        <w:widowControl/>
        <w:kinsoku w:val="0"/>
        <w:wordWrap/>
        <w:overflowPunct/>
        <w:topLinePunct w:val="0"/>
        <w:autoSpaceDE w:val="0"/>
        <w:autoSpaceDN w:val="0"/>
        <w:bidi w:val="0"/>
        <w:adjustRightInd w:val="0"/>
        <w:snapToGrid w:val="0"/>
        <w:spacing w:before="95" w:beforeLines="30" w:line="228" w:lineRule="auto"/>
        <w:textAlignment w:val="baseline"/>
        <w:rPr>
          <w:rFonts w:ascii="宋体" w:hAnsi="宋体" w:eastAsia="宋体" w:cs="宋体"/>
          <w:sz w:val="20"/>
          <w:szCs w:val="20"/>
          <w:lang w:eastAsia="zh-CN"/>
        </w:rPr>
      </w:pPr>
      <w:r>
        <w:rPr>
          <w:rFonts w:ascii="Calibri" w:hAnsi="Calibri" w:eastAsia="Calibri" w:cs="Calibri"/>
          <w:spacing w:val="8"/>
          <w:sz w:val="20"/>
          <w:szCs w:val="20"/>
          <w:lang w:eastAsia="zh-CN"/>
        </w:rPr>
        <w:t>3</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、所投</w:t>
      </w:r>
      <w:r>
        <w:rPr>
          <w:rFonts w:hint="eastAsia" w:ascii="宋体" w:hAnsi="宋体" w:eastAsia="宋体" w:cs="宋体"/>
          <w:spacing w:val="8"/>
          <w:sz w:val="20"/>
          <w:szCs w:val="20"/>
          <w:lang w:eastAsia="zh-CN"/>
        </w:rPr>
        <w:t>服务</w:t>
      </w:r>
      <w:r>
        <w:rPr>
          <w:rFonts w:ascii="宋体" w:hAnsi="宋体" w:eastAsia="宋体" w:cs="宋体"/>
          <w:spacing w:val="8"/>
          <w:sz w:val="20"/>
          <w:szCs w:val="20"/>
          <w:lang w:eastAsia="zh-CN"/>
        </w:rPr>
        <w:t>的参数满足率≥</w:t>
      </w:r>
      <w:r>
        <w:rPr>
          <w:rFonts w:ascii="Calibri" w:hAnsi="Calibri" w:eastAsia="Calibri" w:cs="Calibri"/>
          <w:spacing w:val="8"/>
          <w:sz w:val="20"/>
          <w:szCs w:val="20"/>
          <w:lang w:eastAsia="zh-CN"/>
        </w:rPr>
        <w:t>90%</w:t>
      </w:r>
      <w:r>
        <w:rPr>
          <w:rFonts w:ascii="宋体" w:hAnsi="宋体" w:eastAsia="宋体" w:cs="宋体"/>
          <w:spacing w:val="8"/>
          <w:sz w:val="20"/>
          <w:szCs w:val="20"/>
          <w:lang w:eastAsia="zh-CN"/>
        </w:rPr>
        <w:t>方视为满足</w:t>
      </w:r>
      <w:r>
        <w:rPr>
          <w:rFonts w:ascii="宋体" w:hAnsi="宋体" w:eastAsia="宋体" w:cs="宋体"/>
          <w:spacing w:val="7"/>
          <w:sz w:val="20"/>
          <w:szCs w:val="20"/>
          <w:lang w:eastAsia="zh-CN"/>
        </w:rPr>
        <w:t>需求的合格</w:t>
      </w:r>
      <w:r>
        <w:rPr>
          <w:rFonts w:hint="eastAsia" w:ascii="宋体" w:hAnsi="宋体" w:eastAsia="宋体" w:cs="宋体"/>
          <w:spacing w:val="7"/>
          <w:sz w:val="20"/>
          <w:szCs w:val="20"/>
          <w:lang w:eastAsia="zh-CN"/>
        </w:rPr>
        <w:t>服务</w:t>
      </w:r>
      <w:r>
        <w:rPr>
          <w:rFonts w:ascii="宋体" w:hAnsi="宋体" w:eastAsia="宋体" w:cs="宋体"/>
          <w:spacing w:val="7"/>
          <w:sz w:val="20"/>
          <w:szCs w:val="20"/>
          <w:lang w:eastAsia="zh-CN"/>
        </w:rPr>
        <w:t>。</w:t>
      </w:r>
    </w:p>
    <w:tbl>
      <w:tblPr>
        <w:tblStyle w:val="20"/>
        <w:tblpPr w:leftFromText="180" w:rightFromText="180" w:vertAnchor="text" w:horzAnchor="page" w:tblpX="992" w:tblpY="224"/>
        <w:tblOverlap w:val="never"/>
        <w:tblW w:w="967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661"/>
        <w:gridCol w:w="5547"/>
        <w:gridCol w:w="1425"/>
        <w:gridCol w:w="978"/>
        <w:gridCol w:w="1065"/>
      </w:tblGrid>
      <w:tr w14:paraId="37EB4D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926" w:hRule="atLeast"/>
        </w:trPr>
        <w:tc>
          <w:tcPr>
            <w:tcW w:w="661" w:type="dxa"/>
            <w:vAlign w:val="center"/>
          </w:tcPr>
          <w:p w14:paraId="61DC7371">
            <w:pPr>
              <w:spacing w:before="65" w:line="300" w:lineRule="exact"/>
              <w:jc w:val="center"/>
              <w:rPr>
                <w:rFonts w:ascii="宋体" w:hAnsi="宋体" w:eastAsia="宋体" w:cs="宋体"/>
                <w:b/>
                <w:bCs/>
              </w:rPr>
            </w:pPr>
            <w:r>
              <w:rPr>
                <w:rFonts w:hint="eastAsia" w:ascii="宋体" w:hAnsi="宋体" w:eastAsia="宋体" w:cs="宋体"/>
                <w:b/>
                <w:bCs/>
                <w:spacing w:val="5"/>
              </w:rPr>
              <w:t>序号</w:t>
            </w:r>
          </w:p>
        </w:tc>
        <w:tc>
          <w:tcPr>
            <w:tcW w:w="5547" w:type="dxa"/>
            <w:vAlign w:val="center"/>
          </w:tcPr>
          <w:p w14:paraId="2A5AABAD">
            <w:pPr>
              <w:spacing w:before="65" w:line="300" w:lineRule="exact"/>
              <w:jc w:val="center"/>
              <w:rPr>
                <w:rFonts w:ascii="宋体" w:hAnsi="宋体" w:eastAsia="宋体" w:cs="宋体"/>
                <w:b/>
                <w:bCs/>
              </w:rPr>
            </w:pPr>
            <w:r>
              <w:rPr>
                <w:rFonts w:hint="eastAsia" w:ascii="宋体" w:hAnsi="宋体" w:eastAsia="宋体" w:cs="宋体"/>
                <w:b/>
                <w:bCs/>
                <w:spacing w:val="8"/>
              </w:rPr>
              <w:t>采购需求的要求</w:t>
            </w:r>
          </w:p>
        </w:tc>
        <w:tc>
          <w:tcPr>
            <w:tcW w:w="1425" w:type="dxa"/>
            <w:vAlign w:val="center"/>
          </w:tcPr>
          <w:p w14:paraId="43FB0302">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完全响应</w:t>
            </w:r>
          </w:p>
          <w:p w14:paraId="33305874">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或</w:t>
            </w:r>
          </w:p>
          <w:p w14:paraId="7C9B8E9B">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ascii="宋体" w:hAnsi="宋体" w:eastAsia="宋体" w:cs="宋体"/>
                <w:b/>
                <w:bCs/>
              </w:rPr>
            </w:pPr>
            <w:r>
              <w:rPr>
                <w:rFonts w:hint="eastAsia" w:ascii="宋体" w:hAnsi="宋体" w:eastAsia="宋体" w:cs="宋体"/>
                <w:b/>
                <w:bCs/>
                <w:spacing w:val="6"/>
              </w:rPr>
              <w:t>正/负偏离</w:t>
            </w:r>
          </w:p>
        </w:tc>
        <w:tc>
          <w:tcPr>
            <w:tcW w:w="978" w:type="dxa"/>
            <w:vAlign w:val="center"/>
          </w:tcPr>
          <w:p w14:paraId="05845206">
            <w:pPr>
              <w:spacing w:before="65" w:line="300" w:lineRule="exact"/>
              <w:jc w:val="center"/>
              <w:rPr>
                <w:rFonts w:hint="eastAsia" w:ascii="宋体" w:hAnsi="宋体" w:eastAsia="宋体" w:cs="宋体"/>
                <w:b/>
                <w:bCs/>
                <w:spacing w:val="7"/>
              </w:rPr>
            </w:pPr>
            <w:r>
              <w:rPr>
                <w:rFonts w:hint="eastAsia" w:ascii="宋体" w:hAnsi="宋体" w:eastAsia="宋体" w:cs="宋体"/>
                <w:b/>
                <w:bCs/>
                <w:spacing w:val="7"/>
              </w:rPr>
              <w:t>偏离</w:t>
            </w:r>
          </w:p>
          <w:p w14:paraId="62DEE52A">
            <w:pPr>
              <w:spacing w:before="65" w:line="300" w:lineRule="exact"/>
              <w:jc w:val="center"/>
              <w:rPr>
                <w:rFonts w:ascii="宋体" w:hAnsi="宋体" w:eastAsia="宋体" w:cs="宋体"/>
                <w:b/>
                <w:bCs/>
              </w:rPr>
            </w:pPr>
            <w:r>
              <w:rPr>
                <w:rFonts w:hint="eastAsia" w:ascii="宋体" w:hAnsi="宋体" w:eastAsia="宋体" w:cs="宋体"/>
                <w:b/>
                <w:bCs/>
                <w:spacing w:val="7"/>
              </w:rPr>
              <w:t>情况</w:t>
            </w:r>
          </w:p>
        </w:tc>
        <w:tc>
          <w:tcPr>
            <w:tcW w:w="1065" w:type="dxa"/>
            <w:vAlign w:val="center"/>
          </w:tcPr>
          <w:p w14:paraId="7173064F">
            <w:pPr>
              <w:spacing w:before="65" w:line="300" w:lineRule="exact"/>
              <w:jc w:val="center"/>
              <w:rPr>
                <w:rFonts w:hint="eastAsia" w:ascii="宋体" w:hAnsi="宋体" w:eastAsia="宋体" w:cs="宋体"/>
                <w:b/>
                <w:bCs/>
                <w:spacing w:val="7"/>
                <w:lang w:val="en-US" w:eastAsia="zh-CN"/>
              </w:rPr>
            </w:pPr>
            <w:r>
              <w:rPr>
                <w:rFonts w:hint="eastAsia" w:ascii="宋体" w:hAnsi="宋体" w:eastAsia="宋体" w:cs="宋体"/>
                <w:b/>
                <w:bCs/>
                <w:spacing w:val="7"/>
                <w:lang w:val="en-US" w:eastAsia="zh-CN"/>
              </w:rPr>
              <w:t>对应</w:t>
            </w:r>
          </w:p>
          <w:p w14:paraId="2272C3A4">
            <w:pPr>
              <w:spacing w:before="65" w:line="300" w:lineRule="exact"/>
              <w:jc w:val="center"/>
              <w:rPr>
                <w:rFonts w:hint="default" w:ascii="宋体" w:hAnsi="宋体" w:eastAsia="宋体" w:cs="宋体"/>
                <w:b/>
                <w:bCs/>
                <w:spacing w:val="7"/>
                <w:lang w:val="en-US" w:eastAsia="zh-CN"/>
              </w:rPr>
            </w:pPr>
            <w:r>
              <w:rPr>
                <w:rFonts w:hint="eastAsia" w:ascii="宋体" w:hAnsi="宋体" w:eastAsia="宋体" w:cs="宋体"/>
                <w:b/>
                <w:bCs/>
                <w:spacing w:val="7"/>
                <w:lang w:val="en-US" w:eastAsia="zh-CN"/>
              </w:rPr>
              <w:t>页码</w:t>
            </w:r>
          </w:p>
        </w:tc>
      </w:tr>
      <w:tr w14:paraId="0B8354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962" w:hRule="atLeast"/>
        </w:trPr>
        <w:tc>
          <w:tcPr>
            <w:tcW w:w="661" w:type="dxa"/>
            <w:vAlign w:val="center"/>
          </w:tcPr>
          <w:p w14:paraId="5F3B1345">
            <w:pPr>
              <w:spacing w:before="65" w:line="270" w:lineRule="exact"/>
              <w:jc w:val="center"/>
              <w:rPr>
                <w:rFonts w:ascii="宋体" w:hAnsi="宋体" w:eastAsia="宋体" w:cs="宋体"/>
              </w:rPr>
            </w:pPr>
            <w:r>
              <w:rPr>
                <w:rFonts w:hint="eastAsia" w:ascii="宋体" w:hAnsi="宋体" w:eastAsia="宋体" w:cs="宋体"/>
                <w:position w:val="1"/>
              </w:rPr>
              <w:t>1</w:t>
            </w:r>
          </w:p>
        </w:tc>
        <w:tc>
          <w:tcPr>
            <w:tcW w:w="5547" w:type="dxa"/>
          </w:tcPr>
          <w:p w14:paraId="4A735507">
            <w:pPr>
              <w:pStyle w:val="11"/>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总 则</w:t>
            </w:r>
          </w:p>
          <w:p w14:paraId="60ECEA4F">
            <w:pPr>
              <w:pStyle w:val="11"/>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1、《中山市东升医院电梯维护保养项目用户需求书》中凡有 “★” 标识的内容条款为实质性响应指标，报价人必须完全满足，不允许负偏离，存在负偏离的响应文件按无效响应处理。</w:t>
            </w:r>
          </w:p>
          <w:p w14:paraId="1FCB62A4">
            <w:pPr>
              <w:pStyle w:val="11"/>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2、响应供应商报价包括但不限于砝码租赁、运输、装卸、使用、保管、第三方检测（如需）等费用。无论由成交供应商自行实施或委托具备资质的第三方实施，均不得另行向采购人收取。</w:t>
            </w:r>
          </w:p>
          <w:p w14:paraId="6F8EED6B">
            <w:pPr>
              <w:pStyle w:val="11"/>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3、本项目不接受联合体投标。成交供应商不得将本项目主体、关键性维保工作分包或转包。限速器校验、125% 载荷试验、限速器</w:t>
            </w:r>
            <w:r>
              <w:rPr>
                <w:rFonts w:hint="eastAsia" w:ascii="宋体" w:hAnsi="宋体" w:eastAsia="宋体" w:cs="宋体"/>
                <w:sz w:val="20"/>
                <w:szCs w:val="20"/>
              </w:rPr>
              <w:noBreakHyphen/>
            </w:r>
            <w:r>
              <w:rPr>
                <w:rFonts w:hint="eastAsia" w:ascii="宋体" w:hAnsi="宋体" w:eastAsia="宋体" w:cs="宋体"/>
                <w:sz w:val="20"/>
                <w:szCs w:val="20"/>
              </w:rPr>
              <w:t>安全钳联动试验等国家规定需专项资质机构实施的检测项目，成交供应商可委托具备对应资质第三方实施，但必须提前取得采购人书面同意，成交供应商对该部分工作质量、安全承担全部法律与经济责任。</w:t>
            </w:r>
          </w:p>
          <w:p w14:paraId="502D1396">
            <w:pPr>
              <w:pStyle w:val="11"/>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rPr>
              <w:t>4、响应文件正本及全部副本，每页及骑缝处均须加盖供应商公章；副本可为正本复印件，但同样需要每页、骑缝加盖公章。未按要求签署盖章的响应文件作无效响应处理。</w:t>
            </w:r>
          </w:p>
        </w:tc>
        <w:tc>
          <w:tcPr>
            <w:tcW w:w="1425" w:type="dxa"/>
          </w:tcPr>
          <w:p w14:paraId="03ED26DE">
            <w:pPr>
              <w:pStyle w:val="21"/>
              <w:rPr>
                <w:rFonts w:ascii="宋体" w:hAnsi="宋体" w:eastAsia="宋体" w:cs="宋体"/>
                <w:lang w:eastAsia="zh-CN"/>
              </w:rPr>
            </w:pPr>
          </w:p>
        </w:tc>
        <w:tc>
          <w:tcPr>
            <w:tcW w:w="978" w:type="dxa"/>
          </w:tcPr>
          <w:p w14:paraId="314D7EEC">
            <w:pPr>
              <w:pStyle w:val="21"/>
              <w:rPr>
                <w:rFonts w:ascii="宋体" w:hAnsi="宋体" w:eastAsia="宋体" w:cs="宋体"/>
                <w:lang w:eastAsia="zh-CN"/>
              </w:rPr>
            </w:pPr>
          </w:p>
        </w:tc>
        <w:tc>
          <w:tcPr>
            <w:tcW w:w="1065" w:type="dxa"/>
          </w:tcPr>
          <w:p w14:paraId="0A9D39B5">
            <w:pPr>
              <w:pStyle w:val="21"/>
              <w:rPr>
                <w:rFonts w:ascii="宋体" w:hAnsi="宋体" w:eastAsia="宋体" w:cs="宋体"/>
                <w:lang w:eastAsia="zh-CN"/>
              </w:rPr>
            </w:pPr>
          </w:p>
        </w:tc>
      </w:tr>
      <w:tr w14:paraId="140536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537" w:hRule="atLeast"/>
        </w:trPr>
        <w:tc>
          <w:tcPr>
            <w:tcW w:w="661" w:type="dxa"/>
            <w:vAlign w:val="center"/>
          </w:tcPr>
          <w:p w14:paraId="6B8C066E">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2</w:t>
            </w:r>
          </w:p>
        </w:tc>
        <w:tc>
          <w:tcPr>
            <w:tcW w:w="5547" w:type="dxa"/>
          </w:tcPr>
          <w:p w14:paraId="5D814CE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供应商资质要求</w:t>
            </w:r>
          </w:p>
          <w:p w14:paraId="2B3A963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1、具有独立承担民事责任能力，中华人民共和国境内注册法人 / 其他组织；投标时提供有效营业执照副本复印件。分支机构参与投标的，须同时提供总公司、分公司营业执照以及总公司出具的针对本项目投标的正式授权文件。</w:t>
            </w:r>
          </w:p>
          <w:p w14:paraId="01ED935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2、信用要求（依据财库〔2016〕125 号）：供应商未被列入 “信用中国” 失信被执行人、重大税收违法失信主体、政府采购严重违法失信主体；不在中国政府采购网政府采购严重违法失信行为记录禁止参与采购活动期限内。以响应截止当日现场查询结果为准；失信记录已失效的，供应商须提供充分证明材料。</w:t>
            </w:r>
          </w:p>
          <w:p w14:paraId="4A87E17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3、单位负责人为同一人或者存在直接控股、管理关系的不同供应商，不得同时参与本项目响应。</w:t>
            </w:r>
          </w:p>
          <w:p w14:paraId="0AE0B12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★4、响应供应商须具备以下条件之一： ①持有市场监管部门核发有效的旧版《中华人民共和国特种设备安装改造修理许可证》B 级及以上； ②持有有效的新版《中华人民共和国特种设备生产许可证》。许可项目：电梯安装（含修理），许可子项目覆盖本项目全部曳引驱动乘客电梯，许可参数覆盖本项目所有电梯额定速度、额定载重量。 投标时提供资质证书扫描件或复印件。</w:t>
            </w:r>
          </w:p>
          <w:p w14:paraId="299E92B4">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5、供应商承诺：本项目拟派驻作业人员持有有效的特种设备作业人员证（电梯修理 T）。</w:t>
            </w:r>
          </w:p>
        </w:tc>
        <w:tc>
          <w:tcPr>
            <w:tcW w:w="1425" w:type="dxa"/>
          </w:tcPr>
          <w:p w14:paraId="69CF45F5">
            <w:pPr>
              <w:pStyle w:val="21"/>
              <w:rPr>
                <w:rFonts w:ascii="宋体" w:hAnsi="宋体" w:eastAsia="宋体" w:cs="宋体"/>
                <w:lang w:eastAsia="zh-CN"/>
              </w:rPr>
            </w:pPr>
          </w:p>
        </w:tc>
        <w:tc>
          <w:tcPr>
            <w:tcW w:w="978" w:type="dxa"/>
          </w:tcPr>
          <w:p w14:paraId="4B1E84E1">
            <w:pPr>
              <w:pStyle w:val="21"/>
              <w:rPr>
                <w:rFonts w:ascii="宋体" w:hAnsi="宋体" w:eastAsia="宋体" w:cs="宋体"/>
                <w:lang w:eastAsia="zh-CN"/>
              </w:rPr>
            </w:pPr>
          </w:p>
        </w:tc>
        <w:tc>
          <w:tcPr>
            <w:tcW w:w="1065" w:type="dxa"/>
          </w:tcPr>
          <w:p w14:paraId="050D5957">
            <w:pPr>
              <w:pStyle w:val="21"/>
              <w:rPr>
                <w:rFonts w:ascii="宋体" w:hAnsi="宋体" w:eastAsia="宋体" w:cs="宋体"/>
                <w:lang w:eastAsia="zh-CN"/>
              </w:rPr>
            </w:pPr>
          </w:p>
        </w:tc>
      </w:tr>
      <w:tr w14:paraId="7C20B9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650" w:hRule="atLeast"/>
        </w:trPr>
        <w:tc>
          <w:tcPr>
            <w:tcW w:w="661" w:type="dxa"/>
            <w:vAlign w:val="center"/>
          </w:tcPr>
          <w:p w14:paraId="002DA8E4">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3</w:t>
            </w:r>
          </w:p>
        </w:tc>
        <w:tc>
          <w:tcPr>
            <w:tcW w:w="5547" w:type="dxa"/>
          </w:tcPr>
          <w:p w14:paraId="4292771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报价要求</w:t>
            </w:r>
          </w:p>
          <w:p w14:paraId="37CD1FD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1、响应供应商报价包含全部服务、配套、税费、运输、保险、仓储、拆装、培训、资料归档等全部费用。项目实施中发生报价漏项，全部由成交供应商承担，采购人不再另行付费。</w:t>
            </w:r>
          </w:p>
          <w:p w14:paraId="3CD111BD">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▲2、响应供应商对全部 8 台电梯统一报年度维保总价；同时针对附表二《电梯维修配件清单》内全部配件，以清单 “单价上限” 为基准，报统一的配件单价下浮率。结算配件单价 = 清单单价上限 ×（1</w:t>
            </w:r>
            <w:r>
              <w:rPr>
                <w:rFonts w:hint="eastAsia" w:ascii="宋体" w:hAnsi="宋体" w:eastAsia="宋体" w:cs="宋体"/>
                <w:sz w:val="20"/>
                <w:szCs w:val="20"/>
                <w:lang w:eastAsia="zh-CN"/>
              </w:rPr>
              <w:noBreakHyphen/>
            </w:r>
            <w:r>
              <w:rPr>
                <w:rFonts w:hint="eastAsia" w:ascii="宋体" w:hAnsi="宋体" w:eastAsia="宋体" w:cs="宋体"/>
                <w:sz w:val="20"/>
                <w:szCs w:val="20"/>
                <w:lang w:eastAsia="zh-CN"/>
              </w:rPr>
              <w:t>下浮率）。</w:t>
            </w:r>
          </w:p>
        </w:tc>
        <w:tc>
          <w:tcPr>
            <w:tcW w:w="1425" w:type="dxa"/>
          </w:tcPr>
          <w:p w14:paraId="50520806">
            <w:pPr>
              <w:pStyle w:val="21"/>
              <w:rPr>
                <w:rFonts w:ascii="宋体" w:hAnsi="宋体" w:eastAsia="宋体" w:cs="宋体"/>
                <w:lang w:eastAsia="zh-CN"/>
              </w:rPr>
            </w:pPr>
          </w:p>
        </w:tc>
        <w:tc>
          <w:tcPr>
            <w:tcW w:w="978" w:type="dxa"/>
          </w:tcPr>
          <w:p w14:paraId="27AC7BB1">
            <w:pPr>
              <w:pStyle w:val="21"/>
              <w:rPr>
                <w:rFonts w:ascii="宋体" w:hAnsi="宋体" w:eastAsia="宋体" w:cs="宋体"/>
                <w:lang w:eastAsia="zh-CN"/>
              </w:rPr>
            </w:pPr>
          </w:p>
        </w:tc>
        <w:tc>
          <w:tcPr>
            <w:tcW w:w="1065" w:type="dxa"/>
          </w:tcPr>
          <w:p w14:paraId="714423AC">
            <w:pPr>
              <w:pStyle w:val="21"/>
              <w:rPr>
                <w:rFonts w:ascii="宋体" w:hAnsi="宋体" w:eastAsia="宋体" w:cs="宋体"/>
                <w:lang w:eastAsia="zh-CN"/>
              </w:rPr>
            </w:pPr>
          </w:p>
        </w:tc>
      </w:tr>
      <w:tr w14:paraId="18DFE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10" w:hRule="atLeast"/>
        </w:trPr>
        <w:tc>
          <w:tcPr>
            <w:tcW w:w="661" w:type="dxa"/>
            <w:vAlign w:val="center"/>
          </w:tcPr>
          <w:p w14:paraId="71310ABA">
            <w:pPr>
              <w:spacing w:before="65"/>
              <w:jc w:val="center"/>
              <w:rPr>
                <w:rFonts w:ascii="宋体" w:hAnsi="宋体" w:eastAsia="宋体" w:cs="宋体"/>
                <w:position w:val="1"/>
                <w:lang w:eastAsia="zh-CN"/>
              </w:rPr>
            </w:pPr>
            <w:r>
              <w:rPr>
                <w:rFonts w:hint="eastAsia" w:ascii="宋体" w:hAnsi="宋体" w:eastAsia="宋体" w:cs="宋体"/>
                <w:position w:val="1"/>
                <w:lang w:eastAsia="zh-CN"/>
              </w:rPr>
              <w:t>4</w:t>
            </w:r>
          </w:p>
        </w:tc>
        <w:tc>
          <w:tcPr>
            <w:tcW w:w="5547" w:type="dxa"/>
          </w:tcPr>
          <w:p w14:paraId="02FCABA3">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服务内容</w:t>
            </w:r>
          </w:p>
          <w:p w14:paraId="117D7E87">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★1、成交供应商须严格按照《特种设备安全法》、TSG T5002</w:t>
            </w:r>
            <w:r>
              <w:rPr>
                <w:rFonts w:hint="default" w:ascii="宋体" w:hAnsi="宋体" w:eastAsia="宋体" w:cs="宋体"/>
                <w:sz w:val="20"/>
                <w:szCs w:val="20"/>
                <w:lang w:val="en-US" w:eastAsia="zh-CN"/>
              </w:rPr>
              <w:noBreakHyphen/>
            </w:r>
            <w:r>
              <w:rPr>
                <w:rFonts w:hint="default" w:ascii="宋体" w:hAnsi="宋体" w:eastAsia="宋体" w:cs="宋体"/>
                <w:sz w:val="20"/>
                <w:szCs w:val="20"/>
                <w:lang w:val="en-US" w:eastAsia="zh-CN"/>
              </w:rPr>
              <w:t>2017《电梯维护保养规则》及国家、省市市场监管部门相关规范开展维保、维修；配置持有效特种设备作业证的专业技术人员，落实维保、故障处置、应急救援。</w:t>
            </w:r>
          </w:p>
          <w:p w14:paraId="6A81F044">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★2、维保受理24 小时全年 365 天（含节假日）；提供保持全天候畅通的 24 小时报修专线。在接到招标人报障通知后,维修人员在30分钟内必须到场处理；在接到招标人电梯困人通知后,维修人员在15分钟内必须到场处理。到达现场后在安全前提下实施解困。派驻维保人员须具备不少于三年电梯维保从业经验，按监管部门要求开展巡查并完整留存记录。</w:t>
            </w:r>
          </w:p>
          <w:p w14:paraId="0A5AB123">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3、附表二范围内配件由成交供应商供货并负责拆装更换，不得另行收取配件拆装人工费、工时费。若设备停产、配件无法采购或设备严重老化多次维修仍无法安全使用，须经采购人评估同意后方可启动报废或整机更换流程。曳引机、主机轴承、钢丝绳、层门、轿厢等重大部件大修、电梯附加设备安装，不属于常规维保范围，由成交供应商另行出具大修报价，经采购人审批后实施。不合格需整改复检的，全部费用（含砝码使用费）由成交供应商承担。</w:t>
            </w:r>
          </w:p>
          <w:p w14:paraId="388B8D6D">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4、成交供应商建立完善电梯维保管理制度、操作规程、安全生产制度、危险品管理、突发事件应急预案，报采购人确认后执行。</w:t>
            </w:r>
          </w:p>
          <w:p w14:paraId="5C55A8CB">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5、故障处置严格执行《安全生产法》及特种设备安全规范；因成交供应商违规作业造成损失，由成交供应商承担全部责任。</w:t>
            </w:r>
          </w:p>
          <w:p w14:paraId="08B87437">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6、日常维保：每 15 日至少开展一次半月维保；维保作业现场设置安全警示防护；维保完成提交维保记录，经采购人安全管理人员签字确认归档，保障电梯安全运行。</w:t>
            </w:r>
          </w:p>
          <w:p w14:paraId="795C4F88">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★7、按规范组织电梯困人应急救援演练，每年不少于 2 次（每半年至少 1 次）；面向医院开展电梯安全使用宣讲培训，留存演练、培训记录。</w:t>
            </w:r>
          </w:p>
          <w:p w14:paraId="3AA5A9FF">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★8、所有现场维保作业人员须持有有效的《特种设备作业人员证（电梯修理 T）》，证书在有效期。</w:t>
            </w:r>
          </w:p>
          <w:p w14:paraId="4FD80AAB">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9、每月提交维保计划，经采购人审核后执行；维保、维修作业须提前报备，尽量降低对医院诊疗秩序影响。每半个月向采购人提交书面运行报告，内容包含电梯运行状态、隐患防控、零部件损耗更换、故障记录、困人事件总结等。</w:t>
            </w:r>
          </w:p>
          <w:p w14:paraId="42A86D20">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10、妥善保管全套电梯技术图纸档案；合同到期或终止时完整移交采购人。</w:t>
            </w:r>
          </w:p>
          <w:p w14:paraId="215DBA19">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11、全部维保、维修技术资料，须向采购人提交副本存档。</w:t>
            </w:r>
          </w:p>
          <w:p w14:paraId="2E92618A">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12、因成交供应商服务态度、维保质量引发有效投诉，采购人有权发出书面整改通知，成交供应商限期完成整改。</w:t>
            </w:r>
          </w:p>
          <w:p w14:paraId="5C18D082">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13、采购人可对照维保计划开展不定期抽查；发现未按合同履约，采购人有权依据合同追究成交供应商违约责任。</w:t>
            </w:r>
          </w:p>
          <w:p w14:paraId="5F642346">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14、发生困梯事件，成交供应商须在事件处置完毕后 1 小时内向采购人提交完整书面困梯报告，报告至少包含：</w:t>
            </w:r>
          </w:p>
          <w:p w14:paraId="15F8EB07">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（1）困梯内容：被困人数、人员情况、被困楼层、轿厢通风照明、有无受伤；</w:t>
            </w:r>
          </w:p>
          <w:p w14:paraId="0F5F36F6">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 xml:space="preserve">（2）困梯前状态：异常声响振动异味、最近维保记录、当时使用场景； </w:t>
            </w:r>
          </w:p>
          <w:p w14:paraId="45546641">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（3）困梯处置过程：报警时间、接报时间、人员情绪身体状态；</w:t>
            </w:r>
          </w:p>
          <w:p w14:paraId="64EA31B2">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（4）处置后情况：解救完成时间、人员身体情况、电梯后续运行状态；</w:t>
            </w:r>
          </w:p>
          <w:p w14:paraId="03EAEFDF">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（5）原因分析：区分设备故障、人为、环境因素，明确直接、间接原因，附排查依据。</w:t>
            </w:r>
          </w:p>
          <w:p w14:paraId="3B3D7C3A">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15、困梯后排查处置（按自然年度单台电梯统计）</w:t>
            </w:r>
          </w:p>
          <w:p w14:paraId="1ADA9843">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（1）同年度首次困梯：解困完成 4 小时内，不少于 2 名持证技术人员对该台电梯开展全面排查（机械、电气、门系统、安全部件），出具书面排查报告，列明隐患及整改措施，整改期限最长不超过 3 日历天。</w:t>
            </w:r>
          </w:p>
          <w:p w14:paraId="28DB7043">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（2）同年度该电梯再次发生困梯：除提交困梯报告外，2 小时内向采购人提交书面说明，分析上次整改不到位原因；开展深度扩大范围排查检修，提交排查检修报告与整改方案，整改期限最长不超过 3 日历天。</w:t>
            </w:r>
          </w:p>
        </w:tc>
        <w:tc>
          <w:tcPr>
            <w:tcW w:w="1425" w:type="dxa"/>
          </w:tcPr>
          <w:p w14:paraId="1976FE37">
            <w:pPr>
              <w:pStyle w:val="21"/>
              <w:rPr>
                <w:rFonts w:ascii="宋体" w:hAnsi="宋体" w:eastAsia="宋体" w:cs="宋体"/>
                <w:lang w:eastAsia="zh-CN"/>
              </w:rPr>
            </w:pPr>
          </w:p>
        </w:tc>
        <w:tc>
          <w:tcPr>
            <w:tcW w:w="978" w:type="dxa"/>
          </w:tcPr>
          <w:p w14:paraId="23D2CAC8">
            <w:pPr>
              <w:pStyle w:val="21"/>
              <w:rPr>
                <w:rFonts w:ascii="宋体" w:hAnsi="宋体" w:eastAsia="宋体" w:cs="宋体"/>
                <w:lang w:eastAsia="zh-CN"/>
              </w:rPr>
            </w:pPr>
          </w:p>
        </w:tc>
        <w:tc>
          <w:tcPr>
            <w:tcW w:w="1065" w:type="dxa"/>
          </w:tcPr>
          <w:p w14:paraId="6941F157">
            <w:pPr>
              <w:pStyle w:val="21"/>
              <w:rPr>
                <w:rFonts w:ascii="宋体" w:hAnsi="宋体" w:eastAsia="宋体" w:cs="宋体"/>
                <w:lang w:eastAsia="zh-CN"/>
              </w:rPr>
            </w:pPr>
          </w:p>
        </w:tc>
      </w:tr>
      <w:tr w14:paraId="1E1832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90" w:hRule="atLeast"/>
        </w:trPr>
        <w:tc>
          <w:tcPr>
            <w:tcW w:w="661" w:type="dxa"/>
            <w:vAlign w:val="center"/>
          </w:tcPr>
          <w:p w14:paraId="2322AC9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5</w:t>
            </w:r>
          </w:p>
        </w:tc>
        <w:tc>
          <w:tcPr>
            <w:tcW w:w="5547" w:type="dxa"/>
          </w:tcPr>
          <w:p w14:paraId="108DAE3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工作质量要求及服务质量监管</w:t>
            </w:r>
          </w:p>
          <w:p w14:paraId="498EF46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1、成交供应商配置固定持证维保人员驻场为本项目服务，将公司资质、作业人员证书复印件提交采购人存档。遇到现场人员无法处置故障，成交供应商须提供技术及设备支持。</w:t>
            </w:r>
          </w:p>
          <w:p w14:paraId="12534BF2">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2、保障维保人员稳定性；拟派驻维保人员如需更换，成交供应商提交书面申请，经采购人书面同意后方可更换，更换不得影响维保工作开展。</w:t>
            </w:r>
          </w:p>
          <w:p w14:paraId="3933E67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3、采购人有事实依据证明维保人员不能胜任岗位，可书面通知成交供应商换人；成交供应商收到通知 7 日历天内更换合格持证人员到位。逾期未更换或更换人员仍不合格，采购人有权计收合同违约金，在当季度服务费中扣减。第一次计违约金 2000 元；第二次计违约金 5000 元；第三次采购人有权单方终止合同，违约金累计不超过对应季度维保服务费总额。</w:t>
            </w:r>
          </w:p>
          <w:p w14:paraId="782CC316">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4、通过计划巡查、维保检修，及时更换磨损零部件，预防故障、降低困梯风险，消除安全隐患。</w:t>
            </w:r>
          </w:p>
          <w:p w14:paraId="4A2EE88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5、成交供应商承担电梯每年法定定期检验的检验费用；因维保不到位造成年检不合格，全部复检费用由成交供应商承担。年检前开展全面预检，提醒采购人电梯使用登记证、保险到期时间；落实检验机构整改意见，书面报送采购人，配合检验机构现场检验，确保电梯检验合格取得使用标志。</w:t>
            </w:r>
          </w:p>
          <w:p w14:paraId="08861C9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6、维保人员服务态度、效率、质量须满足二甲医院后勤安全管理相关要求。</w:t>
            </w:r>
          </w:p>
          <w:p w14:paraId="07F80DE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7、故障报修，维保支援人员须 30 分钟到达现场，现场做好安全围蔽防护。</w:t>
            </w:r>
          </w:p>
          <w:p w14:paraId="01AA37C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8、建立完整电梯设备档案，记录运行、故障、维修数据。</w:t>
            </w:r>
          </w:p>
          <w:p w14:paraId="21081A6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9、困人解困操作严格执行国家规范及采购人电梯应急处置预案。</w:t>
            </w:r>
          </w:p>
          <w:p w14:paraId="4B9F0F0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10、采购人按月开展服务质量考核（详见附表一《电梯维护保养工作质量考评表》），考核结果与季度结算服务费挂钩；成交供应商须配合考核，不得拒绝阻挠。</w:t>
            </w:r>
          </w:p>
          <w:p w14:paraId="256782F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11、考评总分 100 分。 ≥90 分：合格； 80</w:t>
            </w:r>
            <w:r>
              <w:rPr>
                <w:rFonts w:hint="eastAsia" w:ascii="宋体" w:hAnsi="宋体" w:eastAsia="宋体" w:cs="宋体"/>
                <w:sz w:val="20"/>
                <w:szCs w:val="20"/>
                <w:lang w:eastAsia="zh-CN"/>
              </w:rPr>
              <w:noBreakHyphen/>
            </w:r>
            <w:r>
              <w:rPr>
                <w:rFonts w:hint="eastAsia" w:ascii="宋体" w:hAnsi="宋体" w:eastAsia="宋体" w:cs="宋体"/>
                <w:sz w:val="20"/>
                <w:szCs w:val="20"/>
                <w:lang w:eastAsia="zh-CN"/>
              </w:rPr>
              <w:t>89 分：成交供应商限期整改；同一类型故障、同一台电梯同一部位重复发生两次及以上，按100 元 / 分计收违约金； ＜80 分：按200 元 / 分计收违约金； 若连续两个月考核得分低于 75 分，或因成交供应商责任发生安全责任事故造成严重后果，采购人有权单方提前终止合同，并依法追究成交供应商责任。违约金均在当季度应付服务费中扣减，累计扣减总额不超过当季度服务费。</w:t>
            </w:r>
          </w:p>
          <w:p w14:paraId="337B2A33">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12、查实维保弄虚作假（虚假维保记录、未实际维保），采购人按如下计收违约金：第一次 500 元；第二次 1000 元；第三次 1500 元，以此类推。违约金在当季度服务费扣减，累计不超过当季度服务费。</w:t>
            </w:r>
          </w:p>
        </w:tc>
        <w:tc>
          <w:tcPr>
            <w:tcW w:w="1425" w:type="dxa"/>
          </w:tcPr>
          <w:p w14:paraId="556D3F97">
            <w:pPr>
              <w:pStyle w:val="21"/>
              <w:rPr>
                <w:rFonts w:ascii="宋体" w:hAnsi="宋体" w:eastAsia="宋体" w:cs="宋体"/>
                <w:lang w:eastAsia="zh-CN"/>
              </w:rPr>
            </w:pPr>
          </w:p>
        </w:tc>
        <w:tc>
          <w:tcPr>
            <w:tcW w:w="978" w:type="dxa"/>
          </w:tcPr>
          <w:p w14:paraId="59D2077F">
            <w:pPr>
              <w:pStyle w:val="21"/>
              <w:rPr>
                <w:rFonts w:ascii="宋体" w:hAnsi="宋体" w:eastAsia="宋体" w:cs="宋体"/>
                <w:lang w:eastAsia="zh-CN"/>
              </w:rPr>
            </w:pPr>
          </w:p>
        </w:tc>
        <w:tc>
          <w:tcPr>
            <w:tcW w:w="1065" w:type="dxa"/>
          </w:tcPr>
          <w:p w14:paraId="788F44CC">
            <w:pPr>
              <w:pStyle w:val="21"/>
              <w:rPr>
                <w:rFonts w:ascii="宋体" w:hAnsi="宋体" w:eastAsia="宋体" w:cs="宋体"/>
                <w:lang w:eastAsia="zh-CN"/>
              </w:rPr>
            </w:pPr>
          </w:p>
        </w:tc>
      </w:tr>
      <w:tr w14:paraId="2CDD09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266" w:hRule="atLeast"/>
        </w:trPr>
        <w:tc>
          <w:tcPr>
            <w:tcW w:w="661" w:type="dxa"/>
            <w:vAlign w:val="center"/>
          </w:tcPr>
          <w:p w14:paraId="728B2294">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6</w:t>
            </w:r>
          </w:p>
        </w:tc>
        <w:tc>
          <w:tcPr>
            <w:tcW w:w="5547" w:type="dxa"/>
          </w:tcPr>
          <w:p w14:paraId="099B83BC">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责任及违约条款</w:t>
            </w:r>
          </w:p>
          <w:p w14:paraId="6023B339">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1、因成交供应商维保不当造成人身伤害、财产损失，由成交供应商承担全部赔偿责任；不可抗力除外。</w:t>
            </w:r>
          </w:p>
          <w:p w14:paraId="6142890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2、因维保原因导致电梯年检不合格，复检全部检测费用由成交供应商承担。</w:t>
            </w:r>
          </w:p>
          <w:p w14:paraId="753F75C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3、成交供应商负责己方工作人员人身安全、购买相关保险；工作人员安全责任由成交供应商全部承担，与采购人无关。</w:t>
            </w:r>
          </w:p>
          <w:p w14:paraId="287A1E5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★4、成交供应商为本项目全部电梯投保电梯责任保险、维保人员安全责任险；每次事故赔偿限额≥200 万元，累计赔偿限额≥500 万元；保险有效期完整覆盖合同服务期。保险保单须明确中山市东升医院纳入保险保障范围，因维保责任导致采购人损失纳入赔付对象。合同签订 7 个日历天内向采购人提交保单复印件备案；保险到期前 15 日完成续保并提交新保单。</w:t>
            </w:r>
          </w:p>
          <w:p w14:paraId="0475F151">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5、成交供应商须在珠三角地区设有固定维保服务机构，提供 24 小时报修联系电话。</w:t>
            </w:r>
          </w:p>
          <w:p w14:paraId="6E2252C8">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6、接到故障通知，维保人员未按约定 30 分钟内到场，每发生一次计违约金 100 元，于当季度服务费扣减。</w:t>
            </w:r>
          </w:p>
          <w:p w14:paraId="53938938">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7、接到困人报警，维保人员未按约定 15 分钟到场处置，每发生一次计违约金 300 元，于当季度服务费扣减。</w:t>
            </w:r>
          </w:p>
          <w:p w14:paraId="79DD9DC2">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8、未按规范每 15 日开展维保，发生超期维保，每台每一次计违约金 200 元，于当季度服务费扣减。</w:t>
            </w:r>
          </w:p>
          <w:p w14:paraId="6FF8667A">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9、因维保单位责任造成电梯逾期未检、检验不合格，除承担复检费用外，每台每次计违约金 200 元，于当季度服务费扣减。</w:t>
            </w:r>
          </w:p>
          <w:p w14:paraId="20DFB2EC">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 xml:space="preserve">10、困梯事件统计按单台电梯，自然年度为周期： </w:t>
            </w:r>
          </w:p>
          <w:p w14:paraId="3A6DC3DC">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 xml:space="preserve">（1）年度内单台电梯首次困梯：采购人出具书面整改警示；成交供应商收到警示 24 小时内提交书面整改承诺。 </w:t>
            </w:r>
          </w:p>
          <w:p w14:paraId="78DA1640">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（2）年度内同一台电梯第二次困梯：成交供应商向采购人支付合同违约金 1000 元，提交详细整改提升方案；采购人监督整改落实，整改不到位可继续追究违约责任直至终止合同。</w:t>
            </w:r>
          </w:p>
          <w:p w14:paraId="3E37B3C8">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 xml:space="preserve">（3）年度内同一台电梯第三次困梯：成交供应商向采购人支付合同违约金 2000 元；1 个工作日内向采购人提交该电梯临时停用申请，聘请采购人认可第三方机构开展全面检测评估（检测费由成交供应商承担），按评估结果实施维修改造，经双方及第三方验收合格后方可恢复运行；造成损失由成交供应商全额赔偿。 </w:t>
            </w:r>
          </w:p>
          <w:p w14:paraId="24F28AFF">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（4）年度同一台电梯发生第四次及以上困梯事件，每发生一次计违约金 4000 元；单季度累计违约金以该季度维保服务费上限；采购人同时有权扣减服务费、单方终止合同；造成重大损失、不良社会影响，成交供应商承担全部经济及法律赔偿责任。</w:t>
            </w:r>
          </w:p>
          <w:p w14:paraId="286CAED5">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11、上述全部违约金均在发生违约行为对应的当季度应付服务费中予以扣减，单季度累计扣减总额不超过该季度维保服务费。</w:t>
            </w:r>
          </w:p>
          <w:p w14:paraId="4EDF1BE2">
            <w:pPr>
              <w:widowControl w:val="0"/>
              <w:spacing w:line="240" w:lineRule="exact"/>
              <w:rPr>
                <w:rFonts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12、合同到期或提前终止，成交供应商配合完整移交全部技术档案、维保记录；在新维保单位接管前，成交供应商应继续提供应急故障处置服务，最长不超过 30 天，过渡期服务费用按原合同日单价×实际服务天数计算。</w:t>
            </w:r>
          </w:p>
        </w:tc>
        <w:tc>
          <w:tcPr>
            <w:tcW w:w="1425" w:type="dxa"/>
          </w:tcPr>
          <w:p w14:paraId="309C6D61">
            <w:pPr>
              <w:pStyle w:val="21"/>
              <w:rPr>
                <w:rFonts w:ascii="宋体" w:hAnsi="宋体" w:eastAsia="宋体" w:cs="宋体"/>
                <w:lang w:eastAsia="zh-CN"/>
              </w:rPr>
            </w:pPr>
          </w:p>
        </w:tc>
        <w:tc>
          <w:tcPr>
            <w:tcW w:w="978" w:type="dxa"/>
          </w:tcPr>
          <w:p w14:paraId="3DA9A9F7">
            <w:pPr>
              <w:pStyle w:val="21"/>
              <w:rPr>
                <w:rFonts w:ascii="宋体" w:hAnsi="宋体" w:eastAsia="宋体" w:cs="宋体"/>
                <w:lang w:eastAsia="zh-CN"/>
              </w:rPr>
            </w:pPr>
          </w:p>
        </w:tc>
        <w:tc>
          <w:tcPr>
            <w:tcW w:w="1065" w:type="dxa"/>
          </w:tcPr>
          <w:p w14:paraId="3217B854">
            <w:pPr>
              <w:pStyle w:val="21"/>
              <w:rPr>
                <w:rFonts w:ascii="宋体" w:hAnsi="宋体" w:eastAsia="宋体" w:cs="宋体"/>
                <w:lang w:eastAsia="zh-CN"/>
              </w:rPr>
            </w:pPr>
          </w:p>
        </w:tc>
      </w:tr>
      <w:tr w14:paraId="1286B2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054" w:hRule="atLeast"/>
        </w:trPr>
        <w:tc>
          <w:tcPr>
            <w:tcW w:w="661" w:type="dxa"/>
            <w:vAlign w:val="center"/>
          </w:tcPr>
          <w:p w14:paraId="78851C23">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7</w:t>
            </w:r>
          </w:p>
        </w:tc>
        <w:tc>
          <w:tcPr>
            <w:tcW w:w="5547" w:type="dxa"/>
          </w:tcPr>
          <w:p w14:paraId="3E7306A3">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付款方式</w:t>
            </w:r>
          </w:p>
          <w:p w14:paraId="75F8E313">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1、服务费按季度支付；按当季度考核结果、违约金扣减后实际应付金额结算。每季度初 15 日前采购人将上月考核结果反馈成交供应商；成交供应商如有异议，收到反馈 2 个工作日内提交书面异议，逾期视为认可考核结果。双方确认应付金额后，成交供应商开具合法有效增值税专用发票；采购人收到合规发票审核无误后，6个月内完成支付。</w:t>
            </w:r>
          </w:p>
          <w:p w14:paraId="70BEDC9C">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2、配件费用按附表二配件清单及投标下浮率，凭双方确认的配件更换确认单，按季度同步结算。</w:t>
            </w:r>
          </w:p>
          <w:p w14:paraId="24FA4991">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 xml:space="preserve">3、结算须提供资料： </w:t>
            </w:r>
          </w:p>
          <w:p w14:paraId="2DA1471B">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 xml:space="preserve">（1）合同； </w:t>
            </w:r>
          </w:p>
          <w:p w14:paraId="0EDEB0E8">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 xml:space="preserve">（2）成交供应商开具的增值税专用发票； </w:t>
            </w:r>
          </w:p>
          <w:p w14:paraId="3F61D47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（3）对应季度考核结果、配件更换确认资料。</w:t>
            </w:r>
          </w:p>
        </w:tc>
        <w:tc>
          <w:tcPr>
            <w:tcW w:w="1425" w:type="dxa"/>
          </w:tcPr>
          <w:p w14:paraId="63477C59">
            <w:pPr>
              <w:pStyle w:val="21"/>
              <w:rPr>
                <w:rFonts w:ascii="宋体" w:hAnsi="宋体" w:eastAsia="宋体" w:cs="宋体"/>
                <w:lang w:eastAsia="zh-CN"/>
              </w:rPr>
            </w:pPr>
          </w:p>
        </w:tc>
        <w:tc>
          <w:tcPr>
            <w:tcW w:w="978" w:type="dxa"/>
          </w:tcPr>
          <w:p w14:paraId="17855BC8">
            <w:pPr>
              <w:pStyle w:val="21"/>
              <w:rPr>
                <w:rFonts w:ascii="宋体" w:hAnsi="宋体" w:eastAsia="宋体" w:cs="宋体"/>
                <w:lang w:eastAsia="zh-CN"/>
              </w:rPr>
            </w:pPr>
          </w:p>
        </w:tc>
        <w:tc>
          <w:tcPr>
            <w:tcW w:w="1065" w:type="dxa"/>
          </w:tcPr>
          <w:p w14:paraId="6A11C7ED">
            <w:pPr>
              <w:pStyle w:val="21"/>
              <w:rPr>
                <w:rFonts w:ascii="宋体" w:hAnsi="宋体" w:eastAsia="宋体" w:cs="宋体"/>
                <w:lang w:eastAsia="zh-CN"/>
              </w:rPr>
            </w:pPr>
          </w:p>
        </w:tc>
      </w:tr>
    </w:tbl>
    <w:p w14:paraId="37718A46">
      <w:pPr>
        <w:pStyle w:val="12"/>
        <w:spacing w:line="360" w:lineRule="auto"/>
        <w:ind w:firstLine="0"/>
        <w:rPr>
          <w:rFonts w:hint="eastAsia" w:ascii="宋体" w:hAnsi="宋体" w:eastAsia="宋体" w:cs="宋体"/>
          <w:lang w:val="zh-TW" w:eastAsia="zh-TW"/>
        </w:rPr>
      </w:pPr>
    </w:p>
    <w:p w14:paraId="457DE2F7">
      <w:pPr>
        <w:pStyle w:val="12"/>
        <w:spacing w:line="360" w:lineRule="auto"/>
        <w:ind w:firstLine="0"/>
        <w:rPr>
          <w:rFonts w:hint="eastAsia" w:ascii="宋体" w:hAnsi="宋体" w:eastAsia="宋体" w:cs="宋体"/>
          <w:lang w:val="zh-TW" w:eastAsia="zh-TW"/>
        </w:rPr>
      </w:pPr>
    </w:p>
    <w:p w14:paraId="65C9DAD4">
      <w:pPr>
        <w:pStyle w:val="12"/>
        <w:spacing w:line="360" w:lineRule="auto"/>
        <w:ind w:firstLine="0"/>
        <w:rPr>
          <w:rFonts w:hint="eastAsia" w:ascii="宋体" w:hAnsi="宋体" w:eastAsia="宋体" w:cs="宋体"/>
          <w:lang w:val="zh-TW" w:eastAsia="zh-TW"/>
        </w:rPr>
      </w:pPr>
    </w:p>
    <w:p w14:paraId="683383F9">
      <w:pPr>
        <w:pStyle w:val="12"/>
        <w:spacing w:line="360" w:lineRule="auto"/>
        <w:ind w:firstLine="0"/>
        <w:rPr>
          <w:rFonts w:hint="eastAsia" w:ascii="宋体" w:hAnsi="宋体" w:eastAsia="宋体" w:cs="宋体"/>
          <w:lang w:val="zh-TW" w:eastAsia="zh-TW"/>
        </w:rPr>
      </w:pPr>
    </w:p>
    <w:p w14:paraId="5F9F44FE">
      <w:pPr>
        <w:pStyle w:val="17"/>
        <w:numPr>
          <w:ilvl w:val="0"/>
          <w:numId w:val="0"/>
        </w:numPr>
        <w:ind w:leftChars="0"/>
        <w:rPr>
          <w:rFonts w:hint="eastAsia" w:hAnsi="宋体" w:cs="宋体"/>
          <w:b/>
          <w:bCs/>
          <w:color w:val="auto"/>
          <w:kern w:val="2"/>
          <w:sz w:val="21"/>
          <w:szCs w:val="21"/>
          <w:lang w:val="en-US" w:eastAsia="zh-CN" w:bidi="ar-SA"/>
        </w:rPr>
      </w:pPr>
    </w:p>
    <w:p w14:paraId="683D3C9F">
      <w:pPr>
        <w:pStyle w:val="17"/>
        <w:numPr>
          <w:ilvl w:val="0"/>
          <w:numId w:val="0"/>
        </w:numPr>
        <w:ind w:leftChars="0"/>
        <w:rPr>
          <w:rFonts w:hint="eastAsia" w:hAnsi="宋体" w:cs="宋体"/>
          <w:b/>
          <w:bCs/>
          <w:color w:val="auto"/>
          <w:kern w:val="2"/>
          <w:sz w:val="21"/>
          <w:szCs w:val="21"/>
          <w:lang w:val="en-US" w:eastAsia="zh-CN" w:bidi="ar-SA"/>
        </w:rPr>
      </w:pPr>
    </w:p>
    <w:p w14:paraId="57B3868D">
      <w:pPr>
        <w:pStyle w:val="17"/>
        <w:numPr>
          <w:ilvl w:val="0"/>
          <w:numId w:val="0"/>
        </w:numPr>
        <w:ind w:leftChars="0"/>
        <w:rPr>
          <w:rStyle w:val="18"/>
          <w:rFonts w:hint="eastAsia" w:hAnsi="宋体" w:cs="宋体" w:asciiTheme="minorHAnsi"/>
          <w:b/>
          <w:bCs/>
          <w:color w:val="auto"/>
          <w:kern w:val="2"/>
          <w:sz w:val="21"/>
          <w:szCs w:val="21"/>
          <w:lang w:val="en-US" w:eastAsia="zh-CN"/>
        </w:rPr>
      </w:pPr>
      <w:r>
        <w:rPr>
          <w:rFonts w:hint="eastAsia" w:hAnsi="宋体" w:cs="宋体"/>
          <w:b/>
          <w:bCs/>
          <w:color w:val="auto"/>
          <w:kern w:val="2"/>
          <w:sz w:val="21"/>
          <w:szCs w:val="21"/>
          <w:lang w:val="en-US" w:eastAsia="zh-CN" w:bidi="ar-SA"/>
        </w:rPr>
        <w:t>七</w:t>
      </w:r>
      <w:r>
        <w:rPr>
          <w:rStyle w:val="18"/>
          <w:rFonts w:hint="eastAsia" w:hAnsi="宋体" w:cs="宋体" w:asciiTheme="minorHAnsi"/>
          <w:b/>
          <w:bCs/>
          <w:color w:val="auto"/>
          <w:kern w:val="2"/>
          <w:sz w:val="21"/>
          <w:szCs w:val="21"/>
          <w:lang w:val="en-US" w:eastAsia="zh-CN"/>
        </w:rPr>
        <w:t>、供应商认为需要提供的其他材料（如有）</w:t>
      </w:r>
    </w:p>
    <w:p w14:paraId="1EDCDE29">
      <w:pPr>
        <w:pStyle w:val="5"/>
        <w:spacing w:line="360" w:lineRule="auto"/>
        <w:jc w:val="center"/>
        <w:rPr>
          <w:rFonts w:hint="eastAsia" w:ascii="宋体" w:hAnsi="宋体" w:eastAsia="宋体" w:cs="宋体"/>
        </w:rPr>
      </w:pPr>
    </w:p>
    <w:p w14:paraId="10B18D41">
      <w:pPr>
        <w:pStyle w:val="5"/>
        <w:spacing w:line="360" w:lineRule="auto"/>
        <w:jc w:val="center"/>
        <w:rPr>
          <w:rFonts w:hint="eastAsia" w:ascii="宋体" w:hAnsi="宋体" w:eastAsia="宋体" w:cs="宋体"/>
        </w:rPr>
      </w:pPr>
    </w:p>
    <w:p w14:paraId="0CC13FA1">
      <w:pPr>
        <w:pStyle w:val="5"/>
        <w:spacing w:line="360" w:lineRule="auto"/>
        <w:jc w:val="center"/>
        <w:rPr>
          <w:rFonts w:hint="eastAsia" w:ascii="宋体" w:hAnsi="宋体" w:eastAsia="宋体" w:cs="宋体"/>
        </w:rPr>
      </w:pPr>
    </w:p>
    <w:p w14:paraId="04992075">
      <w:pPr>
        <w:spacing w:line="360" w:lineRule="auto"/>
        <w:rPr>
          <w:rFonts w:hint="eastAsia" w:ascii="宋体" w:hAnsi="宋体" w:eastAsia="宋体" w:cs="宋体"/>
        </w:rPr>
      </w:pPr>
    </w:p>
    <w:p w14:paraId="27598A96">
      <w:pPr>
        <w:spacing w:line="360" w:lineRule="auto"/>
        <w:rPr>
          <w:rFonts w:hint="eastAsia" w:ascii="宋体" w:hAnsi="宋体" w:eastAsia="宋体" w:cs="宋体"/>
        </w:rPr>
      </w:pPr>
    </w:p>
    <w:p w14:paraId="78DAAFD3">
      <w:pPr>
        <w:spacing w:line="360" w:lineRule="auto"/>
        <w:rPr>
          <w:rFonts w:hint="eastAsia" w:ascii="宋体" w:hAnsi="宋体" w:eastAsia="宋体" w:cs="宋体"/>
        </w:rPr>
      </w:pPr>
    </w:p>
    <w:p w14:paraId="3FFB3869">
      <w:pPr>
        <w:spacing w:line="360" w:lineRule="auto"/>
        <w:rPr>
          <w:rFonts w:hint="eastAsia" w:ascii="宋体" w:hAnsi="宋体" w:eastAsia="宋体" w:cs="宋体"/>
        </w:rPr>
      </w:pPr>
    </w:p>
    <w:p w14:paraId="1B20D38B">
      <w:pPr>
        <w:spacing w:line="360" w:lineRule="auto"/>
        <w:rPr>
          <w:rFonts w:hint="eastAsia" w:ascii="宋体" w:hAnsi="宋体" w:eastAsia="宋体" w:cs="宋体"/>
        </w:rPr>
      </w:pPr>
    </w:p>
    <w:p w14:paraId="5F660A43">
      <w:pPr>
        <w:spacing w:line="360" w:lineRule="auto"/>
        <w:rPr>
          <w:rFonts w:hint="eastAsia" w:ascii="宋体" w:hAnsi="宋体" w:eastAsia="宋体" w:cs="宋体"/>
        </w:rPr>
      </w:pPr>
    </w:p>
    <w:p w14:paraId="472752A9">
      <w:pPr>
        <w:spacing w:line="360" w:lineRule="auto"/>
        <w:rPr>
          <w:rFonts w:hint="eastAsia" w:ascii="宋体" w:hAnsi="宋体" w:eastAsia="宋体" w:cs="宋体"/>
        </w:rPr>
      </w:pPr>
    </w:p>
    <w:p w14:paraId="41783743">
      <w:pPr>
        <w:spacing w:line="360" w:lineRule="auto"/>
        <w:rPr>
          <w:rFonts w:hint="eastAsia" w:ascii="宋体" w:hAnsi="宋体" w:eastAsia="宋体" w:cs="宋体"/>
        </w:rPr>
      </w:pPr>
    </w:p>
    <w:p w14:paraId="434C33DA">
      <w:pPr>
        <w:spacing w:line="360" w:lineRule="auto"/>
        <w:rPr>
          <w:rFonts w:hint="eastAsia" w:ascii="宋体" w:hAnsi="宋体" w:eastAsia="宋体" w:cs="宋体"/>
        </w:rPr>
      </w:pPr>
    </w:p>
    <w:p w14:paraId="54452DDA">
      <w:pPr>
        <w:spacing w:line="360" w:lineRule="auto"/>
        <w:rPr>
          <w:rFonts w:hint="eastAsia" w:ascii="宋体" w:hAnsi="宋体" w:eastAsia="宋体" w:cs="宋体"/>
        </w:rPr>
      </w:pPr>
    </w:p>
    <w:p w14:paraId="6A9C187B">
      <w:pPr>
        <w:spacing w:line="360" w:lineRule="auto"/>
        <w:rPr>
          <w:rFonts w:hint="eastAsia" w:ascii="宋体" w:hAnsi="宋体" w:eastAsia="宋体" w:cs="宋体"/>
        </w:rPr>
      </w:pPr>
    </w:p>
    <w:p w14:paraId="6D54A704">
      <w:pPr>
        <w:spacing w:line="360" w:lineRule="auto"/>
        <w:rPr>
          <w:rFonts w:hint="eastAsia" w:ascii="宋体" w:hAnsi="宋体" w:eastAsia="宋体" w:cs="宋体"/>
        </w:rPr>
      </w:pPr>
    </w:p>
    <w:p w14:paraId="710BEBED">
      <w:pPr>
        <w:spacing w:line="360" w:lineRule="auto"/>
        <w:rPr>
          <w:rFonts w:hint="eastAsia" w:ascii="宋体" w:hAnsi="宋体" w:eastAsia="宋体" w:cs="宋体"/>
        </w:rPr>
      </w:pPr>
    </w:p>
    <w:p w14:paraId="40DE9FCA">
      <w:pPr>
        <w:spacing w:line="360" w:lineRule="auto"/>
        <w:rPr>
          <w:rFonts w:hint="eastAsia" w:ascii="宋体" w:hAnsi="宋体" w:eastAsia="宋体" w:cs="宋体"/>
        </w:rPr>
      </w:pPr>
    </w:p>
    <w:p w14:paraId="3F4DEF2F">
      <w:pPr>
        <w:spacing w:line="360" w:lineRule="auto"/>
        <w:rPr>
          <w:rFonts w:hint="eastAsia" w:ascii="宋体" w:hAnsi="宋体" w:eastAsia="宋体" w:cs="宋体"/>
        </w:rPr>
      </w:pPr>
    </w:p>
    <w:p w14:paraId="5E0D0DC2">
      <w:pPr>
        <w:spacing w:line="360" w:lineRule="auto"/>
        <w:rPr>
          <w:rFonts w:hint="eastAsia" w:ascii="宋体" w:hAnsi="宋体" w:eastAsia="宋体" w:cs="宋体"/>
        </w:rPr>
      </w:pPr>
    </w:p>
    <w:p w14:paraId="04C55060">
      <w:pPr>
        <w:spacing w:line="360" w:lineRule="auto"/>
        <w:rPr>
          <w:rFonts w:hint="eastAsia" w:ascii="宋体" w:hAnsi="宋体" w:eastAsia="宋体" w:cs="宋体"/>
        </w:rPr>
      </w:pPr>
    </w:p>
    <w:p w14:paraId="13078ED4">
      <w:pPr>
        <w:spacing w:line="360" w:lineRule="auto"/>
        <w:rPr>
          <w:rFonts w:hint="eastAsia" w:ascii="宋体" w:hAnsi="宋体" w:eastAsia="宋体" w:cs="宋体"/>
        </w:rPr>
      </w:pPr>
    </w:p>
    <w:p w14:paraId="341A08D7">
      <w:pPr>
        <w:spacing w:line="360" w:lineRule="auto"/>
        <w:rPr>
          <w:rFonts w:hint="eastAsia" w:ascii="宋体" w:hAnsi="宋体" w:eastAsia="宋体" w:cs="宋体"/>
        </w:rPr>
      </w:pPr>
    </w:p>
    <w:p w14:paraId="1039093C">
      <w:pPr>
        <w:spacing w:line="360" w:lineRule="auto"/>
        <w:rPr>
          <w:rFonts w:hint="eastAsia" w:ascii="宋体" w:hAnsi="宋体" w:eastAsia="宋体" w:cs="宋体"/>
        </w:rPr>
      </w:pPr>
    </w:p>
    <w:p w14:paraId="6CD43ACF">
      <w:pPr>
        <w:spacing w:line="360" w:lineRule="auto"/>
        <w:rPr>
          <w:rFonts w:hint="eastAsia" w:ascii="宋体" w:hAnsi="宋体" w:eastAsia="宋体" w:cs="宋体"/>
        </w:rPr>
      </w:pPr>
    </w:p>
    <w:p w14:paraId="0C6D6752">
      <w:pPr>
        <w:spacing w:line="360" w:lineRule="auto"/>
        <w:rPr>
          <w:rFonts w:hint="eastAsia" w:ascii="宋体" w:hAnsi="宋体" w:eastAsia="宋体" w:cs="宋体"/>
        </w:rPr>
      </w:pPr>
    </w:p>
    <w:p w14:paraId="585D4359">
      <w:pPr>
        <w:spacing w:line="360" w:lineRule="auto"/>
        <w:jc w:val="left"/>
        <w:rPr>
          <w:rFonts w:hint="default" w:ascii="宋体" w:hAnsi="宋体" w:eastAsia="宋体" w:cs="宋体"/>
          <w:sz w:val="24"/>
          <w:szCs w:val="24"/>
          <w:u w:val="none"/>
          <w:lang w:val="en-US" w:eastAsia="zh-CN"/>
        </w:rPr>
      </w:pPr>
    </w:p>
    <w:sectPr>
      <w:headerReference r:id="rId4" w:type="default"/>
      <w:pgSz w:w="11906" w:h="16838"/>
      <w:pgMar w:top="1157" w:right="1800" w:bottom="1157"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BF5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EF5E58"/>
    <w:multiLevelType w:val="singleLevel"/>
    <w:tmpl w:val="6FEF5E58"/>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94D472E"/>
    <w:rsid w:val="0CA21D1B"/>
    <w:rsid w:val="187F3307"/>
    <w:rsid w:val="1E840AC7"/>
    <w:rsid w:val="20E33B6F"/>
    <w:rsid w:val="20FE31B4"/>
    <w:rsid w:val="28DF6635"/>
    <w:rsid w:val="2A417081"/>
    <w:rsid w:val="2DA35FBA"/>
    <w:rsid w:val="335464C2"/>
    <w:rsid w:val="336E7A0B"/>
    <w:rsid w:val="36E33B5E"/>
    <w:rsid w:val="3824441B"/>
    <w:rsid w:val="3E6B5D05"/>
    <w:rsid w:val="490E789E"/>
    <w:rsid w:val="490F4F35"/>
    <w:rsid w:val="4B7A033A"/>
    <w:rsid w:val="4C551B83"/>
    <w:rsid w:val="53BC3594"/>
    <w:rsid w:val="602E5C55"/>
    <w:rsid w:val="6051490F"/>
    <w:rsid w:val="612D28B6"/>
    <w:rsid w:val="6B4C6025"/>
    <w:rsid w:val="6BB6035B"/>
    <w:rsid w:val="6C561999"/>
    <w:rsid w:val="70922C0A"/>
    <w:rsid w:val="72D245E7"/>
    <w:rsid w:val="76BE71B6"/>
    <w:rsid w:val="79D14349"/>
    <w:rsid w:val="7B8E386D"/>
    <w:rsid w:val="7C270BB8"/>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6">
    <w:name w:val="Default Paragraph Font"/>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customStyle="1" w:styleId="2">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4">
    <w:name w:val="Normal Indent"/>
    <w:basedOn w:val="1"/>
    <w:qFormat/>
    <w:uiPriority w:val="0"/>
    <w:pPr>
      <w:spacing w:line="360" w:lineRule="auto"/>
      <w:ind w:firstLine="420"/>
    </w:pPr>
    <w:rPr>
      <w:rFonts w:ascii="宋体"/>
    </w:rPr>
  </w:style>
  <w:style w:type="paragraph" w:styleId="5">
    <w:name w:val="Body Text"/>
    <w:basedOn w:val="1"/>
    <w:autoRedefine/>
    <w:qFormat/>
    <w:uiPriority w:val="99"/>
    <w:pPr>
      <w:spacing w:after="120"/>
    </w:pPr>
  </w:style>
  <w:style w:type="paragraph" w:styleId="6">
    <w:name w:val="Body Text Indent"/>
    <w:basedOn w:val="1"/>
    <w:qFormat/>
    <w:uiPriority w:val="0"/>
    <w:pPr>
      <w:widowControl w:val="0"/>
      <w:spacing w:line="360" w:lineRule="auto"/>
      <w:ind w:left="608" w:hanging="608"/>
      <w:jc w:val="both"/>
    </w:pPr>
    <w:rPr>
      <w:rFonts w:ascii="宋体"/>
      <w:sz w:val="28"/>
    </w:rPr>
  </w:style>
  <w:style w:type="paragraph" w:styleId="7">
    <w:name w:val="toc 5"/>
    <w:basedOn w:val="1"/>
    <w:next w:val="1"/>
    <w:autoRedefine/>
    <w:qFormat/>
    <w:uiPriority w:val="0"/>
    <w:pPr>
      <w:ind w:left="840"/>
      <w:jc w:val="left"/>
    </w:pPr>
    <w:rPr>
      <w:rFonts w:ascii="Calibri" w:hAnsi="Calibri"/>
      <w:sz w:val="18"/>
      <w:szCs w:val="18"/>
    </w:rPr>
  </w:style>
  <w:style w:type="paragraph" w:styleId="8">
    <w:name w:val="Body Text Indent 2"/>
    <w:basedOn w:val="1"/>
    <w:link w:val="18"/>
    <w:autoRedefine/>
    <w:qFormat/>
    <w:uiPriority w:val="0"/>
    <w:pPr>
      <w:spacing w:after="120" w:line="480" w:lineRule="auto"/>
      <w:ind w:left="420" w:leftChars="200"/>
    </w:pPr>
    <w:rPr>
      <w:szCs w:val="20"/>
    </w:rPr>
  </w:style>
  <w:style w:type="paragraph" w:styleId="9">
    <w:name w:val="footer"/>
    <w:basedOn w:val="1"/>
    <w:qFormat/>
    <w:uiPriority w:val="99"/>
    <w:pPr>
      <w:tabs>
        <w:tab w:val="center" w:pos="4153"/>
        <w:tab w:val="right" w:pos="8306"/>
      </w:tabs>
      <w:snapToGrid w:val="0"/>
      <w:jc w:val="left"/>
    </w:pPr>
    <w:rPr>
      <w:sz w:val="18"/>
    </w:rPr>
  </w:style>
  <w:style w:type="paragraph" w:styleId="10">
    <w:name w:val="toc 1"/>
    <w:basedOn w:val="1"/>
    <w:next w:val="1"/>
    <w:qFormat/>
    <w:uiPriority w:val="39"/>
  </w:style>
  <w:style w:type="paragraph" w:styleId="11">
    <w:name w:val="Normal (Web)"/>
    <w:basedOn w:val="1"/>
    <w:qFormat/>
    <w:uiPriority w:val="99"/>
    <w:pPr>
      <w:widowControl/>
      <w:spacing w:before="100" w:beforeAutospacing="1" w:after="100" w:afterAutospacing="1"/>
      <w:jc w:val="left"/>
    </w:pPr>
    <w:rPr>
      <w:rFonts w:ascii="宋体" w:hAnsi="宋体"/>
      <w:kern w:val="0"/>
      <w:sz w:val="24"/>
    </w:rPr>
  </w:style>
  <w:style w:type="paragraph" w:styleId="12">
    <w:name w:val="Body Text First Indent"/>
    <w:basedOn w:val="5"/>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6"/>
    <w:qFormat/>
    <w:uiPriority w:val="0"/>
    <w:pPr>
      <w:snapToGrid w:val="0"/>
      <w:spacing w:after="120" w:afterLines="0"/>
      <w:ind w:left="420" w:firstLine="420" w:firstLineChars="200"/>
    </w:pPr>
    <w:rPr>
      <w:rFonts w:ascii="Tahoma" w:hAnsi="Tahoma"/>
      <w:kern w:val="2"/>
      <w:szCs w:val="24"/>
    </w:rPr>
  </w:style>
  <w:style w:type="table" w:styleId="15">
    <w:name w:val="Table Grid"/>
    <w:basedOn w:val="14"/>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7">
    <w:name w:val="List Paragraph"/>
    <w:basedOn w:val="1"/>
    <w:autoRedefine/>
    <w:qFormat/>
    <w:uiPriority w:val="34"/>
    <w:pPr>
      <w:ind w:firstLine="420" w:firstLineChars="200"/>
    </w:pPr>
    <w:rPr>
      <w:rFonts w:ascii="Calibri" w:hAnsi="Calibri"/>
      <w:szCs w:val="22"/>
    </w:rPr>
  </w:style>
  <w:style w:type="character" w:customStyle="1" w:styleId="18">
    <w:name w:val="正文文本缩进 2 Char"/>
    <w:link w:val="8"/>
    <w:autoRedefine/>
    <w:qFormat/>
    <w:uiPriority w:val="0"/>
    <w:rPr>
      <w:szCs w:val="20"/>
    </w:rPr>
  </w:style>
  <w:style w:type="paragraph" w:customStyle="1" w:styleId="19">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table" w:customStyle="1" w:styleId="20">
    <w:name w:val="Table Normal"/>
    <w:semiHidden/>
    <w:unhideWhenUsed/>
    <w:qFormat/>
    <w:uiPriority w:val="0"/>
    <w:tblPr>
      <w:tblCellMar>
        <w:top w:w="0" w:type="dxa"/>
        <w:left w:w="0" w:type="dxa"/>
        <w:bottom w:w="0" w:type="dxa"/>
        <w:right w:w="0" w:type="dxa"/>
      </w:tblCellMar>
    </w:tblPr>
  </w:style>
  <w:style w:type="paragraph" w:customStyle="1" w:styleId="21">
    <w:name w:val="Table Text"/>
    <w:basedOn w:val="1"/>
    <w:semiHidden/>
    <w:qFormat/>
    <w:uiPriority w:val="0"/>
    <w:rPr>
      <w:rFonts w:ascii="宋体" w:hAnsi="宋体" w:eastAsia="宋体" w:cs="宋体"/>
      <w:sz w:val="25"/>
      <w:szCs w:val="25"/>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5985</Words>
  <Characters>6108</Characters>
  <Lines>0</Lines>
  <Paragraphs>0</Paragraphs>
  <TotalTime>0</TotalTime>
  <ScaleCrop>false</ScaleCrop>
  <LinksUpToDate>false</LinksUpToDate>
  <CharactersWithSpaces>6511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18924981193</cp:lastModifiedBy>
  <dcterms:modified xsi:type="dcterms:W3CDTF">2026-09-15T03:26:38Z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ADDCDE4F86FD49D0BAE74623170F1A00_13</vt:lpwstr>
  </property>
  <property fmtid="{D5CDD505-2E9C-101B-9397-08002B2CF9AE}" pid="4" name="KSOTemplateDocerSaveRecord">
    <vt:lpwstr>eyJoZGlkIjoiMDI1YTQ0MGQ2NDc4NmQ3MjU4NTFkMzZmNDA5NDM5ODgiLCJ1c2VySWQiOiI3MDcxOTEyNjEifQ==</vt:lpwstr>
  </property>
</Properties>
</file>