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6"/>
          <w:rFonts w:hint="eastAsia" w:ascii="宋体" w:hAnsi="宋体" w:eastAsia="宋体" w:cs="宋体"/>
          <w:b/>
          <w:bCs/>
          <w:sz w:val="32"/>
          <w:szCs w:val="28"/>
        </w:rPr>
      </w:pPr>
    </w:p>
    <w:p w14:paraId="0C8D5C73">
      <w:pPr>
        <w:spacing w:line="360" w:lineRule="auto"/>
        <w:jc w:val="center"/>
        <w:outlineLvl w:val="1"/>
        <w:rPr>
          <w:rStyle w:val="16"/>
          <w:rFonts w:hint="eastAsia" w:ascii="宋体" w:hAnsi="宋体" w:eastAsia="宋体" w:cs="宋体"/>
          <w:b/>
          <w:bCs/>
          <w:sz w:val="32"/>
          <w:szCs w:val="28"/>
          <w:lang w:val="en-US" w:eastAsia="zh-CN"/>
        </w:rPr>
      </w:pPr>
    </w:p>
    <w:p w14:paraId="268FE1B6">
      <w:pPr>
        <w:spacing w:line="360" w:lineRule="auto"/>
        <w:jc w:val="center"/>
        <w:outlineLvl w:val="1"/>
        <w:rPr>
          <w:rStyle w:val="16"/>
          <w:rFonts w:hint="eastAsia" w:ascii="宋体" w:hAnsi="宋体" w:eastAsia="宋体" w:cs="宋体"/>
          <w:b/>
          <w:bCs/>
          <w:sz w:val="32"/>
          <w:szCs w:val="28"/>
          <w:lang w:val="en-US" w:eastAsia="zh-CN"/>
        </w:rPr>
      </w:pPr>
    </w:p>
    <w:p w14:paraId="2F3D57A4">
      <w:pPr>
        <w:spacing w:line="360" w:lineRule="auto"/>
        <w:jc w:val="center"/>
        <w:outlineLvl w:val="1"/>
        <w:rPr>
          <w:rStyle w:val="16"/>
          <w:rFonts w:hint="eastAsia" w:ascii="宋体" w:hAnsi="宋体" w:eastAsia="宋体" w:cs="宋体"/>
          <w:b/>
          <w:bCs/>
          <w:sz w:val="32"/>
          <w:szCs w:val="28"/>
          <w:lang w:val="en-US" w:eastAsia="zh-CN"/>
        </w:rPr>
      </w:pPr>
    </w:p>
    <w:p w14:paraId="0D63EF51">
      <w:pPr>
        <w:pStyle w:val="4"/>
        <w:rPr>
          <w:rStyle w:val="16"/>
          <w:rFonts w:hint="eastAsia" w:ascii="宋体" w:hAnsi="宋体" w:eastAsia="宋体" w:cs="宋体"/>
          <w:b/>
          <w:bCs/>
          <w:sz w:val="32"/>
          <w:szCs w:val="28"/>
          <w:lang w:val="en-US" w:eastAsia="zh-CN"/>
        </w:rPr>
      </w:pPr>
    </w:p>
    <w:p w14:paraId="26170796">
      <w:pPr>
        <w:pStyle w:val="9"/>
        <w:rPr>
          <w:rStyle w:val="16"/>
          <w:rFonts w:hint="eastAsia" w:ascii="宋体" w:hAnsi="宋体" w:eastAsia="宋体" w:cs="宋体"/>
          <w:b/>
          <w:bCs/>
          <w:sz w:val="32"/>
          <w:szCs w:val="28"/>
          <w:lang w:val="en-US" w:eastAsia="zh-CN"/>
        </w:rPr>
      </w:pPr>
    </w:p>
    <w:p w14:paraId="5F9B338A">
      <w:pPr>
        <w:pStyle w:val="9"/>
        <w:rPr>
          <w:rStyle w:val="16"/>
          <w:rFonts w:hint="eastAsia" w:ascii="宋体" w:hAnsi="宋体" w:eastAsia="宋体" w:cs="宋体"/>
          <w:b/>
          <w:bCs/>
          <w:sz w:val="32"/>
          <w:szCs w:val="28"/>
          <w:lang w:val="en-US" w:eastAsia="zh-CN"/>
        </w:rPr>
      </w:pPr>
    </w:p>
    <w:p w14:paraId="0B850935">
      <w:pPr>
        <w:pStyle w:val="9"/>
        <w:rPr>
          <w:rStyle w:val="16"/>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6"/>
          <w:rFonts w:hint="eastAsia" w:ascii="宋体" w:hAnsi="宋体" w:eastAsia="宋体" w:cs="宋体"/>
          <w:b/>
          <w:bCs/>
          <w:sz w:val="48"/>
          <w:szCs w:val="48"/>
          <w:lang w:val="en-US" w:eastAsia="zh-CN"/>
        </w:rPr>
        <w:t>中山市小榄人民医院双人共览显微镜采购项目响应文件</w:t>
      </w:r>
    </w:p>
    <w:p w14:paraId="3785F128">
      <w:pPr>
        <w:spacing w:line="360" w:lineRule="auto"/>
        <w:jc w:val="center"/>
        <w:outlineLvl w:val="1"/>
        <w:rPr>
          <w:rStyle w:val="16"/>
          <w:rFonts w:hint="eastAsia" w:ascii="宋体" w:hAnsi="宋体" w:eastAsia="宋体" w:cs="宋体"/>
          <w:b/>
          <w:bCs/>
          <w:sz w:val="32"/>
          <w:szCs w:val="28"/>
        </w:rPr>
      </w:pPr>
    </w:p>
    <w:p w14:paraId="66779CA0">
      <w:pPr>
        <w:spacing w:line="360" w:lineRule="auto"/>
        <w:jc w:val="center"/>
        <w:outlineLvl w:val="1"/>
        <w:rPr>
          <w:rStyle w:val="16"/>
          <w:rFonts w:hint="eastAsia" w:ascii="宋体" w:hAnsi="宋体" w:eastAsia="宋体" w:cs="宋体"/>
          <w:b/>
          <w:bCs/>
          <w:sz w:val="32"/>
          <w:szCs w:val="28"/>
        </w:rPr>
      </w:pPr>
    </w:p>
    <w:p w14:paraId="3ACB86FE">
      <w:pPr>
        <w:spacing w:line="360" w:lineRule="auto"/>
        <w:jc w:val="center"/>
        <w:outlineLvl w:val="1"/>
        <w:rPr>
          <w:rStyle w:val="16"/>
          <w:rFonts w:hint="eastAsia" w:ascii="宋体" w:hAnsi="宋体" w:eastAsia="宋体" w:cs="宋体"/>
          <w:b/>
          <w:bCs/>
          <w:sz w:val="32"/>
          <w:szCs w:val="28"/>
        </w:rPr>
      </w:pPr>
    </w:p>
    <w:p w14:paraId="07D4B0A5">
      <w:pPr>
        <w:spacing w:line="360" w:lineRule="auto"/>
        <w:jc w:val="center"/>
        <w:outlineLvl w:val="1"/>
        <w:rPr>
          <w:rStyle w:val="16"/>
          <w:rFonts w:hint="eastAsia" w:ascii="宋体" w:hAnsi="宋体" w:eastAsia="宋体" w:cs="宋体"/>
          <w:b/>
          <w:bCs/>
          <w:sz w:val="32"/>
          <w:szCs w:val="28"/>
        </w:rPr>
      </w:pPr>
    </w:p>
    <w:p w14:paraId="41060C6E">
      <w:pPr>
        <w:spacing w:line="360" w:lineRule="auto"/>
        <w:jc w:val="center"/>
        <w:outlineLvl w:val="1"/>
        <w:rPr>
          <w:rStyle w:val="16"/>
          <w:rFonts w:hint="eastAsia" w:ascii="宋体" w:hAnsi="宋体" w:eastAsia="宋体" w:cs="宋体"/>
          <w:b/>
          <w:bCs/>
          <w:sz w:val="32"/>
          <w:szCs w:val="28"/>
        </w:rPr>
      </w:pPr>
    </w:p>
    <w:p w14:paraId="43C5CE10">
      <w:pPr>
        <w:pStyle w:val="3"/>
        <w:rPr>
          <w:rStyle w:val="16"/>
          <w:rFonts w:hint="eastAsia" w:ascii="宋体" w:hAnsi="宋体" w:eastAsia="宋体" w:cs="宋体"/>
          <w:b/>
          <w:bCs/>
          <w:sz w:val="32"/>
          <w:szCs w:val="28"/>
        </w:rPr>
      </w:pPr>
    </w:p>
    <w:p w14:paraId="13F4767D">
      <w:pPr>
        <w:spacing w:line="360" w:lineRule="auto"/>
        <w:ind w:firstLine="1680" w:firstLineChars="700"/>
        <w:jc w:val="both"/>
        <w:outlineLvl w:val="1"/>
        <w:rPr>
          <w:rStyle w:val="16"/>
          <w:rFonts w:hint="default" w:ascii="宋体" w:hAnsi="宋体" w:eastAsia="宋体" w:cs="宋体"/>
          <w:b w:val="0"/>
          <w:bCs w:val="0"/>
          <w:sz w:val="24"/>
          <w:szCs w:val="24"/>
          <w:u w:val="single"/>
          <w:lang w:val="en-US" w:eastAsia="zh-CN"/>
        </w:rPr>
      </w:pPr>
      <w:r>
        <w:rPr>
          <w:rStyle w:val="16"/>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6"/>
          <w:rFonts w:hint="default"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邮箱：</w:t>
      </w:r>
    </w:p>
    <w:p w14:paraId="319592BB">
      <w:pPr>
        <w:pStyle w:val="3"/>
        <w:rPr>
          <w:rStyle w:val="16"/>
          <w:rFonts w:hint="eastAsia" w:ascii="宋体" w:hAnsi="宋体" w:eastAsia="宋体" w:cs="宋体"/>
          <w:b/>
          <w:bCs/>
          <w:sz w:val="32"/>
          <w:szCs w:val="28"/>
        </w:rPr>
      </w:pPr>
    </w:p>
    <w:p w14:paraId="18276DFC">
      <w:pPr>
        <w:spacing w:line="360" w:lineRule="auto"/>
        <w:jc w:val="left"/>
        <w:outlineLvl w:val="1"/>
        <w:rPr>
          <w:rStyle w:val="16"/>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6"/>
          <w:rFonts w:hint="default" w:ascii="宋体" w:hAnsi="宋体" w:eastAsia="宋体" w:cs="宋体"/>
          <w:b/>
          <w:bCs/>
          <w:sz w:val="21"/>
          <w:szCs w:val="21"/>
          <w:lang w:val="en-US" w:eastAsia="zh-CN"/>
        </w:rPr>
      </w:pPr>
      <w:r>
        <w:rPr>
          <w:rStyle w:val="16"/>
          <w:rFonts w:hint="eastAsia" w:ascii="宋体" w:hAnsi="宋体" w:eastAsia="宋体" w:cs="宋体"/>
          <w:b/>
          <w:bCs/>
          <w:sz w:val="21"/>
          <w:szCs w:val="21"/>
          <w:lang w:val="en-US" w:eastAsia="zh-CN"/>
        </w:rPr>
        <w:t>一、承诺函</w:t>
      </w:r>
    </w:p>
    <w:p w14:paraId="2937FF95">
      <w:pPr>
        <w:spacing w:line="360" w:lineRule="auto"/>
        <w:jc w:val="center"/>
        <w:outlineLvl w:val="1"/>
        <w:rPr>
          <w:rStyle w:val="16"/>
          <w:rFonts w:hint="eastAsia" w:ascii="宋体" w:hAnsi="宋体" w:eastAsia="宋体" w:cs="宋体"/>
          <w:b/>
          <w:bCs/>
          <w:sz w:val="28"/>
          <w:szCs w:val="28"/>
        </w:rPr>
      </w:pPr>
      <w:r>
        <w:rPr>
          <w:rStyle w:val="16"/>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中山市小榄人民医院双人共览显微镜采购项目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22676"/>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6"/>
          <w:rFonts w:hint="eastAsia" w:ascii="宋体" w:hAnsi="宋体" w:eastAsia="宋体" w:cs="宋体"/>
          <w:b/>
          <w:bCs/>
          <w:sz w:val="21"/>
          <w:szCs w:val="21"/>
          <w:lang w:val="en-US" w:eastAsia="zh-CN"/>
        </w:rPr>
        <w:t>二、</w:t>
      </w:r>
      <w:bookmarkEnd w:id="0"/>
      <w:bookmarkEnd w:id="1"/>
      <w:bookmarkEnd w:id="2"/>
      <w:bookmarkEnd w:id="3"/>
      <w:bookmarkEnd w:id="4"/>
      <w:r>
        <w:rPr>
          <w:rStyle w:val="16"/>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9"/>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20589"/>
      <w:bookmarkStart w:id="7" w:name="_Toc25638"/>
      <w:bookmarkStart w:id="8" w:name="_Toc15526"/>
      <w:bookmarkStart w:id="9" w:name="_Toc27661"/>
      <w:bookmarkStart w:id="10" w:name="_Toc11351"/>
      <w:r>
        <w:rPr>
          <w:rStyle w:val="16"/>
          <w:rFonts w:hint="eastAsia" w:ascii="宋体" w:hAnsi="宋体" w:eastAsia="宋体" w:cs="宋体"/>
          <w:b/>
          <w:bCs/>
          <w:sz w:val="21"/>
          <w:szCs w:val="21"/>
          <w:lang w:val="en-US" w:eastAsia="zh-CN"/>
        </w:rPr>
        <w:t>三、</w:t>
      </w:r>
      <w:r>
        <w:rPr>
          <w:rStyle w:val="16"/>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5"/>
        <w:rPr>
          <w:rFonts w:hint="eastAsia" w:ascii="宋体" w:hAnsi="宋体" w:eastAsia="宋体" w:cs="宋体"/>
          <w:lang w:eastAsia="zh-CN"/>
        </w:rPr>
      </w:pPr>
    </w:p>
    <w:p w14:paraId="2E8967E4">
      <w:pPr>
        <w:pStyle w:val="14"/>
        <w:spacing w:line="360" w:lineRule="auto"/>
        <w:jc w:val="center"/>
        <w:rPr>
          <w:rStyle w:val="16"/>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中山市小榄人民医院双人共览显微镜采购项目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5"/>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bookmarkStart w:id="11" w:name="_Toc26969"/>
      <w:bookmarkStart w:id="12" w:name="_Toc16435"/>
      <w:bookmarkStart w:id="13" w:name="_Toc1074"/>
      <w:bookmarkStart w:id="14" w:name="_Toc2041"/>
      <w:bookmarkStart w:id="15" w:name="_Toc12967"/>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6"/>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七、各级经销商资质证件（包括但不限于营业执照、医疗器械经营许可证、备案等）</w:t>
      </w: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相关授权</w:t>
      </w:r>
    </w:p>
    <w:p w14:paraId="10AD69B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C5A001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037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9286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FB9A5A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AD9F87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2BA59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D1D3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CDA93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5984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A6C6F5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034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6"/>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6"/>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1"/>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13"/>
        <w:gridCol w:w="103"/>
        <w:gridCol w:w="4438"/>
        <w:gridCol w:w="1077"/>
        <w:gridCol w:w="1288"/>
        <w:gridCol w:w="1506"/>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序号</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采购</w:t>
            </w:r>
            <w:r>
              <w:rPr>
                <w:rStyle w:val="16"/>
                <w:rFonts w:hint="eastAsia" w:ascii="宋体" w:hAnsi="宋体" w:eastAsia="宋体" w:cs="宋体"/>
                <w:b w:val="0"/>
                <w:bCs w:val="0"/>
                <w:color w:val="auto"/>
                <w:kern w:val="2"/>
                <w:sz w:val="21"/>
                <w:szCs w:val="21"/>
                <w:lang w:val="zh-TW" w:eastAsia="zh-CN"/>
              </w:rPr>
              <w:t>需求的</w:t>
            </w:r>
            <w:r>
              <w:rPr>
                <w:rStyle w:val="16"/>
                <w:rFonts w:hint="eastAsia" w:ascii="宋体" w:hAnsi="宋体" w:eastAsia="宋体" w:cs="宋体"/>
                <w:b w:val="0"/>
                <w:bCs w:val="0"/>
                <w:color w:val="auto"/>
                <w:kern w:val="2"/>
                <w:sz w:val="21"/>
                <w:szCs w:val="21"/>
                <w:lang w:val="zh-TW" w:eastAsia="zh-TW"/>
              </w:rPr>
              <w:t>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zh-TW" w:eastAsia="zh-CN"/>
              </w:rPr>
            </w:pPr>
            <w:r>
              <w:rPr>
                <w:rStyle w:val="16"/>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6"/>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95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9D2695">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2"/>
              <w:tblW w:w="5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1827"/>
              <w:gridCol w:w="1470"/>
            </w:tblGrid>
            <w:tr w14:paraId="6D9C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2261" w:type="dxa"/>
                  <w:vAlign w:val="center"/>
                </w:tcPr>
                <w:p w14:paraId="1CF68B93">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1827" w:type="dxa"/>
                  <w:vAlign w:val="center"/>
                </w:tcPr>
                <w:p w14:paraId="7FEA9D96">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1470" w:type="dxa"/>
                  <w:vAlign w:val="center"/>
                </w:tcPr>
                <w:p w14:paraId="2C5C185E">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0A22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jc w:val="center"/>
              </w:trPr>
              <w:tc>
                <w:tcPr>
                  <w:tcW w:w="2261" w:type="dxa"/>
                  <w:vAlign w:val="center"/>
                </w:tcPr>
                <w:p w14:paraId="611AB3E1">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双人共览显微镜</w:t>
                  </w:r>
                </w:p>
              </w:tc>
              <w:tc>
                <w:tcPr>
                  <w:tcW w:w="1827" w:type="dxa"/>
                  <w:vAlign w:val="center"/>
                </w:tcPr>
                <w:p w14:paraId="123BB664">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病理科</w:t>
                  </w:r>
                </w:p>
              </w:tc>
              <w:tc>
                <w:tcPr>
                  <w:tcW w:w="1470" w:type="dxa"/>
                  <w:vAlign w:val="center"/>
                </w:tcPr>
                <w:p w14:paraId="5937043E">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r>
          </w:tbl>
          <w:p w14:paraId="311EB092">
            <w:pP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核心产品：双人共览显微镜</w:t>
            </w:r>
          </w:p>
          <w:p w14:paraId="26B12F7A">
            <w:pPr>
              <w:spacing w:line="440" w:lineRule="exact"/>
              <w:rPr>
                <w:rFonts w:ascii="仿宋" w:hAnsi="仿宋" w:eastAsia="仿宋" w:cs="仿宋"/>
                <w:color w:val="000000" w:themeColor="text1"/>
                <w:sz w:val="24"/>
                <w14:textFill>
                  <w14:solidFill>
                    <w14:schemeClr w14:val="tx1"/>
                  </w14:solidFill>
                </w14:textFill>
              </w:rPr>
            </w:pPr>
          </w:p>
          <w:p w14:paraId="6E8DC2D8">
            <w:pPr>
              <w:spacing w:line="440" w:lineRule="exact"/>
              <w:rPr>
                <w:rStyle w:val="16"/>
                <w:rFonts w:hint="eastAsia" w:ascii="宋体" w:hAnsi="宋体" w:eastAsia="宋体" w:cs="宋体"/>
                <w:b w:val="0"/>
                <w:bCs w:val="0"/>
                <w:color w:val="auto"/>
                <w:kern w:val="2"/>
                <w:sz w:val="21"/>
                <w:szCs w:val="21"/>
                <w:lang w:val="en-US" w:eastAsia="zh-CN"/>
              </w:rPr>
            </w:pPr>
            <w:r>
              <w:rPr>
                <w:rFonts w:hint="eastAsia" w:ascii="仿宋" w:hAnsi="仿宋" w:eastAsia="仿宋" w:cs="仿宋"/>
                <w:color w:val="000000" w:themeColor="text1"/>
                <w:sz w:val="24"/>
                <w14:textFill>
                  <w14:solidFill>
                    <w14:schemeClr w14:val="tx1"/>
                  </w14:solidFill>
                </w14:textFill>
              </w:rPr>
              <w:t>用途：主要用于病理科日常诊断、教学带教及疑难病例会诊工作。可清晰观察HE染色、免疫组化等常规染色切片，满足明场、偏光观察模式，适用于组织形态学分析、病理诊断及科研观察。具备双人共览功能，便于至少两</w:t>
            </w:r>
            <w:r>
              <w:rPr>
                <w:rFonts w:hint="eastAsia" w:ascii="仿宋" w:hAnsi="仿宋" w:eastAsia="仿宋" w:cs="仿宋"/>
                <w:color w:val="000000" w:themeColor="text1"/>
                <w:sz w:val="24"/>
                <w:lang w:val="en-US" w:eastAsia="zh-CN"/>
                <w14:textFill>
                  <w14:solidFill>
                    <w14:schemeClr w14:val="tx1"/>
                  </w14:solidFill>
                </w14:textFill>
              </w:rPr>
              <w:t>人</w:t>
            </w:r>
            <w:r>
              <w:rPr>
                <w:rFonts w:hint="eastAsia" w:ascii="仿宋" w:hAnsi="仿宋" w:eastAsia="仿宋" w:cs="仿宋"/>
                <w:color w:val="000000" w:themeColor="text1"/>
                <w:sz w:val="24"/>
                <w14:textFill>
                  <w14:solidFill>
                    <w14:schemeClr w14:val="tx1"/>
                  </w14:solidFill>
                </w14:textFill>
              </w:rPr>
              <w:t>同步观察与讨论，支持图像采集，提升病理教学与会诊效率</w:t>
            </w:r>
            <w:r>
              <w:rPr>
                <w:rFonts w:hint="eastAsia" w:ascii="仿宋" w:hAnsi="仿宋" w:eastAsia="仿宋" w:cs="仿宋"/>
                <w:color w:val="000000" w:themeColor="text1"/>
                <w:sz w:val="24"/>
                <w:lang w:eastAsia="zh-CN"/>
                <w14:textFill>
                  <w14:solidFill>
                    <w14:schemeClr w14:val="tx1"/>
                  </w14:solidFill>
                </w14:textFill>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01"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731EC">
            <w:pPr>
              <w:pStyle w:val="4"/>
              <w:numPr>
                <w:ilvl w:val="0"/>
                <w:numId w:val="4"/>
              </w:numPr>
              <w:spacing w:before="53" w:line="222" w:lineRule="auto"/>
              <w:ind w:left="208"/>
              <w:outlineLvl w:val="0"/>
              <w:rPr>
                <w:rFonts w:hint="default"/>
                <w:b/>
                <w:bCs/>
                <w:spacing w:val="7"/>
                <w:lang w:val="en-US" w:eastAsia="zh-CN"/>
              </w:rPr>
            </w:pPr>
            <w:r>
              <w:rPr>
                <w:b/>
                <w:bCs/>
                <w:spacing w:val="7"/>
              </w:rPr>
              <w:t>技术参数</w:t>
            </w:r>
          </w:p>
        </w:tc>
      </w:tr>
      <w:tr w14:paraId="7D3778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62E9D3">
            <w:pPr>
              <w:widowControl w:val="0"/>
              <w:numPr>
                <w:ilvl w:val="0"/>
                <w:numId w:val="0"/>
              </w:numPr>
              <w:spacing w:before="1" w:line="219" w:lineRule="auto"/>
              <w:ind w:right="3" w:rightChars="0"/>
              <w:jc w:val="both"/>
              <w:outlineLvl w:val="0"/>
              <w:rPr>
                <w:rFonts w:hint="eastAsia"/>
                <w:b/>
                <w:bCs/>
                <w:spacing w:val="7"/>
                <w:lang w:val="en-US" w:eastAsia="zh-CN"/>
              </w:rPr>
            </w:pPr>
            <w:r>
              <w:rPr>
                <w:rFonts w:hint="eastAsia"/>
                <w:b/>
                <w:bCs/>
                <w:spacing w:val="7"/>
                <w:lang w:val="en-US" w:eastAsia="zh-CN"/>
              </w:rPr>
              <w:t>1.</w:t>
            </w:r>
            <w:r>
              <w:rPr>
                <w:rFonts w:hint="eastAsia" w:eastAsiaTheme="minorEastAsia"/>
                <w:b/>
                <w:bCs/>
                <w:spacing w:val="7"/>
                <w:lang w:val="en-US" w:eastAsia="zh-CN"/>
              </w:rPr>
              <w:t>显微镜主机部分</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1F978C">
            <w:pPr>
              <w:widowControl w:val="0"/>
              <w:numPr>
                <w:ilvl w:val="0"/>
                <w:numId w:val="0"/>
              </w:numPr>
              <w:spacing w:before="1" w:line="219" w:lineRule="auto"/>
              <w:ind w:right="3" w:rightChars="0"/>
              <w:jc w:val="both"/>
              <w:outlineLvl w:val="0"/>
              <w:rPr>
                <w:rFonts w:hint="eastAsia"/>
                <w:b/>
                <w:bCs/>
                <w:spacing w:val="7"/>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66C4A">
            <w:pPr>
              <w:widowControl w:val="0"/>
              <w:numPr>
                <w:ilvl w:val="0"/>
                <w:numId w:val="0"/>
              </w:numPr>
              <w:spacing w:before="1" w:line="219" w:lineRule="auto"/>
              <w:ind w:right="3" w:rightChars="0"/>
              <w:jc w:val="both"/>
              <w:outlineLvl w:val="0"/>
              <w:rPr>
                <w:rFonts w:hint="eastAsia"/>
                <w:b/>
                <w:bCs/>
                <w:spacing w:val="7"/>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7544B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光学系统：IC2S无限远色差反差双重校正光学系统，45mm国际标准物镜齐焦距离，所有光学部件（包括物镜，目镜，透镜，棱镜）均具有抗反射和抗真菌涂层。可实现明场和偏光两种观察方式。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32D8A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同轴粗微调焦机构，调焦范围24mm，粗调一圈4mm，微调一圈0.4mm及最小4μm的刻度，内置免调节防下滑机构，不采用易损的外部松紧调节环。</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A5513D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明场照明装置：主动光强管理系统，可适用于所有物镜，用于自动调节对应物镜和滤块的光强；内置透射光科勒照明器，高亮度高显色性编码LED长寿命光源，显色指数＞95，功率10W，大于60000小时使用寿命。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7369A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载物台：载物台无暴露齿条，耐磨阳极氧化表面，手柄松紧度可调；用于单手操作的双玻片样品夹，减少用户频繁更换玻片，方便用户对比不同的玻片。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w:t>
            </w:r>
            <w:r>
              <w:rPr>
                <w:rFonts w:hint="eastAsia" w:ascii="宋体" w:hAnsi="宋体"/>
                <w:color w:val="auto"/>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207D5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超宽视野可调三目镜筒，视场数≥25mm，人体学观察筒-2°~28°。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w:t>
            </w: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20784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10倍超宽视野目镜，高眼点设计，视场数≥23mm，≥2目屈光度可调。</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53137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六位编码型物镜转换器，不同倍数物镜可分别定义光强，切换时自动匹配亮度。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CA1AE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FD72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8</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3FFCB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针对正置显微镜应用优化的高分辨率、高透过率物镜：</w:t>
            </w:r>
          </w:p>
          <w:p w14:paraId="3054D51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平场物镜2.5×，数值孔径：NA≥0.06；</w:t>
            </w:r>
          </w:p>
          <w:p w14:paraId="0B5AFB5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平场消色差物镜5×，数值孔径：NA≥0.15；</w:t>
            </w:r>
          </w:p>
          <w:p w14:paraId="25A7DEE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平场消色差物镜10×，数值孔径：NA≥0.25;</w:t>
            </w:r>
          </w:p>
          <w:p w14:paraId="6976B37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平场消色差物镜20×，数值孔径：NA≥0.45;</w:t>
            </w:r>
          </w:p>
          <w:p w14:paraId="5A01313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平场消色差物镜40×，数值孔径：NA≥0.65。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299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7B4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0926F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CC92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▲9</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1B2B0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聚光镜：非摆动式多功能聚光镜：NA≥0.9/1.25。在5×镜观察下，无需摆动操作；带科勒照明调整后锁定装置。</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223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625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DBEA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A3D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10</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37C8E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集成具有节能和延长照明寿命的Eco模式，当显微镜在空闲15分钟后会自动进入待机状态，单击任何按钮，显微镜系统立即重新启动，用户可以启用或禁用Eco模式。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C2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3F2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D5CCF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2877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B6218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机身集成两个快速拍摄图像按钮，靠近两侧调焦旋钮，可快速拍摄图像或视频。</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58B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2E71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92B0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1F96ED">
            <w:pPr>
              <w:spacing w:line="360" w:lineRule="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2.多人共览部分：</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A7A1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18E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8189D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8EE4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916BC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人数要求：必须满足二人同时观察。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CBCC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656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B37D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512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ADAE0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图像方向：所有端口图像方向完全一致，确保每个示教头观察者看到的图像都和主机图像一致。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011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84A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D2B3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45C6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F1ACC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指示装置：配备红、白、绿三色反射光光标指针，指针亮度可调；能够进行灵活自由的移动，确保准确定位。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4B45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62B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74942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4D1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DF457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共览分光：单层左右水平分光，避免使用2层或2层以上“T”型分光，确保主机观察者图像质量。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EE7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180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F3FE1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D61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A2CFC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共览支撑结构：采用双侧支撑结构，每一个观察者的目镜筒对应一个支撑立柱；每个立柱都带球窝关节，自动适应支撑桌面的水平变化，确保系统光路稳定。</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8F3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346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56CE8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BD51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8F238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目镜筒：视野数≥23mm；每个示教目镜筒都使用金属材质，能够进行360度自由旋转，上下自由翻转。</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538B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7602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DE98D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7F51DC">
            <w:pPr>
              <w:spacing w:line="360" w:lineRule="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3.摄像装置：≥2000万像素。</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726B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42B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16E0A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CE0C54">
            <w:pPr>
              <w:spacing w:line="360" w:lineRule="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4.★设备使用年限≥5年。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99C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169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3BE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每套设备配置要求</w:t>
            </w:r>
          </w:p>
        </w:tc>
      </w:tr>
      <w:tr w14:paraId="2EC081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64DFE">
            <w:pPr>
              <w:keepNext w:val="0"/>
              <w:keepLines w:val="0"/>
              <w:pageBreakBefore w:val="0"/>
              <w:kinsoku/>
              <w:wordWrap/>
              <w:overflowPunct/>
              <w:topLinePunct w:val="0"/>
              <w:autoSpaceDE/>
              <w:autoSpaceDN/>
              <w:bidi w:val="0"/>
              <w:adjustRightInd/>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配置要求</w:t>
            </w:r>
            <w:r>
              <w:rPr>
                <w:rFonts w:hint="eastAsia" w:ascii="宋体" w:hAnsi="宋体" w:eastAsia="宋体" w:cs="宋体"/>
                <w:color w:val="auto"/>
                <w:sz w:val="21"/>
                <w:szCs w:val="21"/>
                <w:highlight w:val="none"/>
                <w:lang w:val="en-US" w:eastAsia="zh-CN"/>
              </w:rPr>
              <w:t>（全自动血栓弹力图仪、检验科）</w:t>
            </w:r>
            <w:r>
              <w:rPr>
                <w:rFonts w:hint="eastAsia" w:ascii="宋体" w:hAnsi="宋体" w:eastAsia="宋体" w:cs="宋体"/>
                <w:color w:val="auto"/>
                <w:sz w:val="21"/>
                <w:szCs w:val="21"/>
                <w:highlight w:val="none"/>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224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5B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A22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72AB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92C08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D4A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B74CC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6602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C5466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生物显微镜主机</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8A49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D606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E16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9D648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CC6B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DBE6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载物台支架</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805E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103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78F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693D5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BE52B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5776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聚光镜支架</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1B76A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A07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5F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E5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F6C76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05A92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机械载物台</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D73EA">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DC9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817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D94DC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9F0B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A72E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双玻片样品夹</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5F72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454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484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F42F2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B9160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1FDBE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三目观察筒</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082E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94C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09B3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3ED5A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3B16F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7FF6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低倍物镜聚光镜适配器</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FA87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F5F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AA4E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E7848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9D98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B3468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平场物镜2.5x(NA0.06)</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6976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2301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279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C8330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21FA6">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F0C79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平场消色差物镜5x(NA0.15)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58227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094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859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C268D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89D4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16DA">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平场消色差物镜10x（NA0.25）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A9166">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82C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FD17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D548F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526B2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2C685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平场消色差物镜20x(NA0.45）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E14F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04B1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1A5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85F74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599D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808DBA">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平场消色差物镜40x（NA0.65）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C4FB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69A84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790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DB853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F7274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2203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聚光镜</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316D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E99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5EEE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D0C3E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07532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45AB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目镜</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045EE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5A2B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B4C3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BB931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15F3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F389D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眼罩</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A84A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646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9F4B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E6AAA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8AA2F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3A4D9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双人共览组件</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39772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E4400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DFD5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24C7B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C7F4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F832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双目观察筒</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8538D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5CDF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E37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2BBD3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92DF5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F88C4">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偏光配件</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14F3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EFFE6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B2FE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A6F2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9800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BC088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色温转换片</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8876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2D6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751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8FEB3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18A3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1F7F8">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中灰滤片套</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C0524">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48F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EA3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6F01F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C87E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5D18F8">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电源线</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60E2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8526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7F4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F3043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FB9C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83C2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高清摄像设备</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D4B3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06E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88F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D84C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88513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B1D56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相机接口</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FE6D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2A02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93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DC1F1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6DFC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00FB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中文操作说明</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5420F8">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B4A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3A3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07D7F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9249F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A5808">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合格证</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2BE1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A5D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52AF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C20B0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52A5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44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EB5F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保修卡</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FABA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79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373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928DE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E363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四、商务要求：</w:t>
            </w:r>
          </w:p>
        </w:tc>
      </w:tr>
      <w:tr w14:paraId="3AE957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E5E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9CA59">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交货地点：采购人指定地点。</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672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7A6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7CC659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AD12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586697">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交货期：中标人应当在中标通知书发出之日起30日内按采购需求及中标人的投标文件确定的事项与采购人签订合同，签订合同后 30日内完成设备的安装调试。</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96B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25C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38D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59909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D158A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中标人须保证中标后所提供的设备为原装、全新合格的产品；且原装进口产品生产日期与交货日期差值≤6个月；国产产品生产日期与交货日期差值≤3个月。</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AC89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72D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77BBA2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6B3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358F4">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中标人负责派技术人员到现场进行安装调试，直至验收合格，安装调试所需费用应包含在投标总报价内；同时提供培训服务，必须保证需求科室操作人员融会贯通，培训所需费用全部包含在总报价内。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93E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4135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97EF0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F70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317D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验收方式：按《小榄镇公立医院政府采购和验收办法》。</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0D9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2F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81C47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9EAC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7EC1A">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投标供应商须在投标文件提供该项目完整的授权书。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5B08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3CCF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A45C6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B393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0508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乙方所投设备属于计量仪器的，需通过具有国家部门颁发专业检测资质证书的第三方计量检测单位检测并提供合格报告。</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F8E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110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9954B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0514C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2.1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411C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中标供应商必须在中国境内有售后服务机构，并附有售后服务能力说明。</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9F05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349F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A75EB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5E92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w:t>
            </w:r>
            <w:r>
              <w:rPr>
                <w:rFonts w:hint="eastAsia" w:ascii="宋体" w:hAnsi="宋体" w:eastAsia="宋体" w:cs="宋体"/>
                <w:color w:val="auto"/>
                <w:sz w:val="21"/>
                <w:szCs w:val="21"/>
                <w:lang w:val="en-US" w:eastAsia="zh-CN"/>
              </w:rPr>
              <w:t>2.2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E9425">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中标供应商须提供设备原厂质保(设备原厂质量保修范围和保修期)至少为</w:t>
            </w:r>
            <w:r>
              <w:rPr>
                <w:rFonts w:hint="eastAsia" w:ascii="宋体" w:hAnsi="宋体" w:eastAsia="宋体" w:cs="宋体"/>
                <w:b w:val="0"/>
                <w:bCs/>
                <w:color w:val="auto"/>
                <w:sz w:val="21"/>
                <w:szCs w:val="21"/>
                <w:highlight w:val="none"/>
                <w:u w:val="single"/>
                <w:lang w:val="en-US" w:eastAsia="zh-CN" w:bidi="ar-SA"/>
              </w:rPr>
              <w:t xml:space="preserve"> 3 </w:t>
            </w:r>
            <w:r>
              <w:rPr>
                <w:rFonts w:hint="eastAsia" w:ascii="宋体" w:hAnsi="宋体" w:eastAsia="宋体" w:cs="宋体"/>
                <w:b w:val="0"/>
                <w:bCs/>
                <w:color w:val="auto"/>
                <w:sz w:val="21"/>
                <w:szCs w:val="21"/>
                <w:highlight w:val="none"/>
                <w:lang w:val="en-US" w:eastAsia="zh-CN" w:bidi="ar-SA"/>
              </w:rPr>
              <w:t>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1C2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209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0471AC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1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E1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403F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在售后期内，中标供应商在接到用户的维修通知，响应时间为半小时内，工程师到达现场时间为4小时内，排除故障时限为到达现场后8小时内。。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5297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BC3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9E155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1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803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EFDB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如果产品故障在检修12小时后仍无法排除，中标供应商应在24小时内提供不低于故障产品规格型号档次的备用产品供采购人使用，直至故障产品修复。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F9D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59E3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1F076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25"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AEC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付款方式</w:t>
            </w:r>
          </w:p>
        </w:tc>
      </w:tr>
      <w:tr w14:paraId="40F89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2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0DE1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s="宋体" w:eastAsiaTheme="minorEastAsia"/>
                <w:color w:val="auto"/>
                <w:sz w:val="21"/>
                <w:szCs w:val="21"/>
                <w:lang w:val="en-US" w:eastAsia="zh-CN"/>
              </w:rPr>
            </w:pPr>
            <w:r>
              <w:rPr>
                <w:rFonts w:hint="eastAsia" w:ascii="宋体" w:hAnsi="宋体"/>
                <w:color w:val="auto"/>
                <w:szCs w:val="21"/>
              </w:rPr>
              <w:t>★</w:t>
            </w:r>
            <w:r>
              <w:rPr>
                <w:rFonts w:hint="eastAsia" w:ascii="宋体" w:hAnsi="宋体"/>
                <w:color w:val="auto"/>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06BB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本合同的每笔款项以人民币转账方式支付。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B80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43F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FC23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C5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s="宋体" w:eastAsiaTheme="minorEastAsia"/>
                <w:color w:val="auto"/>
                <w:sz w:val="21"/>
                <w:szCs w:val="21"/>
                <w:lang w:val="en-US" w:eastAsia="zh-CN"/>
              </w:rPr>
            </w:pPr>
            <w:r>
              <w:rPr>
                <w:rFonts w:hint="eastAsia" w:ascii="宋体" w:hAnsi="宋体"/>
                <w:color w:val="auto"/>
                <w:szCs w:val="21"/>
              </w:rPr>
              <w:t>★</w:t>
            </w:r>
            <w:r>
              <w:rPr>
                <w:rFonts w:hint="eastAsia" w:ascii="宋体" w:hAnsi="宋体"/>
                <w:color w:val="auto"/>
                <w:szCs w:val="21"/>
                <w:lang w:val="en-US" w:eastAsia="zh-CN"/>
              </w:rPr>
              <w:t>2</w:t>
            </w:r>
          </w:p>
          <w:p w14:paraId="1463BA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7655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日内，支付合同总金额的95%；合同总金额的5%，作为第二期款项，在质保期满后一次性无息支付。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A1B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A37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1272FF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AE47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其他商务要求</w:t>
            </w:r>
          </w:p>
        </w:tc>
      </w:tr>
      <w:tr w14:paraId="63340E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BB7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F476A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涉及专机专用耗材、试剂、易损件等需填列报价，且承诺至少在质保期内按此价格执行。若投标人所投产品不涉及专机专用耗材、试剂、易损件等，提供不涉及专机专用耗材、试剂及易损件的声明函。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64DC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8B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17A34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4AEC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911687">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投标人同意采购人以任何形式对其投标文件内容及采购人认为有必要的相关资料的真实性和有效性进行审查、验证。</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031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680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bl>
    <w:p w14:paraId="138F482D">
      <w:pPr>
        <w:pStyle w:val="9"/>
        <w:spacing w:line="360" w:lineRule="auto"/>
        <w:ind w:firstLine="0"/>
        <w:rPr>
          <w:rFonts w:hint="eastAsia" w:ascii="宋体" w:hAnsi="宋体" w:eastAsia="宋体" w:cs="宋体"/>
          <w:lang w:val="zh-TW" w:eastAsia="zh-TW"/>
        </w:rPr>
      </w:pPr>
    </w:p>
    <w:p w14:paraId="78A761B5">
      <w:pPr>
        <w:pStyle w:val="9"/>
        <w:spacing w:line="360" w:lineRule="auto"/>
        <w:ind w:firstLine="0"/>
        <w:rPr>
          <w:rFonts w:hint="eastAsia" w:ascii="宋体" w:hAnsi="宋体" w:eastAsia="宋体" w:cs="宋体"/>
          <w:lang w:val="zh-TW" w:eastAsia="zh-TW"/>
        </w:rPr>
      </w:pPr>
    </w:p>
    <w:p w14:paraId="5EDC76A1">
      <w:pPr>
        <w:pStyle w:val="9"/>
        <w:spacing w:line="360" w:lineRule="auto"/>
        <w:ind w:firstLine="0"/>
        <w:rPr>
          <w:rFonts w:hint="eastAsia" w:ascii="宋体" w:hAnsi="宋体" w:eastAsia="宋体" w:cs="宋体"/>
          <w:lang w:val="zh-TW" w:eastAsia="zh-TW"/>
        </w:rPr>
      </w:pPr>
    </w:p>
    <w:p w14:paraId="31B33CD8">
      <w:pPr>
        <w:pStyle w:val="9"/>
        <w:spacing w:line="360" w:lineRule="auto"/>
        <w:ind w:firstLine="0"/>
        <w:rPr>
          <w:rFonts w:hint="eastAsia" w:ascii="宋体" w:hAnsi="宋体" w:eastAsia="宋体" w:cs="宋体"/>
          <w:lang w:val="zh-TW" w:eastAsia="zh-TW"/>
        </w:rPr>
      </w:pPr>
    </w:p>
    <w:p w14:paraId="15B5A15A">
      <w:pPr>
        <w:pStyle w:val="9"/>
        <w:spacing w:line="360" w:lineRule="auto"/>
        <w:ind w:firstLine="0"/>
        <w:rPr>
          <w:rFonts w:hint="eastAsia" w:ascii="宋体" w:hAnsi="宋体" w:eastAsia="宋体" w:cs="宋体"/>
          <w:lang w:val="zh-TW" w:eastAsia="zh-TW"/>
        </w:rPr>
      </w:pPr>
    </w:p>
    <w:p w14:paraId="49E5FFCD">
      <w:pPr>
        <w:pStyle w:val="9"/>
        <w:spacing w:line="360" w:lineRule="auto"/>
        <w:ind w:firstLine="0"/>
        <w:rPr>
          <w:rFonts w:hint="eastAsia" w:ascii="宋体" w:hAnsi="宋体" w:eastAsia="宋体" w:cs="宋体"/>
          <w:lang w:val="zh-TW" w:eastAsia="zh-TW"/>
        </w:rPr>
      </w:pPr>
    </w:p>
    <w:p w14:paraId="3F3698C6">
      <w:pPr>
        <w:pStyle w:val="9"/>
        <w:spacing w:line="360" w:lineRule="auto"/>
        <w:ind w:firstLine="0"/>
        <w:rPr>
          <w:rFonts w:hint="eastAsia" w:ascii="宋体" w:hAnsi="宋体" w:eastAsia="宋体" w:cs="宋体"/>
          <w:lang w:val="zh-TW" w:eastAsia="zh-TW"/>
        </w:rPr>
      </w:pPr>
    </w:p>
    <w:p w14:paraId="36CFD80E">
      <w:pPr>
        <w:pStyle w:val="9"/>
        <w:spacing w:line="360" w:lineRule="auto"/>
        <w:ind w:firstLine="0"/>
        <w:rPr>
          <w:rFonts w:hint="eastAsia" w:ascii="宋体" w:hAnsi="宋体" w:eastAsia="宋体" w:cs="宋体"/>
          <w:lang w:val="zh-TW" w:eastAsia="zh-TW"/>
        </w:rPr>
      </w:pPr>
    </w:p>
    <w:p w14:paraId="6AA6304D">
      <w:pPr>
        <w:pStyle w:val="9"/>
        <w:spacing w:line="360" w:lineRule="auto"/>
        <w:ind w:firstLine="0"/>
        <w:rPr>
          <w:rFonts w:hint="eastAsia" w:ascii="宋体" w:hAnsi="宋体" w:eastAsia="宋体" w:cs="宋体"/>
          <w:lang w:val="zh-TW" w:eastAsia="zh-TW"/>
        </w:rPr>
      </w:pPr>
    </w:p>
    <w:p w14:paraId="06816A3B">
      <w:pPr>
        <w:pStyle w:val="9"/>
        <w:spacing w:line="360" w:lineRule="auto"/>
        <w:ind w:firstLine="0"/>
        <w:rPr>
          <w:rFonts w:hint="eastAsia" w:ascii="宋体" w:hAnsi="宋体" w:eastAsia="宋体" w:cs="宋体"/>
          <w:lang w:val="zh-TW" w:eastAsia="zh-TW"/>
        </w:rPr>
      </w:pPr>
    </w:p>
    <w:p w14:paraId="01939247">
      <w:pPr>
        <w:pStyle w:val="9"/>
        <w:spacing w:line="360" w:lineRule="auto"/>
        <w:ind w:firstLine="0"/>
        <w:rPr>
          <w:rFonts w:hint="eastAsia" w:ascii="宋体" w:hAnsi="宋体" w:eastAsia="宋体" w:cs="宋体"/>
          <w:lang w:val="zh-TW" w:eastAsia="zh-TW"/>
        </w:rPr>
      </w:pPr>
    </w:p>
    <w:p w14:paraId="32C3F881">
      <w:pPr>
        <w:pStyle w:val="9"/>
        <w:spacing w:line="360" w:lineRule="auto"/>
        <w:ind w:firstLine="0"/>
        <w:rPr>
          <w:rFonts w:hint="eastAsia" w:ascii="宋体" w:hAnsi="宋体" w:eastAsia="宋体" w:cs="宋体"/>
          <w:lang w:val="zh-TW" w:eastAsia="zh-TW"/>
        </w:rPr>
      </w:pPr>
    </w:p>
    <w:p w14:paraId="7E9406DB">
      <w:pPr>
        <w:pStyle w:val="9"/>
        <w:spacing w:line="360" w:lineRule="auto"/>
        <w:ind w:firstLine="0"/>
        <w:rPr>
          <w:rFonts w:hint="eastAsia" w:ascii="宋体" w:hAnsi="宋体" w:eastAsia="宋体" w:cs="宋体"/>
          <w:lang w:val="zh-TW" w:eastAsia="zh-TW"/>
        </w:rPr>
      </w:pPr>
    </w:p>
    <w:p w14:paraId="0B7DF565">
      <w:pPr>
        <w:pStyle w:val="9"/>
        <w:spacing w:line="360" w:lineRule="auto"/>
        <w:ind w:firstLine="0"/>
        <w:rPr>
          <w:rFonts w:hint="eastAsia" w:ascii="宋体" w:hAnsi="宋体" w:eastAsia="宋体" w:cs="宋体"/>
          <w:lang w:val="zh-TW" w:eastAsia="zh-TW"/>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3CC1D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A8E231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A2C7A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8EAE7B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4217F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386F7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941B7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9988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12FCC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3D8AF5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2BE490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7E1EB0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ACE4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F5657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8A892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58FF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CD586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F089FBC">
      <w:pPr>
        <w:pStyle w:val="15"/>
        <w:numPr>
          <w:ilvl w:val="0"/>
          <w:numId w:val="0"/>
        </w:numPr>
        <w:ind w:leftChars="0"/>
        <w:rPr>
          <w:rStyle w:val="16"/>
          <w:rFonts w:hint="eastAsia" w:hAnsi="宋体" w:cs="宋体" w:asciiTheme="minorHAnsi"/>
          <w:b/>
          <w:bCs/>
          <w:color w:val="auto"/>
          <w:kern w:val="2"/>
          <w:sz w:val="21"/>
          <w:szCs w:val="21"/>
          <w:lang w:val="en-US" w:eastAsia="zh-CN"/>
        </w:rPr>
      </w:pPr>
    </w:p>
    <w:p w14:paraId="376BECBB">
      <w:pPr>
        <w:pStyle w:val="15"/>
        <w:numPr>
          <w:ilvl w:val="0"/>
          <w:numId w:val="0"/>
        </w:numPr>
        <w:ind w:leftChars="0"/>
        <w:rPr>
          <w:rStyle w:val="16"/>
          <w:rFonts w:hint="eastAsia" w:hAnsi="宋体" w:cs="宋体" w:asciiTheme="minorHAnsi"/>
          <w:b/>
          <w:bCs/>
          <w:color w:val="auto"/>
          <w:kern w:val="2"/>
          <w:sz w:val="21"/>
          <w:szCs w:val="21"/>
          <w:lang w:val="en-US" w:eastAsia="zh-CN"/>
        </w:rPr>
      </w:pPr>
    </w:p>
    <w:p w14:paraId="38BDFA11">
      <w:pPr>
        <w:pStyle w:val="15"/>
        <w:numPr>
          <w:ilvl w:val="0"/>
          <w:numId w:val="0"/>
        </w:numPr>
        <w:ind w:leftChars="0"/>
        <w:rPr>
          <w:rStyle w:val="16"/>
          <w:rFonts w:hint="eastAsia" w:hAnsi="宋体" w:cs="宋体" w:asciiTheme="minorHAnsi"/>
          <w:b/>
          <w:bCs/>
          <w:color w:val="auto"/>
          <w:kern w:val="2"/>
          <w:sz w:val="21"/>
          <w:szCs w:val="21"/>
          <w:lang w:val="en-US" w:eastAsia="zh-CN"/>
        </w:rPr>
      </w:pPr>
    </w:p>
    <w:p w14:paraId="4EA5600C">
      <w:pPr>
        <w:pStyle w:val="15"/>
        <w:numPr>
          <w:ilvl w:val="0"/>
          <w:numId w:val="0"/>
        </w:numPr>
        <w:ind w:leftChars="0"/>
        <w:rPr>
          <w:rStyle w:val="16"/>
          <w:rFonts w:hint="eastAsia" w:hAnsi="宋体" w:cs="宋体" w:asciiTheme="minorHAnsi"/>
          <w:b/>
          <w:bCs/>
          <w:color w:val="auto"/>
          <w:kern w:val="2"/>
          <w:sz w:val="21"/>
          <w:szCs w:val="21"/>
          <w:lang w:val="en-US" w:eastAsia="zh-CN"/>
        </w:rPr>
      </w:pPr>
    </w:p>
    <w:p w14:paraId="0C546999">
      <w:pPr>
        <w:pStyle w:val="15"/>
        <w:numPr>
          <w:ilvl w:val="0"/>
          <w:numId w:val="0"/>
        </w:numPr>
        <w:ind w:leftChars="0"/>
        <w:rPr>
          <w:rStyle w:val="16"/>
          <w:rFonts w:hint="eastAsia" w:hAnsi="宋体" w:cs="宋体" w:asciiTheme="minorHAnsi"/>
          <w:b/>
          <w:bCs/>
          <w:color w:val="auto"/>
          <w:kern w:val="2"/>
          <w:sz w:val="21"/>
          <w:szCs w:val="21"/>
          <w:lang w:val="en-US" w:eastAsia="zh-CN"/>
        </w:rPr>
      </w:pPr>
    </w:p>
    <w:p w14:paraId="289EF237">
      <w:pPr>
        <w:pStyle w:val="15"/>
        <w:numPr>
          <w:ilvl w:val="0"/>
          <w:numId w:val="0"/>
        </w:numPr>
        <w:ind w:leftChars="0"/>
        <w:rPr>
          <w:rStyle w:val="16"/>
          <w:rFonts w:hint="eastAsia" w:hAnsi="宋体" w:cs="宋体" w:asciiTheme="minorHAnsi"/>
          <w:b/>
          <w:bCs/>
          <w:color w:val="auto"/>
          <w:kern w:val="2"/>
          <w:sz w:val="21"/>
          <w:szCs w:val="21"/>
          <w:lang w:val="en-US" w:eastAsia="zh-CN"/>
        </w:rPr>
      </w:pPr>
    </w:p>
    <w:p w14:paraId="3F4C2764">
      <w:pPr>
        <w:pStyle w:val="15"/>
        <w:numPr>
          <w:ilvl w:val="0"/>
          <w:numId w:val="0"/>
        </w:numPr>
        <w:ind w:leftChars="0"/>
        <w:rPr>
          <w:rStyle w:val="16"/>
          <w:rFonts w:hint="eastAsia" w:hAnsi="宋体" w:cs="宋体" w:asciiTheme="minorHAnsi"/>
          <w:b/>
          <w:bCs/>
          <w:color w:val="auto"/>
          <w:kern w:val="2"/>
          <w:sz w:val="21"/>
          <w:szCs w:val="21"/>
          <w:lang w:val="en-US" w:eastAsia="zh-CN"/>
        </w:rPr>
      </w:pPr>
    </w:p>
    <w:p w14:paraId="2D95AE40">
      <w:pPr>
        <w:pStyle w:val="15"/>
        <w:numPr>
          <w:ilvl w:val="0"/>
          <w:numId w:val="0"/>
        </w:numPr>
        <w:ind w:leftChars="0"/>
        <w:rPr>
          <w:rStyle w:val="16"/>
          <w:rFonts w:hint="eastAsia" w:hAnsi="宋体" w:cs="宋体" w:asciiTheme="minorHAnsi"/>
          <w:b/>
          <w:bCs/>
          <w:color w:val="auto"/>
          <w:kern w:val="2"/>
          <w:sz w:val="21"/>
          <w:szCs w:val="21"/>
          <w:lang w:val="en-US" w:eastAsia="zh-CN"/>
        </w:rPr>
      </w:pPr>
    </w:p>
    <w:p w14:paraId="7A30CD32">
      <w:pPr>
        <w:pStyle w:val="15"/>
        <w:numPr>
          <w:ilvl w:val="0"/>
          <w:numId w:val="0"/>
        </w:numPr>
        <w:ind w:leftChars="0"/>
        <w:rPr>
          <w:rStyle w:val="16"/>
          <w:rFonts w:hint="eastAsia" w:hAnsi="宋体" w:cs="宋体" w:asciiTheme="minorHAnsi"/>
          <w:b/>
          <w:bCs/>
          <w:color w:val="auto"/>
          <w:kern w:val="2"/>
          <w:sz w:val="21"/>
          <w:szCs w:val="21"/>
          <w:lang w:val="en-US" w:eastAsia="zh-CN"/>
        </w:rPr>
      </w:pPr>
    </w:p>
    <w:p w14:paraId="55D84563">
      <w:pPr>
        <w:pStyle w:val="15"/>
        <w:numPr>
          <w:ilvl w:val="0"/>
          <w:numId w:val="0"/>
        </w:numPr>
        <w:ind w:leftChars="0"/>
        <w:rPr>
          <w:rStyle w:val="16"/>
          <w:rFonts w:hint="eastAsia" w:hAnsi="宋体" w:cs="宋体" w:asciiTheme="minorHAnsi"/>
          <w:b/>
          <w:bCs/>
          <w:color w:val="auto"/>
          <w:kern w:val="2"/>
          <w:sz w:val="21"/>
          <w:szCs w:val="21"/>
          <w:lang w:val="en-US" w:eastAsia="zh-CN"/>
        </w:rPr>
      </w:pPr>
    </w:p>
    <w:p w14:paraId="7C90BCE7">
      <w:pPr>
        <w:pStyle w:val="15"/>
        <w:numPr>
          <w:ilvl w:val="0"/>
          <w:numId w:val="0"/>
        </w:numPr>
        <w:ind w:leftChars="0"/>
        <w:rPr>
          <w:rStyle w:val="16"/>
          <w:rFonts w:hint="eastAsia" w:hAnsi="宋体" w:cs="宋体" w:asciiTheme="minorHAnsi"/>
          <w:b/>
          <w:bCs/>
          <w:color w:val="auto"/>
          <w:kern w:val="2"/>
          <w:sz w:val="21"/>
          <w:szCs w:val="21"/>
          <w:lang w:val="en-US" w:eastAsia="zh-CN"/>
        </w:rPr>
      </w:pPr>
    </w:p>
    <w:p w14:paraId="7E955168">
      <w:pPr>
        <w:pStyle w:val="15"/>
        <w:numPr>
          <w:ilvl w:val="0"/>
          <w:numId w:val="0"/>
        </w:numPr>
        <w:ind w:leftChars="0"/>
        <w:rPr>
          <w:rStyle w:val="16"/>
          <w:rFonts w:hint="eastAsia" w:hAnsi="宋体" w:cs="宋体" w:asciiTheme="minorHAnsi"/>
          <w:b/>
          <w:bCs/>
          <w:color w:val="auto"/>
          <w:kern w:val="2"/>
          <w:sz w:val="21"/>
          <w:szCs w:val="21"/>
          <w:lang w:val="en-US" w:eastAsia="zh-CN"/>
        </w:rPr>
      </w:pPr>
    </w:p>
    <w:p w14:paraId="02777175">
      <w:pPr>
        <w:pStyle w:val="15"/>
        <w:numPr>
          <w:ilvl w:val="0"/>
          <w:numId w:val="0"/>
        </w:numPr>
        <w:ind w:leftChars="0"/>
        <w:rPr>
          <w:rStyle w:val="16"/>
          <w:rFonts w:hint="eastAsia" w:hAnsi="宋体" w:cs="宋体" w:asciiTheme="minorHAnsi"/>
          <w:b/>
          <w:bCs/>
          <w:color w:val="auto"/>
          <w:kern w:val="2"/>
          <w:sz w:val="21"/>
          <w:szCs w:val="21"/>
          <w:lang w:val="en-US" w:eastAsia="zh-CN"/>
        </w:rPr>
      </w:pPr>
    </w:p>
    <w:p w14:paraId="00809DBD">
      <w:pPr>
        <w:pStyle w:val="15"/>
        <w:numPr>
          <w:ilvl w:val="0"/>
          <w:numId w:val="0"/>
        </w:numPr>
        <w:ind w:leftChars="0"/>
        <w:rPr>
          <w:rStyle w:val="16"/>
          <w:rFonts w:hint="eastAsia" w:hAnsi="宋体" w:cs="宋体" w:asciiTheme="minorHAnsi"/>
          <w:b/>
          <w:bCs/>
          <w:color w:val="auto"/>
          <w:kern w:val="2"/>
          <w:sz w:val="21"/>
          <w:szCs w:val="21"/>
          <w:lang w:val="en-US" w:eastAsia="zh-CN"/>
        </w:rPr>
      </w:pPr>
    </w:p>
    <w:p w14:paraId="7F675CA9">
      <w:pPr>
        <w:pStyle w:val="15"/>
        <w:numPr>
          <w:ilvl w:val="0"/>
          <w:numId w:val="0"/>
        </w:numPr>
        <w:ind w:leftChars="0"/>
        <w:rPr>
          <w:rStyle w:val="16"/>
          <w:rFonts w:hint="eastAsia" w:hAnsi="宋体" w:cs="宋体" w:asciiTheme="minorHAnsi"/>
          <w:b/>
          <w:bCs/>
          <w:color w:val="auto"/>
          <w:kern w:val="2"/>
          <w:sz w:val="21"/>
          <w:szCs w:val="21"/>
          <w:lang w:val="en-US" w:eastAsia="zh-CN"/>
        </w:rPr>
      </w:pPr>
    </w:p>
    <w:p w14:paraId="69B8376E">
      <w:pPr>
        <w:pStyle w:val="15"/>
        <w:numPr>
          <w:ilvl w:val="0"/>
          <w:numId w:val="0"/>
        </w:numPr>
        <w:ind w:leftChars="0"/>
        <w:rPr>
          <w:rStyle w:val="16"/>
          <w:rFonts w:hint="eastAsia" w:hAnsi="宋体" w:cs="宋体" w:asciiTheme="minorHAnsi"/>
          <w:b/>
          <w:bCs/>
          <w:color w:val="auto"/>
          <w:kern w:val="2"/>
          <w:sz w:val="21"/>
          <w:szCs w:val="21"/>
          <w:lang w:val="en-US" w:eastAsia="zh-CN"/>
        </w:rPr>
      </w:pPr>
    </w:p>
    <w:p w14:paraId="57B3868D">
      <w:pPr>
        <w:pStyle w:val="15"/>
        <w:numPr>
          <w:ilvl w:val="0"/>
          <w:numId w:val="0"/>
        </w:numPr>
        <w:ind w:leftChars="0"/>
        <w:rPr>
          <w:rStyle w:val="16"/>
          <w:rFonts w:hint="eastAsia" w:hAnsi="宋体" w:cs="宋体" w:asciiTheme="minorHAnsi"/>
          <w:b/>
          <w:bCs/>
          <w:color w:val="auto"/>
          <w:kern w:val="2"/>
          <w:sz w:val="21"/>
          <w:szCs w:val="21"/>
          <w:lang w:val="en-US" w:eastAsia="zh-CN"/>
        </w:rPr>
      </w:pPr>
      <w:r>
        <w:rPr>
          <w:rStyle w:val="16"/>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6"/>
          <w:rFonts w:hint="eastAsia" w:ascii="宋体" w:hAnsi="宋体" w:eastAsia="宋体" w:cs="宋体"/>
          <w:b/>
          <w:bCs/>
          <w:sz w:val="21"/>
          <w:szCs w:val="21"/>
          <w:lang w:val="en-US" w:eastAsia="zh-CN"/>
        </w:rPr>
      </w:pPr>
    </w:p>
    <w:p w14:paraId="04E19955">
      <w:pPr>
        <w:pStyle w:val="15"/>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2"/>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2063"/>
        <w:gridCol w:w="900"/>
        <w:gridCol w:w="856"/>
        <w:gridCol w:w="1050"/>
        <w:gridCol w:w="849"/>
        <w:gridCol w:w="467"/>
        <w:gridCol w:w="849"/>
        <w:gridCol w:w="916"/>
        <w:gridCol w:w="1105"/>
      </w:tblGrid>
      <w:tr w14:paraId="2A53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95"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2063"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856"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1050"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849"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467"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849"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c>
          <w:tcPr>
            <w:tcW w:w="916" w:type="dxa"/>
            <w:vAlign w:val="center"/>
          </w:tcPr>
          <w:p w14:paraId="2530C56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质保期</w:t>
            </w:r>
          </w:p>
        </w:tc>
        <w:tc>
          <w:tcPr>
            <w:tcW w:w="1105" w:type="dxa"/>
            <w:vAlign w:val="center"/>
          </w:tcPr>
          <w:p w14:paraId="198FB38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使用年限</w:t>
            </w:r>
          </w:p>
        </w:tc>
      </w:tr>
      <w:tr w14:paraId="0D7F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95"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2063"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56"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1050"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5E900DEF">
            <w:pPr>
              <w:spacing w:line="240" w:lineRule="auto"/>
              <w:jc w:val="center"/>
              <w:rPr>
                <w:rFonts w:hint="eastAsia" w:ascii="仿宋" w:hAnsi="仿宋" w:eastAsia="仿宋" w:cs="仿宋"/>
                <w:color w:val="000000"/>
                <w:sz w:val="21"/>
                <w:szCs w:val="21"/>
                <w:highlight w:val="none"/>
                <w:lang w:val="en-US" w:eastAsia="zh-CN"/>
              </w:rPr>
            </w:pPr>
          </w:p>
        </w:tc>
        <w:tc>
          <w:tcPr>
            <w:tcW w:w="1105" w:type="dxa"/>
            <w:vAlign w:val="center"/>
          </w:tcPr>
          <w:p w14:paraId="32E394F8">
            <w:pPr>
              <w:spacing w:line="240" w:lineRule="auto"/>
              <w:jc w:val="center"/>
              <w:rPr>
                <w:rFonts w:hint="eastAsia" w:ascii="仿宋" w:hAnsi="仿宋" w:eastAsia="仿宋" w:cs="仿宋"/>
                <w:color w:val="000000"/>
                <w:sz w:val="21"/>
                <w:szCs w:val="21"/>
                <w:highlight w:val="none"/>
                <w:lang w:val="en-US" w:eastAsia="zh-CN"/>
              </w:rPr>
            </w:pPr>
          </w:p>
        </w:tc>
      </w:tr>
      <w:tr w14:paraId="1D16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750" w:type="dxa"/>
            <w:gridSpan w:val="10"/>
            <w:vAlign w:val="center"/>
          </w:tcPr>
          <w:p w14:paraId="62DB88DD">
            <w:pPr>
              <w:spacing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配置清单：</w:t>
            </w:r>
            <w:bookmarkStart w:id="17" w:name="_GoBack"/>
            <w:bookmarkEnd w:id="17"/>
          </w:p>
        </w:tc>
      </w:tr>
    </w:tbl>
    <w:p w14:paraId="026563E9">
      <w:pPr>
        <w:numPr>
          <w:ilvl w:val="0"/>
          <w:numId w:val="0"/>
        </w:numPr>
        <w:spacing w:line="360" w:lineRule="auto"/>
        <w:rPr>
          <w:rFonts w:hint="eastAsia" w:ascii="宋体" w:hAnsi="宋体" w:eastAsia="宋体" w:cs="宋体"/>
          <w:sz w:val="21"/>
          <w:szCs w:val="21"/>
          <w:lang w:val="en-US" w:eastAsia="zh-CN"/>
        </w:rPr>
      </w:pPr>
    </w:p>
    <w:p w14:paraId="19095BAE">
      <w:pPr>
        <w:pStyle w:val="5"/>
        <w:rPr>
          <w:rFonts w:hint="eastAsia"/>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C0F0E06">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28DFE678"/>
    <w:multiLevelType w:val="singleLevel"/>
    <w:tmpl w:val="28DFE678"/>
    <w:lvl w:ilvl="0" w:tentative="0">
      <w:start w:val="2"/>
      <w:numFmt w:val="chineseCounting"/>
      <w:suff w:val="nothing"/>
      <w:lvlText w:val="%1、"/>
      <w:lvlJc w:val="left"/>
      <w:rPr>
        <w:rFonts w:hint="eastAsia"/>
      </w:rPr>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0D333231"/>
    <w:rsid w:val="136D4AAE"/>
    <w:rsid w:val="1E840AC7"/>
    <w:rsid w:val="20E33B6F"/>
    <w:rsid w:val="20FE31B4"/>
    <w:rsid w:val="28DF6635"/>
    <w:rsid w:val="335464C2"/>
    <w:rsid w:val="336E7A0B"/>
    <w:rsid w:val="36E33B5E"/>
    <w:rsid w:val="37F4414F"/>
    <w:rsid w:val="3E6B5D05"/>
    <w:rsid w:val="490E789E"/>
    <w:rsid w:val="490F4F35"/>
    <w:rsid w:val="4B7A033A"/>
    <w:rsid w:val="53BC3594"/>
    <w:rsid w:val="612D28B6"/>
    <w:rsid w:val="62F3445D"/>
    <w:rsid w:val="65405FE3"/>
    <w:rsid w:val="6B4C6025"/>
    <w:rsid w:val="6BB6035B"/>
    <w:rsid w:val="6C561999"/>
    <w:rsid w:val="6F073C6E"/>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5"/>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Body Text Indent 2"/>
    <w:basedOn w:val="1"/>
    <w:link w:val="16"/>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0">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5">
    <w:name w:val="List Paragraph"/>
    <w:basedOn w:val="1"/>
    <w:autoRedefine/>
    <w:qFormat/>
    <w:uiPriority w:val="34"/>
    <w:pPr>
      <w:ind w:firstLine="420" w:firstLineChars="200"/>
    </w:pPr>
    <w:rPr>
      <w:rFonts w:ascii="Calibri" w:hAnsi="Calibri"/>
      <w:szCs w:val="22"/>
    </w:rPr>
  </w:style>
  <w:style w:type="character" w:customStyle="1" w:styleId="16">
    <w:name w:val="正文文本缩进 2 Char"/>
    <w:link w:val="7"/>
    <w:autoRedefine/>
    <w:qFormat/>
    <w:uiPriority w:val="0"/>
    <w:rPr>
      <w:szCs w:val="20"/>
    </w:rPr>
  </w:style>
  <w:style w:type="paragraph" w:customStyle="1" w:styleId="17">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5384</Words>
  <Characters>5644</Characters>
  <Lines>0</Lines>
  <Paragraphs>0</Paragraphs>
  <TotalTime>1</TotalTime>
  <ScaleCrop>false</ScaleCrop>
  <LinksUpToDate>false</LinksUpToDate>
  <CharactersWithSpaces>6048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2026-04-09T07:16:58Z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C39A989D91244001A22DCF31547114A6_13</vt:lpwstr>
  </property>
  <property fmtid="{D5CDD505-2E9C-101B-9397-08002B2CF9AE}" pid="4" name="KSOTemplateDocerSaveRecord">
    <vt:lpwstr>eyJoZGlkIjoiOGNhN2FjMTIzOWMwMmUyMDUxYTM5YTAwMTlhYjYyYWQiLCJ1c2VySWQiOiIzNjIxMDYyNzYifQ==</vt:lpwstr>
  </property>
</Properties>
</file>