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中山市东升医院2026年度常年法律顾问服务项目（二次）</w:t>
      </w:r>
      <w:r>
        <w:rPr>
          <w:rFonts w:ascii="宋体" w:hAnsi="宋体" w:eastAsia="宋体" w:cs="宋体"/>
          <w:b/>
          <w:bCs/>
          <w:spacing w:val="4"/>
          <w:sz w:val="47"/>
          <w:szCs w:val="47"/>
          <w:lang w:eastAsia="zh-CN"/>
        </w:rPr>
        <w:t>响应文件</w:t>
      </w:r>
    </w:p>
    <w:p w14:paraId="338CD2FE">
      <w:pPr>
        <w:pStyle w:val="4"/>
        <w:spacing w:line="247" w:lineRule="auto"/>
        <w:rPr>
          <w:lang w:eastAsia="zh-CN"/>
        </w:rPr>
      </w:pPr>
    </w:p>
    <w:p w14:paraId="1073FC52">
      <w:pPr>
        <w:pStyle w:val="4"/>
        <w:spacing w:line="247" w:lineRule="auto"/>
        <w:rPr>
          <w:lang w:eastAsia="zh-CN"/>
        </w:rPr>
      </w:pPr>
    </w:p>
    <w:p w14:paraId="76DBF516">
      <w:pPr>
        <w:pStyle w:val="4"/>
        <w:spacing w:line="247" w:lineRule="auto"/>
        <w:rPr>
          <w:lang w:eastAsia="zh-CN"/>
        </w:rPr>
      </w:pPr>
    </w:p>
    <w:p w14:paraId="7E46F770">
      <w:pPr>
        <w:pStyle w:val="4"/>
        <w:spacing w:line="247" w:lineRule="auto"/>
        <w:rPr>
          <w:lang w:eastAsia="zh-CN"/>
        </w:rPr>
      </w:pPr>
    </w:p>
    <w:p w14:paraId="769B815E">
      <w:pPr>
        <w:pStyle w:val="4"/>
        <w:spacing w:line="247" w:lineRule="auto"/>
        <w:rPr>
          <w:lang w:eastAsia="zh-CN"/>
        </w:rPr>
      </w:pPr>
    </w:p>
    <w:p w14:paraId="7B529BE3">
      <w:pPr>
        <w:pStyle w:val="4"/>
        <w:spacing w:line="247" w:lineRule="auto"/>
        <w:rPr>
          <w:lang w:eastAsia="zh-CN"/>
        </w:rPr>
      </w:pPr>
    </w:p>
    <w:p w14:paraId="16208457">
      <w:pPr>
        <w:pStyle w:val="4"/>
        <w:spacing w:line="247" w:lineRule="auto"/>
        <w:rPr>
          <w:lang w:eastAsia="zh-CN"/>
        </w:rPr>
      </w:pPr>
    </w:p>
    <w:p w14:paraId="5723285D">
      <w:pPr>
        <w:pStyle w:val="4"/>
        <w:spacing w:line="248" w:lineRule="auto"/>
        <w:rPr>
          <w:lang w:eastAsia="zh-CN"/>
        </w:rPr>
      </w:pPr>
    </w:p>
    <w:p w14:paraId="37C9723C">
      <w:pPr>
        <w:pStyle w:val="4"/>
        <w:spacing w:line="248" w:lineRule="auto"/>
        <w:rPr>
          <w:lang w:eastAsia="zh-CN"/>
        </w:rPr>
      </w:pPr>
    </w:p>
    <w:p w14:paraId="58D11985">
      <w:pPr>
        <w:pStyle w:val="4"/>
        <w:spacing w:line="248" w:lineRule="auto"/>
        <w:rPr>
          <w:lang w:eastAsia="zh-CN"/>
        </w:rPr>
      </w:pPr>
    </w:p>
    <w:p w14:paraId="5E2B3D32">
      <w:pPr>
        <w:pStyle w:val="4"/>
        <w:spacing w:line="248" w:lineRule="auto"/>
        <w:rPr>
          <w:lang w:eastAsia="zh-CN"/>
        </w:rPr>
      </w:pPr>
    </w:p>
    <w:p w14:paraId="7F891FFF">
      <w:pPr>
        <w:pStyle w:val="4"/>
        <w:spacing w:line="248" w:lineRule="auto"/>
        <w:rPr>
          <w:lang w:eastAsia="zh-CN"/>
        </w:rPr>
      </w:pPr>
    </w:p>
    <w:p w14:paraId="2B03D7A3">
      <w:pPr>
        <w:pStyle w:val="4"/>
        <w:spacing w:line="248" w:lineRule="auto"/>
        <w:rPr>
          <w:lang w:eastAsia="zh-CN"/>
        </w:rPr>
      </w:pPr>
    </w:p>
    <w:p w14:paraId="21F1022D">
      <w:pPr>
        <w:pStyle w:val="4"/>
        <w:spacing w:line="248" w:lineRule="auto"/>
        <w:rPr>
          <w:lang w:eastAsia="zh-CN"/>
        </w:rPr>
      </w:pPr>
    </w:p>
    <w:p w14:paraId="2F827075">
      <w:pPr>
        <w:pStyle w:val="4"/>
        <w:spacing w:line="248" w:lineRule="auto"/>
        <w:rPr>
          <w:lang w:eastAsia="zh-CN"/>
        </w:rPr>
      </w:pPr>
    </w:p>
    <w:p w14:paraId="0713AC1F">
      <w:pPr>
        <w:pStyle w:val="4"/>
        <w:spacing w:line="248" w:lineRule="auto"/>
        <w:rPr>
          <w:lang w:eastAsia="zh-CN"/>
        </w:rPr>
      </w:pPr>
    </w:p>
    <w:p w14:paraId="7F42F37A">
      <w:pPr>
        <w:pStyle w:val="4"/>
        <w:spacing w:line="248" w:lineRule="auto"/>
        <w:rPr>
          <w:lang w:eastAsia="zh-CN"/>
        </w:rPr>
      </w:pPr>
    </w:p>
    <w:p w14:paraId="514364A2">
      <w:pPr>
        <w:pStyle w:val="4"/>
        <w:spacing w:line="248" w:lineRule="auto"/>
        <w:rPr>
          <w:lang w:eastAsia="zh-CN"/>
        </w:rPr>
      </w:pPr>
    </w:p>
    <w:p w14:paraId="1626D0EF">
      <w:pPr>
        <w:pStyle w:val="4"/>
        <w:spacing w:line="248" w:lineRule="auto"/>
        <w:rPr>
          <w:lang w:eastAsia="zh-CN"/>
        </w:rPr>
      </w:pPr>
    </w:p>
    <w:p w14:paraId="45CE5823">
      <w:pPr>
        <w:pStyle w:val="4"/>
        <w:spacing w:line="248" w:lineRule="auto"/>
        <w:rPr>
          <w:lang w:eastAsia="zh-CN"/>
        </w:rPr>
      </w:pPr>
    </w:p>
    <w:p w14:paraId="3F3159DE">
      <w:pPr>
        <w:pStyle w:val="4"/>
        <w:spacing w:line="248" w:lineRule="auto"/>
        <w:rPr>
          <w:lang w:eastAsia="zh-CN"/>
        </w:rPr>
      </w:pPr>
    </w:p>
    <w:p w14:paraId="16776187">
      <w:pPr>
        <w:pStyle w:val="4"/>
        <w:spacing w:line="248" w:lineRule="auto"/>
        <w:rPr>
          <w:lang w:eastAsia="zh-CN"/>
        </w:rPr>
      </w:pPr>
    </w:p>
    <w:p w14:paraId="17459F8B">
      <w:pPr>
        <w:pStyle w:val="4"/>
        <w:spacing w:line="248" w:lineRule="auto"/>
        <w:rPr>
          <w:lang w:eastAsia="zh-CN"/>
        </w:rPr>
      </w:pPr>
    </w:p>
    <w:p w14:paraId="7464C756">
      <w:pPr>
        <w:pStyle w:val="4"/>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3CA08C93">
      <w:pPr>
        <w:pStyle w:val="10"/>
        <w:rPr>
          <w:rFonts w:hint="default" w:eastAsia="宋体"/>
          <w:lang w:val="en-US" w:eastAsia="zh-CN"/>
        </w:rPr>
      </w:pPr>
    </w:p>
    <w:p w14:paraId="22B9BDDD">
      <w:pPr>
        <w:pStyle w:val="10"/>
        <w:keepNext w:val="0"/>
        <w:keepLines w:val="0"/>
        <w:pageBreakBefore w:val="0"/>
        <w:widowControl w:val="0"/>
        <w:kinsoku/>
        <w:wordWrap/>
        <w:overflowPunct/>
        <w:topLinePunct w:val="0"/>
        <w:autoSpaceDE w:val="0"/>
        <w:autoSpaceDN w:val="0"/>
        <w:bidi w:val="0"/>
        <w:adjustRightInd w:val="0"/>
        <w:snapToGrid/>
        <w:spacing w:after="0" w:afterLines="50"/>
        <w:textAlignment w:val="auto"/>
        <w:rPr>
          <w:rFonts w:hint="default" w:eastAsia="宋体"/>
          <w:b/>
          <w:bCs/>
          <w:color w:val="0000FF"/>
          <w:sz w:val="28"/>
          <w:szCs w:val="28"/>
          <w:lang w:val="en-US" w:eastAsia="zh-CN"/>
        </w:rPr>
      </w:pPr>
      <w:r>
        <w:rPr>
          <w:rFonts w:hint="default" w:eastAsia="宋体"/>
          <w:b/>
          <w:bCs/>
          <w:color w:val="0000FF"/>
          <w:sz w:val="28"/>
          <w:szCs w:val="28"/>
          <w:lang w:val="en-US" w:eastAsia="zh-CN"/>
        </w:rPr>
        <w:t>（1）常年法律顾问基础服务</w:t>
      </w:r>
      <w:r>
        <w:rPr>
          <w:rFonts w:hint="eastAsia"/>
          <w:b/>
          <w:bCs/>
          <w:color w:val="0000FF"/>
          <w:sz w:val="28"/>
          <w:szCs w:val="28"/>
          <w:lang w:val="en-US" w:eastAsia="zh-CN"/>
        </w:rPr>
        <w:t>报价表：</w:t>
      </w:r>
    </w:p>
    <w:tbl>
      <w:tblPr>
        <w:tblStyle w:val="11"/>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11"/>
        <w:gridCol w:w="3345"/>
        <w:gridCol w:w="226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99" w:hRule="atLeast"/>
          <w:jc w:val="center"/>
        </w:trPr>
        <w:tc>
          <w:tcPr>
            <w:tcW w:w="371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345" w:type="dxa"/>
            <w:vAlign w:val="center"/>
          </w:tcPr>
          <w:p w14:paraId="612F4846">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报价金额</w:t>
            </w:r>
          </w:p>
          <w:p w14:paraId="29BBBE45">
            <w:pPr>
              <w:spacing w:before="40" w:line="219" w:lineRule="auto"/>
              <w:jc w:val="center"/>
              <w:rPr>
                <w:rFonts w:hint="default" w:ascii="宋体" w:hAnsi="宋体" w:eastAsia="宋体" w:cs="宋体"/>
                <w:sz w:val="24"/>
                <w:szCs w:val="24"/>
                <w:lang w:val="en-US"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p>
        </w:tc>
        <w:tc>
          <w:tcPr>
            <w:tcW w:w="226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81" w:hRule="atLeast"/>
          <w:jc w:val="center"/>
        </w:trPr>
        <w:tc>
          <w:tcPr>
            <w:tcW w:w="3711" w:type="dxa"/>
            <w:vAlign w:val="center"/>
          </w:tcPr>
          <w:p w14:paraId="15FE9704">
            <w:pPr>
              <w:ind w:left="142" w:right="108"/>
              <w:jc w:val="center"/>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中山市东升医院2026年度常年法律顾问服务项目（二次）</w:t>
            </w:r>
          </w:p>
          <w:p w14:paraId="7E1BF9B8">
            <w:pPr>
              <w:ind w:left="142" w:right="108"/>
              <w:jc w:val="center"/>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（常年法律顾问基础服务）</w:t>
            </w:r>
          </w:p>
        </w:tc>
        <w:tc>
          <w:tcPr>
            <w:tcW w:w="334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b/>
                <w:bCs/>
                <w:sz w:val="24"/>
                <w:szCs w:val="24"/>
                <w:u w:val="none"/>
                <w:lang w:val="en-US" w:eastAsia="zh-CN"/>
              </w:rPr>
              <w:t>元</w:t>
            </w:r>
          </w:p>
        </w:tc>
        <w:tc>
          <w:tcPr>
            <w:tcW w:w="2269" w:type="dxa"/>
            <w:vAlign w:val="center"/>
          </w:tcPr>
          <w:p w14:paraId="15B4A106">
            <w:pPr>
              <w:pStyle w:val="4"/>
              <w:jc w:val="center"/>
              <w:rPr>
                <w:rFonts w:hint="default"/>
                <w:b/>
                <w:bCs/>
                <w:lang w:val="en-US" w:eastAsia="zh-CN"/>
              </w:rPr>
            </w:pPr>
          </w:p>
        </w:tc>
      </w:tr>
    </w:tbl>
    <w:p w14:paraId="1CE97BEE">
      <w:pPr>
        <w:pStyle w:val="4"/>
        <w:spacing w:line="371" w:lineRule="auto"/>
      </w:pPr>
    </w:p>
    <w:p w14:paraId="0B441789">
      <w:pPr>
        <w:pStyle w:val="10"/>
        <w:keepNext w:val="0"/>
        <w:keepLines w:val="0"/>
        <w:pageBreakBefore w:val="0"/>
        <w:widowControl w:val="0"/>
        <w:kinsoku/>
        <w:wordWrap/>
        <w:overflowPunct/>
        <w:topLinePunct w:val="0"/>
        <w:autoSpaceDE w:val="0"/>
        <w:autoSpaceDN w:val="0"/>
        <w:bidi w:val="0"/>
        <w:adjustRightInd w:val="0"/>
        <w:snapToGrid/>
        <w:spacing w:after="0" w:afterLines="50"/>
        <w:textAlignment w:val="auto"/>
        <w:rPr>
          <w:rFonts w:hint="default" w:eastAsia="宋体"/>
          <w:b/>
          <w:bCs/>
          <w:color w:val="0000FF"/>
          <w:sz w:val="28"/>
          <w:szCs w:val="28"/>
          <w:lang w:val="en-US" w:eastAsia="zh-CN"/>
        </w:rPr>
      </w:pPr>
      <w:r>
        <w:rPr>
          <w:rFonts w:hint="default" w:eastAsia="宋体"/>
          <w:b/>
          <w:bCs/>
          <w:color w:val="0000FF"/>
          <w:sz w:val="28"/>
          <w:szCs w:val="28"/>
          <w:lang w:val="en-US" w:eastAsia="zh-CN"/>
        </w:rPr>
        <w:t>（2）专项法律服务</w:t>
      </w:r>
      <w:r>
        <w:rPr>
          <w:rFonts w:hint="eastAsia"/>
          <w:b/>
          <w:bCs/>
          <w:color w:val="0000FF"/>
          <w:sz w:val="28"/>
          <w:szCs w:val="28"/>
          <w:lang w:val="en-US" w:eastAsia="zh-CN"/>
        </w:rPr>
        <w:t>报价表：</w:t>
      </w:r>
    </w:p>
    <w:tbl>
      <w:tblPr>
        <w:tblStyle w:val="11"/>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26"/>
        <w:gridCol w:w="3345"/>
        <w:gridCol w:w="2254"/>
      </w:tblGrid>
      <w:tr w14:paraId="22AB7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4" w:hRule="atLeast"/>
          <w:jc w:val="center"/>
        </w:trPr>
        <w:tc>
          <w:tcPr>
            <w:tcW w:w="3726" w:type="dxa"/>
            <w:vAlign w:val="center"/>
          </w:tcPr>
          <w:p w14:paraId="78FE5437">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345" w:type="dxa"/>
            <w:vAlign w:val="center"/>
          </w:tcPr>
          <w:p w14:paraId="16539D62">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70506CC1">
            <w:pPr>
              <w:spacing w:before="40" w:line="219" w:lineRule="auto"/>
              <w:jc w:val="center"/>
              <w:rPr>
                <w:rFonts w:hint="default" w:ascii="宋体" w:hAnsi="宋体" w:eastAsia="宋体" w:cs="宋体"/>
                <w:sz w:val="24"/>
                <w:szCs w:val="24"/>
                <w:lang w:val="en-US"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p>
        </w:tc>
        <w:tc>
          <w:tcPr>
            <w:tcW w:w="2254" w:type="dxa"/>
            <w:vAlign w:val="center"/>
          </w:tcPr>
          <w:p w14:paraId="7EE1FEF6">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1509E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02" w:hRule="atLeast"/>
          <w:jc w:val="center"/>
        </w:trPr>
        <w:tc>
          <w:tcPr>
            <w:tcW w:w="3726" w:type="dxa"/>
            <w:vAlign w:val="center"/>
          </w:tcPr>
          <w:p w14:paraId="3513264B">
            <w:pPr>
              <w:ind w:left="142" w:right="108"/>
              <w:jc w:val="center"/>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中山市东升医院2026年度常年法律顾问服务项目（二次）</w:t>
            </w:r>
          </w:p>
          <w:p w14:paraId="4047FFFC">
            <w:pPr>
              <w:ind w:left="142" w:right="108"/>
              <w:jc w:val="center"/>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（专项法律服务）</w:t>
            </w:r>
          </w:p>
        </w:tc>
        <w:tc>
          <w:tcPr>
            <w:tcW w:w="3345" w:type="dxa"/>
            <w:vAlign w:val="center"/>
          </w:tcPr>
          <w:p w14:paraId="45B07DF2">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b/>
                <w:bCs/>
                <w:sz w:val="24"/>
                <w:szCs w:val="24"/>
                <w:u w:val="none"/>
                <w:lang w:val="en-US" w:eastAsia="zh-CN"/>
              </w:rPr>
              <w:t>%</w:t>
            </w:r>
          </w:p>
        </w:tc>
        <w:tc>
          <w:tcPr>
            <w:tcW w:w="2254" w:type="dxa"/>
            <w:vAlign w:val="center"/>
          </w:tcPr>
          <w:p w14:paraId="04574248">
            <w:pPr>
              <w:pStyle w:val="4"/>
              <w:jc w:val="center"/>
              <w:rPr>
                <w:rFonts w:hint="default"/>
                <w:b/>
                <w:bCs/>
                <w:lang w:val="en-US" w:eastAsia="zh-CN"/>
              </w:rPr>
            </w:pPr>
          </w:p>
        </w:tc>
      </w:tr>
    </w:tbl>
    <w:p w14:paraId="6552A346">
      <w:pPr>
        <w:pStyle w:val="4"/>
        <w:spacing w:line="371" w:lineRule="auto"/>
      </w:pPr>
    </w:p>
    <w:p w14:paraId="6BD4F362">
      <w:pPr>
        <w:pStyle w:val="4"/>
        <w:keepNext w:val="0"/>
        <w:keepLines w:val="0"/>
        <w:pageBreakBefore w:val="0"/>
        <w:wordWrap/>
        <w:overflowPunct/>
        <w:topLinePunct w:val="0"/>
        <w:autoSpaceDE w:val="0"/>
        <w:autoSpaceDN w:val="0"/>
        <w:bidi w:val="0"/>
        <w:adjustRightInd w:val="0"/>
        <w:spacing w:before="0" w:beforeLines="30" w:line="260" w:lineRule="exact"/>
        <w:rPr>
          <w:rFonts w:hint="default" w:eastAsia="宋体"/>
          <w:lang w:val="en-US" w:eastAsia="zh-CN"/>
        </w:rPr>
      </w:pPr>
    </w:p>
    <w:p w14:paraId="1EFC8127">
      <w:pPr>
        <w:pStyle w:val="4"/>
        <w:keepNext w:val="0"/>
        <w:keepLines w:val="0"/>
        <w:pageBreakBefore w:val="0"/>
        <w:wordWrap/>
        <w:overflowPunct/>
        <w:topLinePunct w:val="0"/>
        <w:autoSpaceDE w:val="0"/>
        <w:autoSpaceDN w:val="0"/>
        <w:bidi w:val="0"/>
        <w:adjustRightInd w:val="0"/>
        <w:spacing w:before="0" w:beforeLines="30" w:line="260" w:lineRule="exac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2FA8D9E0">
      <w:pPr>
        <w:pStyle w:val="10"/>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hAnsi="宋体" w:cs="宋体"/>
          <w:b/>
          <w:bCs/>
          <w:sz w:val="20"/>
          <w:szCs w:val="20"/>
          <w:highlight w:val="none"/>
          <w:lang w:val="en-US" w:eastAsia="zh-CN"/>
        </w:rPr>
      </w:pPr>
      <w:r>
        <w:rPr>
          <w:rFonts w:hint="eastAsia" w:hAnsi="宋体" w:cs="宋体"/>
          <w:b/>
          <w:bCs/>
          <w:sz w:val="20"/>
          <w:szCs w:val="20"/>
          <w:highlight w:val="none"/>
          <w:lang w:val="en-US" w:eastAsia="zh-CN"/>
        </w:rPr>
        <w:t>1. 常年法律顾问基础服务报价不得超过该项预算上限18000元（含税）。</w:t>
      </w:r>
    </w:p>
    <w:p w14:paraId="4C0CBFC9">
      <w:pPr>
        <w:pStyle w:val="10"/>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hAnsi="宋体" w:cs="宋体"/>
          <w:b/>
          <w:bCs/>
          <w:sz w:val="20"/>
          <w:szCs w:val="20"/>
          <w:highlight w:val="none"/>
          <w:lang w:val="en-US" w:eastAsia="zh-CN"/>
        </w:rPr>
      </w:pPr>
      <w:r>
        <w:rPr>
          <w:rFonts w:hint="eastAsia" w:hAnsi="宋体" w:cs="宋体"/>
          <w:b/>
          <w:bCs/>
          <w:sz w:val="20"/>
          <w:szCs w:val="20"/>
          <w:highlight w:val="none"/>
          <w:lang w:val="en-US" w:eastAsia="zh-CN"/>
        </w:rPr>
        <w:t>2. 专项法律服务（含诉讼代理、非诉讼专项法律服务等）：以粤价〔2006〕298号文收费标准下浮率不低于25%结算，服务商填报的专项服务响应下浮率取值范围在25%-50%之间，含25%和50%。实际发生费用按照“粤价〔2006〕298 号文收费标准×(1-响应下浮率)”计算，累计达到本项目预算总金额时自动终止。具体工作量、服务内容及费用由双方另行签订专项服务协议约定。</w:t>
      </w:r>
    </w:p>
    <w:p w14:paraId="5CA9783B">
      <w:pPr>
        <w:pStyle w:val="10"/>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135A0D05">
      <w:pPr>
        <w:pStyle w:val="10"/>
        <w:rPr>
          <w:rFonts w:ascii="宋体" w:hAnsi="宋体" w:eastAsia="宋体" w:cs="宋体"/>
          <w:spacing w:val="2"/>
          <w:sz w:val="24"/>
          <w:szCs w:val="24"/>
          <w:lang w:eastAsia="zh-CN"/>
        </w:rPr>
      </w:pPr>
    </w:p>
    <w:p w14:paraId="22E6EC37">
      <w:pPr>
        <w:pStyle w:val="10"/>
        <w:rPr>
          <w:rFonts w:ascii="宋体" w:hAnsi="宋体" w:eastAsia="宋体" w:cs="宋体"/>
          <w:spacing w:val="2"/>
          <w:sz w:val="24"/>
          <w:szCs w:val="24"/>
          <w:lang w:eastAsia="zh-CN"/>
        </w:rPr>
      </w:pPr>
    </w:p>
    <w:p w14:paraId="44053E00">
      <w:pPr>
        <w:pStyle w:val="10"/>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191" w:bottom="907" w:left="1191" w:header="0" w:footer="0" w:gutter="0"/>
          <w:cols w:space="720" w:num="1"/>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4"/>
        <w:spacing w:line="325" w:lineRule="auto"/>
        <w:rPr>
          <w:lang w:eastAsia="zh-CN"/>
        </w:rPr>
      </w:pPr>
    </w:p>
    <w:p w14:paraId="0DF79E5D">
      <w:pPr>
        <w:pStyle w:val="4"/>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中山市东升医院2026年度常年法律顾问服务项目（二次）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474" w:bottom="907" w:left="1474"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4"/>
        <w:spacing w:line="281" w:lineRule="auto"/>
        <w:rPr>
          <w:lang w:eastAsia="zh-CN"/>
        </w:rPr>
      </w:pPr>
    </w:p>
    <w:p w14:paraId="531F2256">
      <w:pPr>
        <w:pStyle w:val="4"/>
        <w:spacing w:line="281" w:lineRule="auto"/>
        <w:rPr>
          <w:lang w:eastAsia="zh-CN"/>
        </w:rPr>
      </w:pPr>
    </w:p>
    <w:p w14:paraId="1757552E">
      <w:pPr>
        <w:pStyle w:val="4"/>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val="en-US" w:eastAsia="zh-CN"/>
        </w:rPr>
        <w:t>复印件加盖公章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4"/>
        <w:spacing w:line="264" w:lineRule="auto"/>
        <w:rPr>
          <w:lang w:eastAsia="zh-CN"/>
        </w:rPr>
      </w:pPr>
    </w:p>
    <w:p w14:paraId="7669B1F2">
      <w:pPr>
        <w:pStyle w:val="4"/>
        <w:spacing w:line="264" w:lineRule="auto"/>
        <w:rPr>
          <w:lang w:eastAsia="zh-CN"/>
        </w:rPr>
      </w:pPr>
    </w:p>
    <w:p w14:paraId="35AD54B7">
      <w:pPr>
        <w:pStyle w:val="4"/>
        <w:spacing w:line="265" w:lineRule="auto"/>
        <w:rPr>
          <w:lang w:eastAsia="zh-CN"/>
        </w:rPr>
      </w:pPr>
    </w:p>
    <w:p w14:paraId="2B647D9C">
      <w:pPr>
        <w:pStyle w:val="4"/>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4"/>
        <w:spacing w:line="296" w:lineRule="auto"/>
        <w:rPr>
          <w:lang w:eastAsia="zh-CN"/>
        </w:rPr>
      </w:pPr>
    </w:p>
    <w:p w14:paraId="6CE3F126">
      <w:pPr>
        <w:pStyle w:val="4"/>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4"/>
        <w:spacing w:line="296" w:lineRule="auto"/>
        <w:rPr>
          <w:lang w:eastAsia="zh-CN"/>
        </w:rPr>
      </w:pPr>
    </w:p>
    <w:p w14:paraId="161E9A72">
      <w:pPr>
        <w:pStyle w:val="4"/>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4"/>
        <w:spacing w:line="267" w:lineRule="auto"/>
        <w:rPr>
          <w:lang w:eastAsia="zh-CN"/>
        </w:rPr>
      </w:pPr>
    </w:p>
    <w:p w14:paraId="74CD3E9F">
      <w:pPr>
        <w:pStyle w:val="4"/>
        <w:spacing w:line="267" w:lineRule="auto"/>
        <w:rPr>
          <w:lang w:eastAsia="zh-CN"/>
        </w:rPr>
      </w:pPr>
    </w:p>
    <w:p w14:paraId="663913BF">
      <w:pPr>
        <w:pStyle w:val="4"/>
        <w:spacing w:line="267" w:lineRule="auto"/>
        <w:rPr>
          <w:lang w:eastAsia="zh-CN"/>
        </w:rPr>
      </w:pPr>
    </w:p>
    <w:p w14:paraId="37346176">
      <w:pPr>
        <w:pStyle w:val="4"/>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4"/>
        <w:spacing w:line="273" w:lineRule="auto"/>
      </w:pPr>
    </w:p>
    <w:p w14:paraId="59ACC4F7">
      <w:pPr>
        <w:pStyle w:val="4"/>
        <w:spacing w:line="273" w:lineRule="auto"/>
      </w:pPr>
    </w:p>
    <w:p w14:paraId="72D9DF12">
      <w:pPr>
        <w:pStyle w:val="4"/>
        <w:spacing w:line="273" w:lineRule="auto"/>
      </w:pPr>
    </w:p>
    <w:p w14:paraId="32571043">
      <w:pPr>
        <w:pStyle w:val="4"/>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服务商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4"/>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4"/>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中山市东升医院2026年度常年法律顾问服务项目（二次）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服务商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4"/>
        <w:spacing w:line="283" w:lineRule="auto"/>
        <w:rPr>
          <w:lang w:eastAsia="zh-CN"/>
        </w:rPr>
      </w:pPr>
    </w:p>
    <w:p w14:paraId="6F145D85">
      <w:pPr>
        <w:pStyle w:val="4"/>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4"/>
        <w:spacing w:line="277" w:lineRule="auto"/>
        <w:rPr>
          <w:lang w:eastAsia="zh-CN"/>
        </w:rPr>
      </w:pPr>
    </w:p>
    <w:p w14:paraId="130A4A24">
      <w:pPr>
        <w:pStyle w:val="4"/>
        <w:spacing w:line="277" w:lineRule="auto"/>
        <w:rPr>
          <w:lang w:eastAsia="zh-CN"/>
        </w:rPr>
      </w:pPr>
    </w:p>
    <w:p w14:paraId="379E201F">
      <w:pPr>
        <w:pStyle w:val="4"/>
        <w:spacing w:line="277" w:lineRule="auto"/>
        <w:rPr>
          <w:lang w:eastAsia="zh-CN"/>
        </w:rPr>
      </w:pPr>
    </w:p>
    <w:p w14:paraId="4C47DA1B">
      <w:pPr>
        <w:pStyle w:val="4"/>
        <w:spacing w:line="278" w:lineRule="auto"/>
        <w:rPr>
          <w:lang w:eastAsia="zh-CN"/>
        </w:rPr>
      </w:pPr>
    </w:p>
    <w:p w14:paraId="4CD07A94">
      <w:pPr>
        <w:pStyle w:val="4"/>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服务商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七</w:t>
      </w:r>
      <w:r>
        <w:rPr>
          <w:rFonts w:ascii="宋体" w:hAnsi="宋体" w:eastAsia="宋体" w:cs="宋体"/>
          <w:b/>
          <w:bCs/>
          <w:spacing w:val="8"/>
          <w:sz w:val="20"/>
          <w:szCs w:val="20"/>
          <w:lang w:eastAsia="zh-CN"/>
        </w:rPr>
        <w:t>、近 12 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hint="eastAsia" w:ascii="宋体" w:hAnsi="宋体" w:eastAsia="宋体" w:cs="宋体"/>
          <w:b/>
          <w:bCs/>
          <w:spacing w:val="3"/>
          <w:sz w:val="20"/>
          <w:szCs w:val="20"/>
          <w:lang w:val="en-US" w:eastAsia="zh-CN"/>
        </w:rPr>
        <w:t>八</w:t>
      </w:r>
      <w:r>
        <w:rPr>
          <w:rFonts w:ascii="宋体" w:hAnsi="宋体" w:eastAsia="宋体" w:cs="宋体"/>
          <w:b/>
          <w:bCs/>
          <w:spacing w:val="3"/>
          <w:sz w:val="20"/>
          <w:szCs w:val="20"/>
          <w:lang w:eastAsia="zh-CN"/>
        </w:rPr>
        <w:t>、近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九</w:t>
      </w:r>
      <w:r>
        <w:rPr>
          <w:rFonts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服务商未被列入“信用中国”网站(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25F57C7D">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十、律师事务所执业许可证等证件证明资料（加盖公章）。</w:t>
      </w:r>
    </w:p>
    <w:p w14:paraId="16A2B0A4">
      <w:pPr>
        <w:spacing w:before="137" w:line="227" w:lineRule="auto"/>
        <w:rPr>
          <w:rFonts w:hint="eastAsia" w:ascii="宋体" w:hAnsi="宋体" w:eastAsia="宋体" w:cs="宋体"/>
          <w:b/>
          <w:bCs/>
          <w:spacing w:val="7"/>
          <w:sz w:val="20"/>
          <w:szCs w:val="20"/>
          <w:lang w:val="en-US" w:eastAsia="zh-CN"/>
        </w:rPr>
        <w:sectPr>
          <w:pgSz w:w="11900" w:h="16840"/>
          <w:pgMar w:top="907" w:right="1474" w:bottom="907" w:left="1474" w:header="0" w:footer="0" w:gutter="0"/>
          <w:cols w:space="720" w:num="1"/>
        </w:sectPr>
      </w:pP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4"/>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0"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0"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0"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0"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1"/>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481C8D81">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bookmarkStart w:id="0" w:name="heading_2"/>
            <w:r>
              <w:rPr>
                <w:rFonts w:hint="eastAsia" w:ascii="宋体" w:hAnsi="宋体" w:eastAsia="宋体" w:cs="宋体"/>
                <w:sz w:val="20"/>
                <w:szCs w:val="20"/>
                <w:lang w:val="en-US" w:eastAsia="zh-CN"/>
              </w:rPr>
              <w:t>一、项目概况</w:t>
            </w:r>
            <w:bookmarkEnd w:id="0"/>
          </w:p>
          <w:p w14:paraId="02748E5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项目名称：中山市东升医院2026年度常年法律顾问服务项目（二次）</w:t>
            </w:r>
          </w:p>
          <w:p w14:paraId="6C19106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项目编号：FW-YW-YW-2026076</w:t>
            </w:r>
          </w:p>
          <w:p w14:paraId="5F4E895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服务期限：</w:t>
            </w:r>
          </w:p>
          <w:p w14:paraId="0FA0B5F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（1）常年法律顾问基础服务自合同签订生效之日起1年。</w:t>
            </w:r>
          </w:p>
          <w:p w14:paraId="2C61F38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（2）专项法律服务出现下列任一条件时，该项服务自动终止：</w:t>
            </w:r>
          </w:p>
          <w:p w14:paraId="5C4203E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① 服务期内采购金额累计达到本项目预算总金额；</w:t>
            </w:r>
          </w:p>
          <w:p w14:paraId="0D986C71">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② 自合同签订生效之日起，服务期满一年；</w:t>
            </w:r>
          </w:p>
          <w:p w14:paraId="0CC27A7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③ 剩余预算不足以采购清单内任一服务时，合同自动终止。</w:t>
            </w:r>
          </w:p>
          <w:p w14:paraId="2A6EA6B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服务地点：中山市东升医院院内及相关业务延伸场地</w:t>
            </w:r>
          </w:p>
          <w:p w14:paraId="7849EBC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服务内容：本项目旨在通过采购专业法律服务机构提供的常年法律顾问服务，以规范医院内部运营管理，防范医疗及经营法律风险，妥善处理各类涉法事务，并开展普法宣传教育工作；如需诉讼、非诉讼专项法律服务，亦同步配套相应的专业服务支持。</w:t>
            </w:r>
          </w:p>
          <w:p w14:paraId="1C026E7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项目预算：43000元(含税价)，</w:t>
            </w:r>
          </w:p>
          <w:p w14:paraId="4B9C806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（1）常年法律顾问基础服务含税总价上限为18000元/年。</w:t>
            </w:r>
          </w:p>
          <w:p w14:paraId="231B6B6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专项法律服务：如诉讼代理、非诉讼专项法律服务等，参照关于印发《广东省物价局、司法厅律师服务收费管理实施办法》的通知粤价〔2006〕298号收费标准下浮率不低于25%结算，具体工作量、费用由双方另行签订专项服务协议约定。</w:t>
            </w:r>
          </w:p>
          <w:p w14:paraId="7B8C512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 报价要求：</w:t>
            </w:r>
          </w:p>
          <w:p w14:paraId="3B5EFBE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（1）常年法律顾问基础服务报价不得超过该项预算上限18000元（含税）。</w:t>
            </w:r>
          </w:p>
          <w:p w14:paraId="50B2C006">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专项法律服务（含诉讼代理、非诉讼专项法律服务等）：以粤价〔2006〕298号文收费标准下浮率不低于25%结算，服务商填报的专项服务响应下浮率取值范围在25%-50%之间，含25%和50%。实际发生费用按照“粤价〔2006〕298 号文收费标准×(1-响应下浮率)”计算，累计达到本项目预算总金额时自动终止。具体工作量、服务内容及费用由双方另行签订专项服务协议约定。</w:t>
            </w:r>
          </w:p>
          <w:p w14:paraId="7E7EB4A1">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（3）报价文件格式详见附件三《响应文件模板（二次）》。</w:t>
            </w:r>
          </w:p>
        </w:tc>
        <w:tc>
          <w:tcPr>
            <w:tcW w:w="1410" w:type="dxa"/>
          </w:tcPr>
          <w:p w14:paraId="03ED26DE">
            <w:pPr>
              <w:pStyle w:val="12"/>
              <w:rPr>
                <w:rFonts w:ascii="宋体" w:hAnsi="宋体" w:eastAsia="宋体" w:cs="宋体"/>
                <w:lang w:eastAsia="zh-CN"/>
              </w:rPr>
            </w:pPr>
          </w:p>
        </w:tc>
        <w:tc>
          <w:tcPr>
            <w:tcW w:w="1065" w:type="dxa"/>
          </w:tcPr>
          <w:p w14:paraId="314D7EEC">
            <w:pPr>
              <w:pStyle w:val="12"/>
              <w:rPr>
                <w:rFonts w:ascii="宋体" w:hAnsi="宋体" w:eastAsia="宋体" w:cs="宋体"/>
                <w:lang w:eastAsia="zh-CN"/>
              </w:rPr>
            </w:pPr>
          </w:p>
        </w:tc>
        <w:tc>
          <w:tcPr>
            <w:tcW w:w="1065" w:type="dxa"/>
          </w:tcPr>
          <w:p w14:paraId="0A9D39B5">
            <w:pPr>
              <w:pStyle w:val="12"/>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43A8ACF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、常年法律顾问基础服务核心服务内容</w:t>
            </w:r>
          </w:p>
          <w:p w14:paraId="44DD1909">
            <w:pPr>
              <w:widowControl w:val="0"/>
              <w:spacing w:line="240" w:lineRule="exact"/>
              <w:rPr>
                <w:rFonts w:hint="eastAsia" w:ascii="宋体" w:hAnsi="宋体" w:eastAsia="宋体" w:cs="宋体"/>
                <w:sz w:val="20"/>
                <w:szCs w:val="20"/>
                <w:lang w:eastAsia="zh-CN"/>
              </w:rPr>
            </w:pPr>
            <w:bookmarkStart w:id="1" w:name="heading_4"/>
            <w:r>
              <w:rPr>
                <w:rFonts w:hint="eastAsia" w:ascii="宋体" w:hAnsi="宋体" w:eastAsia="宋体" w:cs="宋体"/>
                <w:sz w:val="20"/>
                <w:szCs w:val="20"/>
                <w:lang w:eastAsia="zh-CN"/>
              </w:rPr>
              <w:t>（一）日常法律事务服务</w:t>
            </w:r>
            <w:bookmarkEnd w:id="1"/>
          </w:p>
          <w:p w14:paraId="1204703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全天候承接医院口头及书面法律咨询，针对医疗纠纷、人事用工、对外合作、行政管理、招投标、医疗文书规范等各类事项提供专业法律解答。</w:t>
            </w:r>
          </w:p>
          <w:p w14:paraId="3ABD03D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医院依法执业专项服务：配合医院开展依法执业风险监测、评估及常态化防控；定期组织全院全面合规自查，全年提供日常合规风险动态法律支撑，并出具相应的风险防控法律意见。</w:t>
            </w:r>
          </w:p>
          <w:p w14:paraId="32287E5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医院制度合法性审查：依据现行法律法规及卫健部门规章，对医院新增内部制度进行合法性审查，并对过时、不适用之旧制度逐条出具修订或废止的专项法律建议。</w:t>
            </w:r>
          </w:p>
          <w:p w14:paraId="76B553D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重大事项、决策法律支持：针对医院重大经营、诊疗、采购、合作等事项，按需出具专项法律意见。</w:t>
            </w:r>
          </w:p>
          <w:p w14:paraId="2659104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合同、文件审核：对工程建设、外包服务、设备采购、合作经营类合同及招投标文件等高风险专业合同开展审查，逐条梳理履约、追责、合规风险，并出具修改版本及风险提示。</w:t>
            </w:r>
          </w:p>
          <w:p w14:paraId="281879DA">
            <w:pPr>
              <w:widowControl w:val="0"/>
              <w:spacing w:line="240" w:lineRule="exact"/>
              <w:rPr>
                <w:rFonts w:hint="eastAsia" w:ascii="宋体" w:hAnsi="宋体" w:eastAsia="宋体" w:cs="宋体"/>
                <w:sz w:val="20"/>
                <w:szCs w:val="20"/>
                <w:lang w:eastAsia="zh-CN"/>
              </w:rPr>
            </w:pPr>
            <w:bookmarkStart w:id="2" w:name="heading_5"/>
            <w:r>
              <w:rPr>
                <w:rFonts w:hint="eastAsia" w:ascii="宋体" w:hAnsi="宋体" w:eastAsia="宋体" w:cs="宋体"/>
                <w:sz w:val="20"/>
                <w:szCs w:val="20"/>
                <w:lang w:eastAsia="zh-CN"/>
              </w:rPr>
              <w:t>（二）函件、法律文书出具</w:t>
            </w:r>
            <w:bookmarkEnd w:id="2"/>
          </w:p>
          <w:p w14:paraId="3F52105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律师函：按需出具律师函，资料齐全后2个工作日内完成起草、修改；</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常规法律意见书：按需出具各类常规法律意见书，简单事项1个工作日内答复，复杂疑难事项3-5个工作日出具完整书面意见。</w:t>
            </w:r>
          </w:p>
          <w:p w14:paraId="6FB1264C">
            <w:pPr>
              <w:widowControl w:val="0"/>
              <w:spacing w:line="240" w:lineRule="exact"/>
              <w:rPr>
                <w:rFonts w:hint="eastAsia" w:ascii="宋体" w:hAnsi="宋体" w:eastAsia="宋体" w:cs="宋体"/>
                <w:sz w:val="20"/>
                <w:szCs w:val="20"/>
                <w:lang w:eastAsia="zh-CN"/>
              </w:rPr>
            </w:pPr>
            <w:bookmarkStart w:id="3" w:name="heading_6"/>
            <w:r>
              <w:rPr>
                <w:rFonts w:hint="eastAsia" w:ascii="宋体" w:hAnsi="宋体" w:eastAsia="宋体" w:cs="宋体"/>
                <w:sz w:val="20"/>
                <w:szCs w:val="20"/>
                <w:lang w:eastAsia="zh-CN"/>
              </w:rPr>
              <w:t>（三）法治宣传与法律培训服务</w:t>
            </w:r>
            <w:bookmarkEnd w:id="3"/>
          </w:p>
          <w:p w14:paraId="72E7C0C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结合医疗卫生行业法律法规、典型医疗纠纷案例、医院现存及潜在法律风险定制普法内容，定期开展院内法律培训。</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定期组织全院职工法律法规线下普法讲座；</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按月产出图文普法宣传素材，结合医疗热点、既往医患纠纷以案释法；普法主题可根据医院需求定制，或配合国家法定法治宣传节点同步制作宣传资料。</w:t>
            </w:r>
          </w:p>
          <w:p w14:paraId="3B848161">
            <w:pPr>
              <w:widowControl w:val="0"/>
              <w:spacing w:line="240" w:lineRule="exact"/>
              <w:rPr>
                <w:rFonts w:hint="eastAsia" w:ascii="宋体" w:hAnsi="宋体" w:eastAsia="宋体" w:cs="宋体"/>
                <w:sz w:val="20"/>
                <w:szCs w:val="20"/>
                <w:lang w:eastAsia="zh-CN"/>
              </w:rPr>
            </w:pPr>
            <w:bookmarkStart w:id="4" w:name="heading_7"/>
            <w:r>
              <w:rPr>
                <w:rFonts w:hint="eastAsia" w:ascii="宋体" w:hAnsi="宋体" w:eastAsia="宋体" w:cs="宋体"/>
                <w:sz w:val="20"/>
                <w:szCs w:val="20"/>
                <w:lang w:eastAsia="zh-CN"/>
              </w:rPr>
              <w:t>（四）医疗纠纷处置</w:t>
            </w:r>
            <w:bookmarkEnd w:id="4"/>
          </w:p>
          <w:p w14:paraId="4D6B3C2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全年协助医院处置各类医患纠纷，提供调解、沟通法律意见，针对重大疑难纠纷出具专项书面处置方案。</w:t>
            </w:r>
          </w:p>
          <w:p w14:paraId="12316E76">
            <w:pPr>
              <w:widowControl w:val="0"/>
              <w:spacing w:line="240" w:lineRule="exact"/>
              <w:rPr>
                <w:rFonts w:hint="eastAsia" w:ascii="宋体" w:hAnsi="宋体" w:eastAsia="宋体" w:cs="宋体"/>
                <w:sz w:val="20"/>
                <w:szCs w:val="20"/>
                <w:lang w:eastAsia="zh-CN"/>
              </w:rPr>
            </w:pPr>
            <w:bookmarkStart w:id="5" w:name="heading_8"/>
            <w:r>
              <w:rPr>
                <w:rFonts w:hint="eastAsia" w:ascii="宋体" w:hAnsi="宋体" w:eastAsia="宋体" w:cs="宋体"/>
                <w:sz w:val="20"/>
                <w:szCs w:val="20"/>
                <w:lang w:eastAsia="zh-CN"/>
              </w:rPr>
              <w:t>（五）应急及群体性事件处置服务</w:t>
            </w:r>
            <w:bookmarkEnd w:id="5"/>
          </w:p>
          <w:p w14:paraId="6AD8DEA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当医院发生医患冲突、突发涉法事件或群体维权事件时，服务机构须迅速到场处置，第一时间出具应急处置法律方案，现场进行法律法规解读，事后提交书面法律意见，并配合医院对接公安、卫健、司法等行政主管部门。</w:t>
            </w:r>
          </w:p>
        </w:tc>
        <w:tc>
          <w:tcPr>
            <w:tcW w:w="1410" w:type="dxa"/>
          </w:tcPr>
          <w:p w14:paraId="69CF45F5">
            <w:pPr>
              <w:pStyle w:val="12"/>
              <w:rPr>
                <w:rFonts w:ascii="宋体" w:hAnsi="宋体" w:eastAsia="宋体" w:cs="宋体"/>
                <w:lang w:eastAsia="zh-CN"/>
              </w:rPr>
            </w:pPr>
          </w:p>
        </w:tc>
        <w:tc>
          <w:tcPr>
            <w:tcW w:w="1065" w:type="dxa"/>
          </w:tcPr>
          <w:p w14:paraId="4B1E84E1">
            <w:pPr>
              <w:pStyle w:val="12"/>
              <w:rPr>
                <w:rFonts w:ascii="宋体" w:hAnsi="宋体" w:eastAsia="宋体" w:cs="宋体"/>
                <w:lang w:eastAsia="zh-CN"/>
              </w:rPr>
            </w:pPr>
          </w:p>
        </w:tc>
        <w:tc>
          <w:tcPr>
            <w:tcW w:w="1065" w:type="dxa"/>
          </w:tcPr>
          <w:p w14:paraId="050D5957">
            <w:pPr>
              <w:pStyle w:val="12"/>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79"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64F3CB81">
            <w:pPr>
              <w:widowControl w:val="0"/>
              <w:spacing w:line="240" w:lineRule="exact"/>
              <w:rPr>
                <w:rFonts w:hint="eastAsia" w:ascii="宋体" w:hAnsi="宋体" w:eastAsia="宋体" w:cs="宋体"/>
                <w:sz w:val="20"/>
                <w:szCs w:val="20"/>
                <w:lang w:eastAsia="zh-CN"/>
              </w:rPr>
            </w:pPr>
            <w:bookmarkStart w:id="6" w:name="heading_9"/>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、专项法律服务</w:t>
            </w:r>
            <w:bookmarkEnd w:id="6"/>
          </w:p>
          <w:p w14:paraId="69B8DCEB">
            <w:pPr>
              <w:widowControl w:val="0"/>
              <w:spacing w:line="240" w:lineRule="exact"/>
              <w:ind w:firstLine="400" w:firstLineChars="200"/>
              <w:rPr>
                <w:rFonts w:hint="eastAsia" w:ascii="宋体" w:hAnsi="宋体" w:eastAsia="宋体" w:cs="宋体"/>
                <w:sz w:val="20"/>
                <w:szCs w:val="20"/>
                <w:lang w:val="en-US" w:eastAsia="zh-CN"/>
              </w:rPr>
            </w:pPr>
            <w:r>
              <w:rPr>
                <w:rFonts w:hint="eastAsia" w:ascii="宋体" w:hAnsi="宋体" w:eastAsia="宋体" w:cs="宋体"/>
                <w:sz w:val="20"/>
                <w:szCs w:val="20"/>
                <w:lang w:eastAsia="zh-CN"/>
              </w:rPr>
              <w:t>除基础常年法律顾问服务外，医院可按需采购诉讼代理、非诉讼专项法律服务</w:t>
            </w:r>
            <w:r>
              <w:rPr>
                <w:rFonts w:hint="eastAsia" w:ascii="宋体" w:hAnsi="宋体" w:eastAsia="宋体" w:cs="宋体"/>
                <w:sz w:val="20"/>
                <w:szCs w:val="20"/>
                <w:lang w:val="en-US" w:eastAsia="zh-CN"/>
              </w:rPr>
              <w:t>等</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按照专项法律服务报价响应下浮率进行结算，具体工作量、费用由双方另行签订专项服务协议约定。</w:t>
            </w:r>
          </w:p>
          <w:p w14:paraId="1FD1360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具体需求及费用计算如下：</w:t>
            </w:r>
          </w:p>
          <w:p w14:paraId="7D4FBA25">
            <w:pPr>
              <w:widowControl w:val="0"/>
              <w:spacing w:line="240" w:lineRule="exact"/>
              <w:rPr>
                <w:rFonts w:hint="eastAsia" w:ascii="宋体" w:hAnsi="宋体" w:eastAsia="宋体" w:cs="宋体"/>
                <w:sz w:val="20"/>
                <w:szCs w:val="20"/>
                <w:lang w:eastAsia="zh-CN"/>
              </w:rPr>
            </w:pPr>
            <w:bookmarkStart w:id="7" w:name="heading_10"/>
            <w:r>
              <w:rPr>
                <w:rFonts w:hint="eastAsia" w:ascii="宋体" w:hAnsi="宋体" w:eastAsia="宋体" w:cs="宋体"/>
                <w:sz w:val="20"/>
                <w:szCs w:val="20"/>
                <w:lang w:eastAsia="zh-CN"/>
              </w:rPr>
              <w:t>（一）诉讼、仲裁案件代理服务</w:t>
            </w:r>
            <w:bookmarkEnd w:id="7"/>
          </w:p>
          <w:p w14:paraId="319324B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服务范围：医疗损害纠纷、劳动人事争议、合同纠纷、侵权纠纷、行政争议等全部一审、二审、再审、重审、执行案件全程代理。</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全流程工作要求：案件资料调取、证据固定、诉讼文书撰写、立案、出庭、调解、文书签收、强制执行、执行和解等全环节专人全程跟进。</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诉讼标的金额基础收费标准：（一审案件）</w:t>
            </w:r>
          </w:p>
          <w:p w14:paraId="79A651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5万元及以下5000元</w:t>
            </w:r>
          </w:p>
          <w:p w14:paraId="6C88D7C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5万-10万元（含10万元）标的额8%</w:t>
            </w:r>
          </w:p>
          <w:p w14:paraId="522DB7E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10万-50万元（含50万）标的额5%</w:t>
            </w:r>
          </w:p>
          <w:p w14:paraId="2B252B5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50万-100万元（含100万）标的额4%</w:t>
            </w:r>
          </w:p>
          <w:p w14:paraId="3B4237C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100万-500万元（含500万）标的额3%</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配套计费约定：</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（1）基础折扣双重约定：常年法律顾问合作单位，</w:t>
            </w:r>
            <w:r>
              <w:rPr>
                <w:rFonts w:hint="eastAsia" w:ascii="宋体" w:hAnsi="宋体" w:eastAsia="宋体" w:cs="宋体"/>
                <w:sz w:val="20"/>
                <w:szCs w:val="20"/>
                <w:lang w:val="en-US" w:eastAsia="zh-CN"/>
              </w:rPr>
              <w:t>按照专项法律服务报价响应下浮率进行结算</w:t>
            </w:r>
            <w:r>
              <w:rPr>
                <w:rFonts w:hint="eastAsia" w:ascii="宋体" w:hAnsi="宋体" w:eastAsia="宋体" w:cs="宋体"/>
                <w:sz w:val="20"/>
                <w:szCs w:val="20"/>
                <w:lang w:eastAsia="zh-CN"/>
              </w:rPr>
              <w:t>；</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（2）案件审理中变更诉讼请求的，以最终诉求总金额核算律师费；</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（3）二审、再审、发回重审程序律师费，按一审最终确认费用减半收取；</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（4）前往律师事务所办公所在城市以外地区办案产生的交通、食宿等差旅费用实报实销。</w:t>
            </w:r>
          </w:p>
          <w:p w14:paraId="4ADA665D">
            <w:pPr>
              <w:widowControl w:val="0"/>
              <w:spacing w:line="240" w:lineRule="exact"/>
              <w:rPr>
                <w:rFonts w:hint="eastAsia" w:ascii="宋体" w:hAnsi="宋体" w:eastAsia="宋体" w:cs="宋体"/>
                <w:sz w:val="20"/>
                <w:szCs w:val="20"/>
                <w:lang w:eastAsia="zh-CN"/>
              </w:rPr>
            </w:pPr>
            <w:bookmarkStart w:id="8" w:name="heading_11"/>
            <w:r>
              <w:rPr>
                <w:rFonts w:hint="eastAsia" w:ascii="宋体" w:hAnsi="宋体" w:eastAsia="宋体" w:cs="宋体"/>
                <w:sz w:val="20"/>
                <w:szCs w:val="20"/>
                <w:lang w:eastAsia="zh-CN"/>
              </w:rPr>
              <w:t>（二）院内会议专项法律服务</w:t>
            </w:r>
            <w:bookmarkEnd w:id="8"/>
          </w:p>
          <w:p w14:paraId="11C399E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根据医院需求列席、参与病例研讨会议、伦理委员会会议、医患纠纷协调会、职工管理会议等各类院内工作会议，现场提供法律支撑；服务时长根据事项复杂程度、律师执业资历据实核算。</w:t>
            </w:r>
          </w:p>
          <w:p w14:paraId="7F34D3BD">
            <w:pPr>
              <w:widowControl w:val="0"/>
              <w:spacing w:line="240" w:lineRule="exact"/>
              <w:rPr>
                <w:rFonts w:hint="eastAsia" w:ascii="宋体" w:hAnsi="宋体" w:eastAsia="宋体" w:cs="宋体"/>
                <w:sz w:val="20"/>
                <w:szCs w:val="20"/>
                <w:lang w:eastAsia="zh-CN"/>
              </w:rPr>
            </w:pPr>
            <w:bookmarkStart w:id="9" w:name="heading_12"/>
            <w:r>
              <w:rPr>
                <w:rFonts w:hint="eastAsia" w:ascii="宋体" w:hAnsi="宋体" w:eastAsia="宋体" w:cs="宋体"/>
                <w:sz w:val="20"/>
                <w:szCs w:val="20"/>
                <w:lang w:eastAsia="zh-CN"/>
              </w:rPr>
              <w:t>（三）其他非诉讼专项法律服务</w:t>
            </w:r>
            <w:bookmarkEnd w:id="9"/>
          </w:p>
          <w:p w14:paraId="740CDE39">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包含尽职调查、专项法律意见书、投融资合作、资质申报、专项谈判、合规整改评估、出具律师函等非诉讼专项业务，具体工作量、费用由双方另行签订专项服务协议约定。</w:t>
            </w:r>
          </w:p>
        </w:tc>
        <w:tc>
          <w:tcPr>
            <w:tcW w:w="1410" w:type="dxa"/>
          </w:tcPr>
          <w:p w14:paraId="50520806">
            <w:pPr>
              <w:pStyle w:val="12"/>
              <w:rPr>
                <w:rFonts w:ascii="宋体" w:hAnsi="宋体" w:eastAsia="宋体" w:cs="宋体"/>
                <w:lang w:eastAsia="zh-CN"/>
              </w:rPr>
            </w:pPr>
          </w:p>
        </w:tc>
        <w:tc>
          <w:tcPr>
            <w:tcW w:w="1065" w:type="dxa"/>
          </w:tcPr>
          <w:p w14:paraId="27AC7BB1">
            <w:pPr>
              <w:pStyle w:val="12"/>
              <w:rPr>
                <w:rFonts w:ascii="宋体" w:hAnsi="宋体" w:eastAsia="宋体" w:cs="宋体"/>
                <w:lang w:eastAsia="zh-CN"/>
              </w:rPr>
            </w:pPr>
          </w:p>
        </w:tc>
        <w:tc>
          <w:tcPr>
            <w:tcW w:w="1065" w:type="dxa"/>
          </w:tcPr>
          <w:p w14:paraId="714423AC">
            <w:pPr>
              <w:pStyle w:val="12"/>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5423B1B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四、常年法律顾问基础年费要求</w:t>
            </w:r>
          </w:p>
          <w:p w14:paraId="34BE414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★报价包含全年基础法律顾问全部服务内容含税总价，报价上限18000元/年。【若投标人投标报价超过本上限，按实质性条款负偏离处理，直接判定为无效投标，不进入后续评审环节。】</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2. 基础年费包含本需求书第二点所列全部基础服务费用，包括但不限于：日常法律咨询、全院依法执业自查、制度审查、重大事项法律支持、合同审核、律师函、常规法律意见书、年度普法讲座、月度普法素材、医疗纠纷处置、应急事件处置服务等全部基础工作。</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3. 基础年费不含以下费用：</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（1）诉讼、仲裁、专项非诉讼法律服务费用；</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（2）法院诉讼费、仲裁费、不动产查册费等行政事业性收费；</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（3）鉴定、评估、审计等第三方机构出具报告的服务费用；</w:t>
            </w:r>
            <w:r>
              <w:rPr>
                <w:rFonts w:hint="default" w:ascii="宋体" w:hAnsi="宋体" w:eastAsia="宋体" w:cs="宋体"/>
                <w:sz w:val="20"/>
                <w:szCs w:val="20"/>
                <w:lang w:val="en-US" w:eastAsia="zh-CN"/>
              </w:rPr>
              <w:br w:type="textWrapping"/>
            </w:r>
            <w:r>
              <w:rPr>
                <w:rFonts w:hint="default" w:ascii="宋体" w:hAnsi="宋体" w:eastAsia="宋体" w:cs="宋体"/>
                <w:sz w:val="20"/>
                <w:szCs w:val="20"/>
                <w:lang w:val="en-US" w:eastAsia="zh-CN"/>
              </w:rPr>
              <w:t>（4）服务机构前往律师事务所办公所在城市以外区域提供服务产生的交通费、住宿费、餐饮费、通讯费等差旅费，该类费用据实由医院承担。</w:t>
            </w:r>
          </w:p>
        </w:tc>
        <w:tc>
          <w:tcPr>
            <w:tcW w:w="1410" w:type="dxa"/>
          </w:tcPr>
          <w:p w14:paraId="1976FE37">
            <w:pPr>
              <w:pStyle w:val="12"/>
              <w:rPr>
                <w:rFonts w:ascii="宋体" w:hAnsi="宋体" w:eastAsia="宋体" w:cs="宋体"/>
                <w:lang w:eastAsia="zh-CN"/>
              </w:rPr>
            </w:pPr>
          </w:p>
        </w:tc>
        <w:tc>
          <w:tcPr>
            <w:tcW w:w="1065" w:type="dxa"/>
          </w:tcPr>
          <w:p w14:paraId="23D2CAC8">
            <w:pPr>
              <w:pStyle w:val="12"/>
              <w:rPr>
                <w:rFonts w:ascii="宋体" w:hAnsi="宋体" w:eastAsia="宋体" w:cs="宋体"/>
                <w:lang w:eastAsia="zh-CN"/>
              </w:rPr>
            </w:pPr>
          </w:p>
        </w:tc>
        <w:tc>
          <w:tcPr>
            <w:tcW w:w="1065" w:type="dxa"/>
          </w:tcPr>
          <w:p w14:paraId="6941F157">
            <w:pPr>
              <w:pStyle w:val="12"/>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61001B8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、服务商服务能力与保障要求</w:t>
            </w:r>
          </w:p>
          <w:p w14:paraId="790245B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★人员团队配置要求</w:t>
            </w:r>
          </w:p>
          <w:p w14:paraId="3B3DC4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服务商须组建专属医院法律服务固定团队，团队内包含主办律师、辅助律师及律师助理，团队成员具备医疗卫生法律相关从业经验；主办律师具备3年以上医疗卫生行业法律服务经验。建立人员临时替补机制，保障法律服务不间断；实行包案责任制：所有诉讼、专项非诉讼业务确定承办律师后，无重大特殊情况或医院书面要求不得更换，承办律师对案件全流程质量全权负责。【投标人须出具加盖投标人公章的《年度法律服务履约承诺函》，足额承诺完成制度审查、合同审核、普法、纠纷处置以及附件</w:t>
            </w:r>
            <w:r>
              <w:rPr>
                <w:rFonts w:hint="eastAsia" w:ascii="宋体" w:hAnsi="宋体" w:eastAsia="宋体" w:cs="宋体"/>
                <w:sz w:val="20"/>
                <w:szCs w:val="20"/>
                <w:lang w:val="en-US" w:eastAsia="zh-CN"/>
              </w:rPr>
              <w:t>一《服务需求</w:t>
            </w:r>
            <w:r>
              <w:rPr>
                <w:rFonts w:hint="eastAsia" w:ascii="宋体" w:hAnsi="宋体" w:eastAsia="宋体" w:cs="宋体"/>
                <w:sz w:val="20"/>
                <w:szCs w:val="20"/>
                <w:lang w:eastAsia="zh-CN"/>
              </w:rPr>
              <w:t>清单》</w:t>
            </w:r>
            <w:bookmarkStart w:id="12" w:name="_GoBack"/>
            <w:bookmarkEnd w:id="12"/>
            <w:r>
              <w:rPr>
                <w:rFonts w:hint="eastAsia" w:ascii="宋体" w:hAnsi="宋体" w:eastAsia="宋体" w:cs="宋体"/>
                <w:sz w:val="20"/>
                <w:szCs w:val="20"/>
                <w:lang w:eastAsia="zh-CN"/>
              </w:rPr>
              <w:t>所列全部服务工作；无法提供该加盖公章承诺函或未承诺完成全部服务内容的，按实质性条款负偏离处理，直接判定为无效投标，不进入后续评审环节。】</w:t>
            </w:r>
          </w:p>
          <w:p w14:paraId="26454D3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▲响应时效硬性标准</w:t>
            </w:r>
          </w:p>
          <w:p w14:paraId="68B369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简单无案件关联口头法律咨询：即时口头答复；涉具体案件的常规咨询、书面咨询：1个工作日内出具答复意见；律师函起草（资料齐全）：2个工作日内完成；复杂疑难咨询、常规法律意见书（不含专项尽调法律意见书）：3‑5个工作日出具完整书面意见；</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突发、群体性涉法事件：接到通知后当日工作时段内抵达现场，同步出具应急法律处置方案。</w:t>
            </w:r>
          </w:p>
          <w:p w14:paraId="48A9AD1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▲日常沟通与回访机制</w:t>
            </w:r>
          </w:p>
          <w:p w14:paraId="0F51AD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服务周期内，服务商每年不少于2次上门回访，梳理全年法律服务工作，出具回访总结报告，对照本文件全部服务内容核对完成情况，根据医院需求优化法律服务流程与工作模式。日常工作中发现管理法律漏洞，需主动向医院专项汇报。</w:t>
            </w:r>
          </w:p>
          <w:p w14:paraId="546DB9D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四）</w:t>
            </w:r>
            <w:r>
              <w:rPr>
                <w:rFonts w:hint="eastAsia" w:ascii="宋体" w:hAnsi="宋体" w:eastAsia="宋体" w:cs="宋体"/>
                <w:sz w:val="20"/>
                <w:szCs w:val="20"/>
                <w:lang w:eastAsia="zh-CN"/>
              </w:rPr>
              <w:t>★执业规范与职业道德要求</w:t>
            </w:r>
          </w:p>
          <w:p w14:paraId="3E098A5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全体服务人员严格遵守国家法律法规、律师行业管理规范，勤勉履职，最大限度维护医院合法权益；服务期间不得代理与本院存在利益冲突的第三方开展诉讼、仲裁及非诉讼法律事务；严格按照双方约定标准收取法律服务费用，无隐性收费、乱收费行为。【投标人须出具加盖投标人公章的《利益冲突规避承诺函》；无法提供该加盖公章承诺函、不满足本条款要求的，按实质性条款负偏离处理，直接判定为无效投标，不进入后续评审环节。】</w:t>
            </w:r>
          </w:p>
          <w:p w14:paraId="7B7E857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★保密管理要求</w:t>
            </w:r>
          </w:p>
          <w:p w14:paraId="2F4153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服务商及全体服务团队对服务过程中获取的医院医疗数据、医患信息、内部管理制度、财务、合作项目、人事资料等全部内部信息承担永久保密义务；未经医院书面许可，不得向任何第三方泄露涉密资料，仅司法、行政机关依法调取情形除外；所有涉密材料仅可用于为本院提供法律服务，不得挪作其他用途；服务商所有投标、报价、工作资料需对医院需求全程保密。【投标人须出具加盖投标人公章的《永久保密承诺函》；无法提供该加盖公章承诺函、不满足本条款保密要求的，按实质性条款负偏离处理，直接判定为无效投标，不进入后续评审环节。】</w:t>
            </w:r>
          </w:p>
          <w:p w14:paraId="0452AA6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六）</w:t>
            </w:r>
            <w:r>
              <w:rPr>
                <w:rFonts w:hint="eastAsia" w:ascii="宋体" w:hAnsi="宋体" w:eastAsia="宋体" w:cs="宋体"/>
                <w:sz w:val="20"/>
                <w:szCs w:val="20"/>
                <w:lang w:eastAsia="zh-CN"/>
              </w:rPr>
              <w:t>服务质量管控机制</w:t>
            </w:r>
          </w:p>
          <w:p w14:paraId="44D39749">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服务商内部建立完整服务考核制度，定期对承办律师服务时效、文书质量、案件处理结果、本文件约定全部服务内容完成情况进行考核，确保整体服务质量达到行业优质标准；因承办律师履职疏漏、未按期完成服务工作造成医院损失的，服务商需承担对应赔偿责任。</w:t>
            </w:r>
          </w:p>
        </w:tc>
        <w:tc>
          <w:tcPr>
            <w:tcW w:w="1410" w:type="dxa"/>
          </w:tcPr>
          <w:p w14:paraId="556D3F97">
            <w:pPr>
              <w:pStyle w:val="12"/>
              <w:rPr>
                <w:rFonts w:ascii="宋体" w:hAnsi="宋体" w:eastAsia="宋体" w:cs="宋体"/>
                <w:lang w:eastAsia="zh-CN"/>
              </w:rPr>
            </w:pPr>
          </w:p>
        </w:tc>
        <w:tc>
          <w:tcPr>
            <w:tcW w:w="1065" w:type="dxa"/>
          </w:tcPr>
          <w:p w14:paraId="59D2077F">
            <w:pPr>
              <w:pStyle w:val="12"/>
              <w:rPr>
                <w:rFonts w:ascii="宋体" w:hAnsi="宋体" w:eastAsia="宋体" w:cs="宋体"/>
                <w:lang w:eastAsia="zh-CN"/>
              </w:rPr>
            </w:pPr>
          </w:p>
        </w:tc>
        <w:tc>
          <w:tcPr>
            <w:tcW w:w="1065" w:type="dxa"/>
          </w:tcPr>
          <w:p w14:paraId="788F44CC">
            <w:pPr>
              <w:pStyle w:val="12"/>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77C2AAE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eastAsia="zh-CN" w:bidi="ar"/>
              </w:rPr>
              <w:t>、其他采购约束条款</w:t>
            </w:r>
          </w:p>
          <w:p w14:paraId="492E164A">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所有服务报价、计费标准、优惠政策、年度服务工作内容均需书面固化至服务合同，费用核算规则、年度服务工作标准清晰无歧义；</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所有外出服务、第三方机构费用、差旅支出需提供正规票据，据实结算；</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服务周期届满前，服务商需完成全年法律服务汇总报告，逐条对照本文件服务清单梳理全年完成工作：合同审核、制度审查、律师函/法律意见书出具、普法场次与素材、医疗纠纷处置、会议服务时长、诉讼案件等全部工作内容；</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服务商须具备正规法律服务执业资质，拥有规模化专业团队，具备处理医疗纠纷、医疗机构合规管理相关成熟服务经验。【不具备合法有效的律师事务所执业许可证的，按实质性条款负偏离处理，直接判定为无效投标，不进入后续评审环节。】</w:t>
            </w:r>
          </w:p>
        </w:tc>
        <w:tc>
          <w:tcPr>
            <w:tcW w:w="1410" w:type="dxa"/>
          </w:tcPr>
          <w:p w14:paraId="309C6D61">
            <w:pPr>
              <w:pStyle w:val="12"/>
              <w:rPr>
                <w:rFonts w:ascii="宋体" w:hAnsi="宋体" w:eastAsia="宋体" w:cs="宋体"/>
                <w:lang w:eastAsia="zh-CN"/>
              </w:rPr>
            </w:pPr>
          </w:p>
        </w:tc>
        <w:tc>
          <w:tcPr>
            <w:tcW w:w="1065" w:type="dxa"/>
          </w:tcPr>
          <w:p w14:paraId="3DA9A9F7">
            <w:pPr>
              <w:pStyle w:val="12"/>
              <w:rPr>
                <w:rFonts w:ascii="宋体" w:hAnsi="宋体" w:eastAsia="宋体" w:cs="宋体"/>
                <w:lang w:eastAsia="zh-CN"/>
              </w:rPr>
            </w:pPr>
          </w:p>
        </w:tc>
        <w:tc>
          <w:tcPr>
            <w:tcW w:w="1065" w:type="dxa"/>
          </w:tcPr>
          <w:p w14:paraId="3217B854">
            <w:pPr>
              <w:pStyle w:val="12"/>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43E5D50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七、违约责任、不可抗力及争议解决</w:t>
            </w:r>
          </w:p>
          <w:p w14:paraId="6A7B2F0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服务时效违约责任</w:t>
            </w:r>
          </w:p>
          <w:p w14:paraId="2EE9DD9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中标服务商未满足本需求书标注▲的响应时效硬性标准，未按期完成法律咨询答复、律师函起草、法律意见书出具、突发涉法事件到场处置等约定服务义务的，采购人有权向中标服务商发出书面整改通知；中标服务商收到整改通知后仍未按期纠正的，每逾期一日，应当按当年常年法律顾问基础服务费的万分之三向采购人支付违约金；单次时效违约违约金最高不超过当年常年法律顾问基础服务费的5%。</w:t>
            </w:r>
          </w:p>
          <w:p w14:paraId="16310F9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注：因采购人迟延提交必要服务资料、提供信息不完整、配合不到位，导致中标服务商工作成果逾期交付的，中标服务商不承担本项时效违约责任。</w:t>
            </w:r>
          </w:p>
          <w:p w14:paraId="5CD45D6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服务质量与履职违约责任</w:t>
            </w:r>
          </w:p>
          <w:p w14:paraId="1CC4CC4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中标服务商未落实本需求书约定的日常沟通与回访机制，未完成每年不少于2次的上门回访工作、未按时出具合规回访总结报告；或在服务过程中出现法律文书错漏、工作重大疏漏、未按约定完成基础法律服务等情形的，采购人有权要求中标服务商限期整改。因中标服务商故意或重大过失的履职过错，直接造成采购人经济损失的，中标服务商应当全额赔偿采购人对应的直接经济损失。</w:t>
            </w:r>
          </w:p>
          <w:p w14:paraId="1F1CC6F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中标服务商违反本需求书约定的执业规范、利益冲突规避、永久保密义务等核心条款的，采购人有权书面通知中标服务商限期整改；中标服务商拒不整改，或其违约行为造成采购人名誉受损、经济损失的，采购人有权单方解除本合同。同时，中标服务商需赔偿采购人全部实际直接损失，并按当年常年法律顾问基础服务费的30%向采购人支付违约金。本项履职违约违约金与前述时效违约违约金合计总额，最高不超过当年常年法律顾问基础服务费总额。</w:t>
            </w:r>
          </w:p>
          <w:p w14:paraId="5FB5E62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中标服务商未经采购人书面同意，擅自更换固定主办律师，或未落实人员替补机制导致法律服务中断、服务质量无法保障的，采购人有权要求中标服务商限期调整、补齐服务团队人员；逾期未完成调整、持续影响服务开展的，采购人有权单方解除本合同。</w:t>
            </w:r>
          </w:p>
          <w:p w14:paraId="71ABEF6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专项服务违约责任</w:t>
            </w:r>
          </w:p>
          <w:p w14:paraId="4AA596A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中标服务商承接本项目诉讼、仲裁及其他专项法律服务的，应当严格按照专项服务协议约定履行义务、完成全部服务工作。因中标服务商故意或重大过失履职不当，给采购人造成直接经济损失的，中标服务商应当严格按照专项服务协议约定承担赔偿及违约责任。</w:t>
            </w:r>
          </w:p>
          <w:p w14:paraId="5B92FE9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采购人逾期付款责任</w:t>
            </w:r>
          </w:p>
          <w:p w14:paraId="6D35D7D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采购人无正当理由拒绝接受服务、到期拒付服务款项的，采购人按应付未付款3%的数额向中标服务商支付违约金。采购人逾期付款，则每日按应付未付款万分之四的数额向中标服务商偿付违约金，但违约金总额不超过应付未付款项的5%。</w:t>
            </w:r>
          </w:p>
          <w:p w14:paraId="6738C52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违约金与赔偿金的支付</w:t>
            </w:r>
          </w:p>
          <w:p w14:paraId="309D44E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章约定的违约金和赔偿金，采购人有权从应付中标服务商的任何费用（包括但不限于顾问费、专项服务费等）中直接扣除。扣除后仍不足以弥补采购人损失的，采购人保留继续向中标服务商追偿的权利。中标服务商对此不持异议。</w:t>
            </w:r>
          </w:p>
          <w:p w14:paraId="0781FC8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其他违约责任</w:t>
            </w:r>
          </w:p>
          <w:p w14:paraId="58660C5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其他未约定事宜，按《中华人民共和国民法典》及相关法律法规处理。</w:t>
            </w:r>
          </w:p>
          <w:p w14:paraId="1DB7DD5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合同解除权的行使</w:t>
            </w:r>
          </w:p>
          <w:p w14:paraId="2D17756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发生本条约定的可解除合同情形时，采购人有权向中标服务商发送书面解除通知，通知送达之日合同解除。合同解除后，中标服务商应当配合采购人进行工作交接，已支付的服务费，中标服务商应按未提供服务的时间比例退还采购人；采购人尚未支付的服务费，有权在扣除违约金及损失赔偿后，仅就已验收合格且中标服务商已完成的服务部分进行结算。</w:t>
            </w:r>
          </w:p>
          <w:p w14:paraId="318DDFF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不可抗力</w:t>
            </w:r>
          </w:p>
          <w:p w14:paraId="5C2CDB6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（1）本条款所称不可抗力，是指不能预见、不能避免且不能克服的客观情况，包括但不限于自然灾害、战争、政府管制、司法行政机关政策重大调整等情形。</w:t>
            </w:r>
          </w:p>
          <w:p w14:paraId="7B926BD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发生不可抗力一方应当于事件发生后3个工作日内书面通知对方，并提供有效证明文件。受不可抗力影响一方可部分或者全部免除相应违约责任，但应当尽最大努力降低损失。若不可抗力导致合同目的无法实现，采购人有权单方解除合同，并按照中标服务商实际已经提供服务的时长据实结算服务费用。</w:t>
            </w:r>
          </w:p>
          <w:p w14:paraId="3039F8B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（3）中标服务商主张不可抗力免责的，不免除其已提供服务部分存在质量问题的责任，也不免除其在本协议项下的保密义务。</w:t>
            </w:r>
          </w:p>
          <w:p w14:paraId="23E0271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争议解决</w:t>
            </w:r>
          </w:p>
          <w:p w14:paraId="20A1D82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因本项目合同履行产生的一切争议，双方优先友好协商解决；协商不成的，任何一方均有权向采购人所在地人民法院提起诉讼。</w:t>
            </w:r>
          </w:p>
        </w:tc>
        <w:tc>
          <w:tcPr>
            <w:tcW w:w="1410" w:type="dxa"/>
          </w:tcPr>
          <w:p w14:paraId="63477C59">
            <w:pPr>
              <w:pStyle w:val="12"/>
              <w:rPr>
                <w:rFonts w:ascii="宋体" w:hAnsi="宋体" w:eastAsia="宋体" w:cs="宋体"/>
                <w:lang w:eastAsia="zh-CN"/>
              </w:rPr>
            </w:pPr>
          </w:p>
        </w:tc>
        <w:tc>
          <w:tcPr>
            <w:tcW w:w="1065" w:type="dxa"/>
          </w:tcPr>
          <w:p w14:paraId="17855BC8">
            <w:pPr>
              <w:pStyle w:val="12"/>
              <w:rPr>
                <w:rFonts w:ascii="宋体" w:hAnsi="宋体" w:eastAsia="宋体" w:cs="宋体"/>
                <w:lang w:eastAsia="zh-CN"/>
              </w:rPr>
            </w:pPr>
          </w:p>
        </w:tc>
        <w:tc>
          <w:tcPr>
            <w:tcW w:w="1065" w:type="dxa"/>
          </w:tcPr>
          <w:p w14:paraId="6A11C7ED">
            <w:pPr>
              <w:pStyle w:val="12"/>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75" w:type="dxa"/>
          </w:tcPr>
          <w:p w14:paraId="409D27E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八</w:t>
            </w:r>
            <w:r>
              <w:rPr>
                <w:rFonts w:hint="eastAsia" w:ascii="宋体" w:hAnsi="宋体" w:eastAsia="宋体" w:cs="宋体"/>
                <w:color w:val="auto"/>
                <w:sz w:val="20"/>
                <w:szCs w:val="20"/>
                <w:shd w:val="clear" w:color="auto" w:fill="FFFFFF"/>
                <w:lang w:eastAsia="zh-CN" w:bidi="ar"/>
              </w:rPr>
              <w:t>、投标评审要求</w:t>
            </w:r>
          </w:p>
          <w:p w14:paraId="44366B1F">
            <w:pPr>
              <w:widowControl w:val="0"/>
              <w:spacing w:line="240" w:lineRule="exact"/>
              <w:rPr>
                <w:rFonts w:hint="eastAsia" w:ascii="宋体" w:hAnsi="宋体" w:eastAsia="宋体" w:cs="宋体"/>
                <w:color w:val="auto"/>
                <w:sz w:val="20"/>
                <w:szCs w:val="20"/>
                <w:shd w:val="clear" w:color="auto" w:fill="FFFFFF"/>
                <w:lang w:eastAsia="zh-CN" w:bidi="ar"/>
              </w:rPr>
            </w:pPr>
            <w:bookmarkStart w:id="10" w:name="heading_24"/>
            <w:r>
              <w:rPr>
                <w:rFonts w:hint="eastAsia" w:ascii="宋体" w:hAnsi="宋体" w:eastAsia="宋体" w:cs="宋体"/>
                <w:color w:val="auto"/>
                <w:sz w:val="20"/>
                <w:szCs w:val="20"/>
                <w:shd w:val="clear" w:color="auto" w:fill="FFFFFF"/>
                <w:lang w:eastAsia="zh-CN" w:bidi="ar"/>
              </w:rPr>
              <w:t>（一）无效投标（废标）判定规则（全部源自采购需求★实质性条款）</w:t>
            </w:r>
            <w:bookmarkEnd w:id="10"/>
          </w:p>
          <w:p w14:paraId="61B0CBA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本项目标注“★”标识的条款为实质性要求，投标人必须全面响应并满足；任意一条★实质性条款存在负偏离、不响应、未按要求提供承诺函、未承诺完成全部服务内容的，直接判定为无效投标，不进入后续评审环节，具体情形包括：</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常年法律顾问基础年费报价超过1</w:t>
            </w:r>
            <w:r>
              <w:rPr>
                <w:rFonts w:hint="eastAsia" w:ascii="宋体" w:hAnsi="宋体" w:eastAsia="宋体" w:cs="宋体"/>
                <w:color w:val="auto"/>
                <w:sz w:val="20"/>
                <w:szCs w:val="20"/>
                <w:shd w:val="clear" w:color="auto" w:fill="FFFFFF"/>
                <w:lang w:val="en-US" w:eastAsia="zh-CN" w:bidi="ar"/>
              </w:rPr>
              <w:t>8</w:t>
            </w:r>
            <w:r>
              <w:rPr>
                <w:rFonts w:hint="eastAsia" w:ascii="宋体" w:hAnsi="宋体" w:eastAsia="宋体" w:cs="宋体"/>
                <w:color w:val="auto"/>
                <w:sz w:val="20"/>
                <w:szCs w:val="20"/>
                <w:shd w:val="clear" w:color="auto" w:fill="FFFFFF"/>
                <w:lang w:eastAsia="zh-CN" w:bidi="ar"/>
              </w:rPr>
              <w:t>000元/年上限的；</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无法出具加盖投标人公章的《年度法律服务履约承诺函》，未承诺足额完成制度审查、合同审核、普法、纠纷处置等全部服务工作的；</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无法出具加盖投标人公章的《利益冲突规避承诺函》，不满足★执业规范条款要求的；</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无法出具加盖投标人公章的《永久保密承诺函》，不满足★保密管理条款要求的；</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不具备合法有效的律师事务所执业许可证，不满足★执业资质要求的；</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未出具加盖投标人公章的《无围标串标承诺书》，违反廉洁采购条款要求的。</w:t>
            </w:r>
          </w:p>
          <w:p w14:paraId="77C17CCC">
            <w:pPr>
              <w:widowControl w:val="0"/>
              <w:spacing w:line="240" w:lineRule="exact"/>
              <w:rPr>
                <w:rFonts w:hint="eastAsia" w:ascii="宋体" w:hAnsi="宋体" w:eastAsia="宋体" w:cs="宋体"/>
                <w:color w:val="auto"/>
                <w:sz w:val="20"/>
                <w:szCs w:val="20"/>
                <w:shd w:val="clear" w:color="auto" w:fill="FFFFFF"/>
                <w:lang w:eastAsia="zh-CN" w:bidi="ar"/>
              </w:rPr>
            </w:pPr>
            <w:bookmarkStart w:id="11" w:name="heading_25"/>
            <w:r>
              <w:rPr>
                <w:rFonts w:hint="eastAsia" w:ascii="宋体" w:hAnsi="宋体" w:eastAsia="宋体" w:cs="宋体"/>
                <w:color w:val="auto"/>
                <w:sz w:val="20"/>
                <w:szCs w:val="20"/>
                <w:shd w:val="clear" w:color="auto" w:fill="FFFFFF"/>
                <w:lang w:eastAsia="zh-CN" w:bidi="ar"/>
              </w:rPr>
              <w:t>（二）统一材料佐证扣分规则</w:t>
            </w:r>
            <w:bookmarkEnd w:id="11"/>
            <w:r>
              <w:rPr>
                <w:rFonts w:hint="eastAsia" w:ascii="宋体" w:hAnsi="宋体" w:eastAsia="宋体" w:cs="宋体"/>
                <w:color w:val="auto"/>
                <w:sz w:val="20"/>
                <w:szCs w:val="20"/>
                <w:shd w:val="clear" w:color="auto" w:fill="FFFFFF"/>
                <w:lang w:eastAsia="zh-CN" w:bidi="ar"/>
              </w:rPr>
              <w:t>（本项目所有投标佐证材料统一遵循以下认定与扣分规则，适用于全部技术、商务评分项，</w:t>
            </w:r>
            <w:r>
              <w:rPr>
                <w:rFonts w:hint="eastAsia" w:ascii="宋体" w:hAnsi="宋体" w:eastAsia="宋体" w:cs="宋体"/>
                <w:color w:val="auto"/>
                <w:sz w:val="20"/>
                <w:szCs w:val="20"/>
                <w:shd w:val="clear" w:color="auto" w:fill="FFFFFF"/>
                <w:lang w:val="en-US" w:eastAsia="zh-CN" w:bidi="ar"/>
              </w:rPr>
              <w:t>详情见附件二《项目评分表》</w:t>
            </w:r>
            <w:r>
              <w:rPr>
                <w:rFonts w:hint="eastAsia" w:ascii="宋体" w:hAnsi="宋体" w:eastAsia="宋体" w:cs="宋体"/>
                <w:color w:val="auto"/>
                <w:sz w:val="20"/>
                <w:szCs w:val="20"/>
                <w:shd w:val="clear" w:color="auto" w:fill="FFFFFF"/>
                <w:lang w:eastAsia="zh-CN" w:bidi="ar"/>
              </w:rPr>
              <w:t>）</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所有资质证书、服务业绩合同、社保证明、承诺函、官方查询截图、法律服务实施方案等材料，均需加盖投标人公章，未加盖公章的对应评分项按0分计算；</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承诺函存在虚假承诺（包括但不限于响应时效、人员配置、收费标准、服务能力、年度服务工作内容等）的，对应评分项按0分计算；中标后查实存在虚假承诺、未足额完成年度服务工作的，直接取消中标资格，并由投标人承担由此造成的全部损失；</w:t>
            </w:r>
            <w:r>
              <w:rPr>
                <w:rFonts w:hint="eastAsia" w:ascii="宋体" w:hAnsi="宋体" w:eastAsia="宋体" w:cs="宋体"/>
                <w:color w:val="auto"/>
                <w:sz w:val="20"/>
                <w:szCs w:val="20"/>
                <w:shd w:val="clear" w:color="auto" w:fill="FFFFFF"/>
                <w:lang w:eastAsia="zh-CN" w:bidi="ar"/>
              </w:rPr>
              <w:br w:type="textWrapping"/>
            </w: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相关资质证书处于过期状态、司法行政机关/律师协会查询状态为撤销/暂停或为第三方关联机构名下证书而非投标人自有证书的，对应评分项不予计分。</w:t>
            </w:r>
          </w:p>
        </w:tc>
        <w:tc>
          <w:tcPr>
            <w:tcW w:w="1410" w:type="dxa"/>
          </w:tcPr>
          <w:p w14:paraId="4EB37635">
            <w:pPr>
              <w:pStyle w:val="12"/>
              <w:rPr>
                <w:rFonts w:ascii="宋体" w:hAnsi="宋体" w:eastAsia="宋体" w:cs="宋体"/>
                <w:lang w:eastAsia="zh-CN"/>
              </w:rPr>
            </w:pPr>
          </w:p>
        </w:tc>
        <w:tc>
          <w:tcPr>
            <w:tcW w:w="1065" w:type="dxa"/>
          </w:tcPr>
          <w:p w14:paraId="42F4AC19">
            <w:pPr>
              <w:pStyle w:val="12"/>
              <w:rPr>
                <w:rFonts w:ascii="宋体" w:hAnsi="宋体" w:eastAsia="宋体" w:cs="宋体"/>
                <w:lang w:eastAsia="zh-CN"/>
              </w:rPr>
            </w:pPr>
          </w:p>
        </w:tc>
        <w:tc>
          <w:tcPr>
            <w:tcW w:w="1065" w:type="dxa"/>
          </w:tcPr>
          <w:p w14:paraId="7C2EA142">
            <w:pPr>
              <w:pStyle w:val="12"/>
              <w:rPr>
                <w:rFonts w:ascii="宋体" w:hAnsi="宋体" w:eastAsia="宋体" w:cs="宋体"/>
                <w:lang w:eastAsia="zh-CN"/>
              </w:rPr>
            </w:pPr>
          </w:p>
        </w:tc>
      </w:tr>
      <w:tr w14:paraId="0D9A3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41334CD">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475" w:type="dxa"/>
          </w:tcPr>
          <w:p w14:paraId="16BA5DD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0A76DE1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（一）结算规则</w:t>
            </w:r>
          </w:p>
          <w:p w14:paraId="498349C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常年法律顾问基础服务费：对应完成全部基础法律顾问服务工作，按完整服务年度结算。</w:t>
            </w:r>
          </w:p>
          <w:p w14:paraId="2915DC3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诉讼、仲裁、各类非诉讼专项法律服务：严格依据双方签署生效的《专项服务协议》约定进行结算；无双方签字盖章的专项服务协议，采购人不予结算、不予支付任何专项服务费。</w:t>
            </w:r>
          </w:p>
          <w:p w14:paraId="2BE1DDC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差旅、第三方机构费用（诉讼费、仲裁费、查册费、鉴定、评估、审计等）不属于顾问年费及专项服务费范畴，按照本需求书第四条第3点约定，凭中标服务商提供的合法有效增值税票据据实结算。</w:t>
            </w:r>
          </w:p>
          <w:p w14:paraId="50BB7BA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（二）支付流程</w:t>
            </w:r>
          </w:p>
          <w:p w14:paraId="720C87A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服务周期全部届满后，中标服务商须向采购人提交全套结算资料：全年法律服务汇总报告+服务数量结算明细台账清单；采购人收到全套结算资料后开展履约考核与资料审核；如服务期内服务质量内部考核均达标，审核确认无误后，通知中标服务商开具合法有效的增值税发票；采购人收到合规发票后6个月内，如果是中小企则按有关规定执行最长不超60天转账支付常年法律顾问基础服务费。</w:t>
            </w:r>
          </w:p>
          <w:p w14:paraId="27144DB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专项法律服务费用，严格按照对应专项服务协议约定的交付成果、验收条件、付款节点执行。</w:t>
            </w:r>
          </w:p>
          <w:p w14:paraId="635FE0D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所有款项均对公转账至中标服务商律师事务所对公账户，严禁向律师个人账户支付任何服务费。</w:t>
            </w:r>
          </w:p>
        </w:tc>
        <w:tc>
          <w:tcPr>
            <w:tcW w:w="1410" w:type="dxa"/>
          </w:tcPr>
          <w:p w14:paraId="2872F29B">
            <w:pPr>
              <w:pStyle w:val="12"/>
              <w:rPr>
                <w:rFonts w:ascii="宋体" w:hAnsi="宋体" w:eastAsia="宋体" w:cs="宋体"/>
                <w:lang w:eastAsia="zh-CN"/>
              </w:rPr>
            </w:pPr>
          </w:p>
        </w:tc>
        <w:tc>
          <w:tcPr>
            <w:tcW w:w="1065" w:type="dxa"/>
          </w:tcPr>
          <w:p w14:paraId="5C54173F">
            <w:pPr>
              <w:pStyle w:val="12"/>
              <w:rPr>
                <w:rFonts w:ascii="宋体" w:hAnsi="宋体" w:eastAsia="宋体" w:cs="宋体"/>
                <w:lang w:eastAsia="zh-CN"/>
              </w:rPr>
            </w:pPr>
          </w:p>
        </w:tc>
        <w:tc>
          <w:tcPr>
            <w:tcW w:w="1065" w:type="dxa"/>
          </w:tcPr>
          <w:p w14:paraId="4D6C0308">
            <w:pPr>
              <w:pStyle w:val="12"/>
              <w:rPr>
                <w:rFonts w:ascii="宋体" w:hAnsi="宋体" w:eastAsia="宋体" w:cs="宋体"/>
                <w:lang w:eastAsia="zh-CN"/>
              </w:rPr>
            </w:pPr>
          </w:p>
        </w:tc>
      </w:tr>
      <w:tr w14:paraId="46401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1CFC9FA4">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475"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十、评审方式</w:t>
            </w:r>
          </w:p>
          <w:p w14:paraId="0B543A6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本项目的评审采用综合评分法，最低报价并非唯一评定标准（评分标准详见附件二《项目评分表》）。本项目评审流程为先开展资格性、符合性初审，评审合格方可进入商务、技术及价格综合详细评审；项目评审总分100分，其中商务部分分值45分，技术部分分值45分，价格部分分值10分，综合得分最高者确定为拟中选法律服务服务商。若出现两家及以上供应商综合得分相同，优先按照投标报价由低至高排序；报价仍一致的，以平台响应报名时间更早者优先。</w:t>
            </w:r>
          </w:p>
        </w:tc>
        <w:tc>
          <w:tcPr>
            <w:tcW w:w="1410" w:type="dxa"/>
          </w:tcPr>
          <w:p w14:paraId="16BEA780">
            <w:pPr>
              <w:pStyle w:val="12"/>
              <w:rPr>
                <w:rFonts w:ascii="宋体" w:hAnsi="宋体" w:eastAsia="宋体" w:cs="宋体"/>
                <w:lang w:eastAsia="zh-CN"/>
              </w:rPr>
            </w:pPr>
          </w:p>
        </w:tc>
        <w:tc>
          <w:tcPr>
            <w:tcW w:w="1065" w:type="dxa"/>
          </w:tcPr>
          <w:p w14:paraId="0B5DC8D7">
            <w:pPr>
              <w:pStyle w:val="12"/>
              <w:rPr>
                <w:rFonts w:ascii="宋体" w:hAnsi="宋体" w:eastAsia="宋体" w:cs="宋体"/>
                <w:lang w:eastAsia="zh-CN"/>
              </w:rPr>
            </w:pPr>
          </w:p>
        </w:tc>
        <w:tc>
          <w:tcPr>
            <w:tcW w:w="1065" w:type="dxa"/>
          </w:tcPr>
          <w:p w14:paraId="1C597D89">
            <w:pPr>
              <w:pStyle w:val="12"/>
              <w:rPr>
                <w:rFonts w:ascii="宋体" w:hAnsi="宋体" w:eastAsia="宋体" w:cs="宋体"/>
                <w:lang w:eastAsia="zh-CN"/>
              </w:rPr>
            </w:pPr>
          </w:p>
        </w:tc>
      </w:tr>
    </w:tbl>
    <w:p w14:paraId="60058139">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十二、近三年内医疗卫生行业法律服务经验成功案例，可提供相关证明材料（例如合同或发票复印件并加盖公章）。</w:t>
      </w:r>
    </w:p>
    <w:p w14:paraId="1D14C0F7">
      <w:pPr>
        <w:spacing w:before="41" w:line="227" w:lineRule="auto"/>
        <w:jc w:val="both"/>
        <w:rPr>
          <w:rFonts w:ascii="宋体" w:hAnsi="宋体" w:eastAsia="宋体" w:cs="宋体"/>
          <w:sz w:val="20"/>
          <w:szCs w:val="20"/>
          <w:lang w:eastAsia="zh-CN"/>
        </w:rPr>
      </w:pPr>
    </w:p>
    <w:p w14:paraId="7029066B">
      <w:pPr>
        <w:pStyle w:val="4"/>
        <w:spacing w:line="260" w:lineRule="auto"/>
        <w:rPr>
          <w:lang w:eastAsia="zh-CN"/>
        </w:rPr>
      </w:pPr>
    </w:p>
    <w:p w14:paraId="2CD238D2">
      <w:pPr>
        <w:pStyle w:val="4"/>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2"/>
            </w:pPr>
          </w:p>
        </w:tc>
        <w:tc>
          <w:tcPr>
            <w:tcW w:w="1854" w:type="dxa"/>
          </w:tcPr>
          <w:p w14:paraId="43601105">
            <w:pPr>
              <w:pStyle w:val="12"/>
            </w:pPr>
          </w:p>
        </w:tc>
        <w:tc>
          <w:tcPr>
            <w:tcW w:w="1986" w:type="dxa"/>
          </w:tcPr>
          <w:p w14:paraId="6311272B">
            <w:pPr>
              <w:pStyle w:val="12"/>
            </w:pPr>
          </w:p>
        </w:tc>
        <w:tc>
          <w:tcPr>
            <w:tcW w:w="1722" w:type="dxa"/>
          </w:tcPr>
          <w:p w14:paraId="3768DC7F">
            <w:pPr>
              <w:pStyle w:val="12"/>
            </w:pPr>
          </w:p>
        </w:tc>
        <w:tc>
          <w:tcPr>
            <w:tcW w:w="1191" w:type="dxa"/>
          </w:tcPr>
          <w:p w14:paraId="2305DC57">
            <w:pPr>
              <w:pStyle w:val="12"/>
            </w:pPr>
          </w:p>
        </w:tc>
        <w:tc>
          <w:tcPr>
            <w:tcW w:w="1471" w:type="dxa"/>
            <w:tcBorders>
              <w:right w:val="single" w:color="000000" w:sz="2" w:space="0"/>
            </w:tcBorders>
          </w:tcPr>
          <w:p w14:paraId="1DC4DC5D">
            <w:pPr>
              <w:pStyle w:val="12"/>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2"/>
            </w:pPr>
          </w:p>
        </w:tc>
        <w:tc>
          <w:tcPr>
            <w:tcW w:w="1854" w:type="dxa"/>
          </w:tcPr>
          <w:p w14:paraId="26C3F9DC">
            <w:pPr>
              <w:pStyle w:val="12"/>
            </w:pPr>
          </w:p>
        </w:tc>
        <w:tc>
          <w:tcPr>
            <w:tcW w:w="1986" w:type="dxa"/>
          </w:tcPr>
          <w:p w14:paraId="0C8FC5A6">
            <w:pPr>
              <w:pStyle w:val="12"/>
            </w:pPr>
          </w:p>
        </w:tc>
        <w:tc>
          <w:tcPr>
            <w:tcW w:w="1722" w:type="dxa"/>
          </w:tcPr>
          <w:p w14:paraId="036176B2">
            <w:pPr>
              <w:pStyle w:val="12"/>
            </w:pPr>
          </w:p>
        </w:tc>
        <w:tc>
          <w:tcPr>
            <w:tcW w:w="1191" w:type="dxa"/>
          </w:tcPr>
          <w:p w14:paraId="69BDA775">
            <w:pPr>
              <w:pStyle w:val="12"/>
            </w:pPr>
          </w:p>
        </w:tc>
        <w:tc>
          <w:tcPr>
            <w:tcW w:w="1471" w:type="dxa"/>
            <w:tcBorders>
              <w:right w:val="single" w:color="000000" w:sz="2" w:space="0"/>
            </w:tcBorders>
          </w:tcPr>
          <w:p w14:paraId="74EE419A">
            <w:pPr>
              <w:pStyle w:val="12"/>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2"/>
            </w:pPr>
          </w:p>
        </w:tc>
        <w:tc>
          <w:tcPr>
            <w:tcW w:w="1854" w:type="dxa"/>
            <w:tcBorders>
              <w:bottom w:val="single" w:color="000000" w:sz="2" w:space="0"/>
            </w:tcBorders>
          </w:tcPr>
          <w:p w14:paraId="40B04108">
            <w:pPr>
              <w:pStyle w:val="12"/>
            </w:pPr>
          </w:p>
        </w:tc>
        <w:tc>
          <w:tcPr>
            <w:tcW w:w="1986" w:type="dxa"/>
            <w:tcBorders>
              <w:bottom w:val="single" w:color="000000" w:sz="2" w:space="0"/>
            </w:tcBorders>
          </w:tcPr>
          <w:p w14:paraId="4C40CFD8">
            <w:pPr>
              <w:pStyle w:val="12"/>
            </w:pPr>
          </w:p>
        </w:tc>
        <w:tc>
          <w:tcPr>
            <w:tcW w:w="1722" w:type="dxa"/>
            <w:tcBorders>
              <w:bottom w:val="single" w:color="000000" w:sz="2" w:space="0"/>
            </w:tcBorders>
          </w:tcPr>
          <w:p w14:paraId="4F595AE5">
            <w:pPr>
              <w:pStyle w:val="12"/>
            </w:pPr>
          </w:p>
        </w:tc>
        <w:tc>
          <w:tcPr>
            <w:tcW w:w="1191" w:type="dxa"/>
            <w:tcBorders>
              <w:bottom w:val="single" w:color="000000" w:sz="2" w:space="0"/>
            </w:tcBorders>
          </w:tcPr>
          <w:p w14:paraId="7692FA63">
            <w:pPr>
              <w:pStyle w:val="12"/>
            </w:pPr>
          </w:p>
        </w:tc>
        <w:tc>
          <w:tcPr>
            <w:tcW w:w="1471" w:type="dxa"/>
            <w:tcBorders>
              <w:bottom w:val="single" w:color="000000" w:sz="2" w:space="0"/>
              <w:right w:val="single" w:color="000000" w:sz="2" w:space="0"/>
            </w:tcBorders>
          </w:tcPr>
          <w:p w14:paraId="48AC055B">
            <w:pPr>
              <w:pStyle w:val="12"/>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此表格为参考格式，服务商</w:t>
      </w:r>
      <w:r>
        <w:rPr>
          <w:rFonts w:ascii="宋体" w:hAnsi="宋体" w:eastAsia="宋体" w:cs="宋体"/>
          <w:b/>
          <w:bCs/>
          <w:spacing w:val="8"/>
          <w:sz w:val="20"/>
          <w:szCs w:val="20"/>
          <w:lang w:eastAsia="zh-CN"/>
        </w:rPr>
        <w:t>须如实填写</w:t>
      </w:r>
      <w:r>
        <w:rPr>
          <w:rFonts w:hint="eastAsia" w:ascii="宋体" w:hAnsi="宋体" w:eastAsia="宋体" w:cs="宋体"/>
          <w:b/>
          <w:bCs/>
          <w:spacing w:val="8"/>
          <w:sz w:val="20"/>
          <w:szCs w:val="20"/>
          <w:lang w:val="en-US" w:eastAsia="zh-CN"/>
        </w:rPr>
        <w:t>相关信息</w:t>
      </w:r>
      <w:r>
        <w:rPr>
          <w:rFonts w:ascii="宋体" w:hAnsi="宋体" w:eastAsia="宋体" w:cs="宋体"/>
          <w:b/>
          <w:bCs/>
          <w:spacing w:val="8"/>
          <w:sz w:val="20"/>
          <w:szCs w:val="20"/>
          <w:lang w:eastAsia="zh-CN"/>
        </w:rPr>
        <w:t>。</w:t>
      </w:r>
      <w:r>
        <w:rPr>
          <w:rFonts w:ascii="宋体" w:hAnsi="宋体" w:eastAsia="宋体" w:cs="宋体"/>
          <w:spacing w:val="8"/>
          <w:sz w:val="20"/>
          <w:szCs w:val="20"/>
          <w:lang w:eastAsia="zh-CN"/>
        </w:rPr>
        <w:t>（此表可延长）</w:t>
      </w:r>
    </w:p>
    <w:p w14:paraId="724C4D81">
      <w:pPr>
        <w:pStyle w:val="4"/>
        <w:spacing w:line="270" w:lineRule="auto"/>
        <w:rPr>
          <w:lang w:eastAsia="zh-CN"/>
        </w:rPr>
      </w:pPr>
    </w:p>
    <w:p w14:paraId="0D453BE2">
      <w:pPr>
        <w:pStyle w:val="4"/>
        <w:spacing w:line="270" w:lineRule="auto"/>
        <w:rPr>
          <w:lang w:eastAsia="zh-CN"/>
        </w:rPr>
      </w:pPr>
    </w:p>
    <w:p w14:paraId="7263ABBE">
      <w:pPr>
        <w:pStyle w:val="4"/>
        <w:spacing w:line="270" w:lineRule="auto"/>
        <w:rPr>
          <w:lang w:eastAsia="zh-CN"/>
        </w:rPr>
      </w:pPr>
    </w:p>
    <w:p w14:paraId="1E0368E6">
      <w:pPr>
        <w:pStyle w:val="4"/>
        <w:spacing w:line="270" w:lineRule="auto"/>
        <w:rPr>
          <w:lang w:eastAsia="zh-CN"/>
        </w:rPr>
      </w:pPr>
    </w:p>
    <w:p w14:paraId="4F1157A5">
      <w:pPr>
        <w:pStyle w:val="4"/>
        <w:spacing w:line="270" w:lineRule="auto"/>
        <w:rPr>
          <w:lang w:eastAsia="zh-CN"/>
        </w:rPr>
      </w:pPr>
    </w:p>
    <w:p w14:paraId="66CFC844">
      <w:pPr>
        <w:pStyle w:val="4"/>
        <w:spacing w:line="270" w:lineRule="auto"/>
        <w:rPr>
          <w:lang w:eastAsia="zh-CN"/>
        </w:rPr>
      </w:pPr>
    </w:p>
    <w:p w14:paraId="480F5979">
      <w:pPr>
        <w:pStyle w:val="4"/>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4"/>
          <w:szCs w:val="24"/>
          <w:lang w:eastAsia="zh-CN"/>
        </w:rPr>
      </w:pPr>
      <w:r>
        <w:rPr>
          <w:rFonts w:hint="eastAsia" w:ascii="宋体" w:hAnsi="宋体" w:eastAsia="宋体" w:cs="宋体"/>
          <w:spacing w:val="8"/>
          <w:sz w:val="24"/>
          <w:szCs w:val="24"/>
          <w:lang w:val="en-US" w:eastAsia="zh-CN"/>
        </w:rPr>
        <w:t>服务商</w:t>
      </w:r>
      <w:r>
        <w:rPr>
          <w:rFonts w:ascii="宋体" w:hAnsi="宋体" w:eastAsia="宋体" w:cs="宋体"/>
          <w:spacing w:val="8"/>
          <w:sz w:val="24"/>
          <w:szCs w:val="24"/>
          <w:lang w:eastAsia="zh-CN"/>
        </w:rPr>
        <w:t>名称（盖章</w:t>
      </w:r>
      <w:r>
        <w:rPr>
          <w:rFonts w:ascii="宋体" w:hAnsi="宋体" w:eastAsia="宋体" w:cs="宋体"/>
          <w:spacing w:val="13"/>
          <w:sz w:val="24"/>
          <w:szCs w:val="24"/>
          <w:lang w:eastAsia="zh-CN"/>
        </w:rPr>
        <w:t>）：</w:t>
      </w:r>
      <w:r>
        <w:rPr>
          <w:rFonts w:ascii="宋体" w:hAnsi="宋体" w:eastAsia="宋体" w:cs="宋体"/>
          <w:sz w:val="24"/>
          <w:szCs w:val="24"/>
          <w:u w:val="single"/>
          <w:lang w:eastAsia="zh-CN"/>
        </w:rPr>
        <w:t xml:space="preserve">                          </w:t>
      </w:r>
    </w:p>
    <w:p w14:paraId="5B5A1280">
      <w:pPr>
        <w:spacing w:before="65" w:line="227" w:lineRule="auto"/>
        <w:ind w:left="22"/>
        <w:rPr>
          <w:rFonts w:ascii="宋体" w:hAnsi="宋体" w:eastAsia="宋体" w:cs="宋体"/>
          <w:spacing w:val="9"/>
          <w:sz w:val="24"/>
          <w:szCs w:val="24"/>
          <w:lang w:eastAsia="zh-CN"/>
        </w:rPr>
      </w:pPr>
    </w:p>
    <w:p w14:paraId="73AB7F11">
      <w:pPr>
        <w:spacing w:before="65" w:line="227" w:lineRule="auto"/>
        <w:ind w:left="22"/>
        <w:rPr>
          <w:rFonts w:ascii="宋体" w:hAnsi="宋体" w:eastAsia="宋体" w:cs="宋体"/>
          <w:sz w:val="24"/>
          <w:szCs w:val="24"/>
          <w:lang w:eastAsia="zh-CN"/>
        </w:rPr>
      </w:pPr>
      <w:r>
        <w:rPr>
          <w:rFonts w:hint="eastAsia" w:ascii="宋体" w:hAnsi="宋体" w:eastAsia="宋体" w:cs="宋体"/>
          <w:spacing w:val="9"/>
          <w:sz w:val="24"/>
          <w:szCs w:val="24"/>
          <w:lang w:val="en-US" w:eastAsia="zh-CN"/>
        </w:rPr>
        <w:t>服务商</w:t>
      </w:r>
      <w:r>
        <w:rPr>
          <w:rFonts w:ascii="宋体" w:hAnsi="宋体" w:eastAsia="宋体" w:cs="宋体"/>
          <w:spacing w:val="9"/>
          <w:sz w:val="24"/>
          <w:szCs w:val="24"/>
          <w:lang w:eastAsia="zh-CN"/>
        </w:rPr>
        <w:t>法定代表人（或法定代表人授权代表）签字：</w:t>
      </w:r>
      <w:r>
        <w:rPr>
          <w:rFonts w:ascii="宋体" w:hAnsi="宋体" w:eastAsia="宋体" w:cs="宋体"/>
          <w:sz w:val="24"/>
          <w:szCs w:val="24"/>
          <w:u w:val="single"/>
          <w:lang w:eastAsia="zh-CN"/>
        </w:rPr>
        <w:t xml:space="preserve">                    </w:t>
      </w:r>
    </w:p>
    <w:p w14:paraId="505ED41D">
      <w:pPr>
        <w:spacing w:before="260" w:line="228" w:lineRule="auto"/>
        <w:ind w:left="58"/>
        <w:rPr>
          <w:rFonts w:ascii="宋体" w:hAnsi="宋体" w:eastAsia="宋体" w:cs="宋体"/>
          <w:sz w:val="24"/>
          <w:szCs w:val="24"/>
          <w:lang w:eastAsia="zh-CN"/>
        </w:rPr>
      </w:pPr>
      <w:r>
        <w:rPr>
          <w:rFonts w:ascii="宋体" w:hAnsi="宋体" w:eastAsia="宋体" w:cs="宋体"/>
          <w:spacing w:val="-6"/>
          <w:sz w:val="24"/>
          <w:szCs w:val="24"/>
          <w:lang w:eastAsia="zh-CN"/>
        </w:rPr>
        <w:t>日期：</w:t>
      </w:r>
      <w:r>
        <w:rPr>
          <w:rFonts w:ascii="宋体" w:hAnsi="宋体" w:eastAsia="宋体" w:cs="宋体"/>
          <w:spacing w:val="13"/>
          <w:sz w:val="24"/>
          <w:szCs w:val="24"/>
          <w:lang w:eastAsia="zh-CN"/>
        </w:rPr>
        <w:t xml:space="preserve">   </w:t>
      </w:r>
      <w:r>
        <w:rPr>
          <w:rFonts w:ascii="宋体" w:hAnsi="宋体" w:eastAsia="宋体" w:cs="宋体"/>
          <w:spacing w:val="-6"/>
          <w:sz w:val="24"/>
          <w:szCs w:val="24"/>
          <w:lang w:eastAsia="zh-CN"/>
        </w:rPr>
        <w:t>年</w:t>
      </w:r>
      <w:r>
        <w:rPr>
          <w:rFonts w:ascii="宋体" w:hAnsi="宋体" w:eastAsia="宋体" w:cs="宋体"/>
          <w:spacing w:val="9"/>
          <w:sz w:val="24"/>
          <w:szCs w:val="24"/>
          <w:lang w:eastAsia="zh-CN"/>
        </w:rPr>
        <w:t xml:space="preserve">   </w:t>
      </w:r>
      <w:r>
        <w:rPr>
          <w:rFonts w:ascii="宋体" w:hAnsi="宋体" w:eastAsia="宋体" w:cs="宋体"/>
          <w:spacing w:val="-6"/>
          <w:sz w:val="24"/>
          <w:szCs w:val="24"/>
          <w:lang w:eastAsia="zh-CN"/>
        </w:rPr>
        <w:t>月</w:t>
      </w:r>
      <w:r>
        <w:rPr>
          <w:rFonts w:ascii="宋体" w:hAnsi="宋体" w:eastAsia="宋体" w:cs="宋体"/>
          <w:spacing w:val="21"/>
          <w:sz w:val="24"/>
          <w:szCs w:val="24"/>
          <w:lang w:eastAsia="zh-CN"/>
        </w:rPr>
        <w:t xml:space="preserve">   </w:t>
      </w:r>
      <w:r>
        <w:rPr>
          <w:rFonts w:ascii="宋体" w:hAnsi="宋体" w:eastAsia="宋体" w:cs="宋体"/>
          <w:spacing w:val="-6"/>
          <w:sz w:val="24"/>
          <w:szCs w:val="24"/>
          <w:lang w:eastAsia="zh-CN"/>
        </w:rPr>
        <w:t>日</w:t>
      </w:r>
    </w:p>
    <w:p w14:paraId="7B370B04">
      <w:pPr>
        <w:spacing w:line="378" w:lineRule="auto"/>
        <w:rPr>
          <w:rFonts w:ascii="宋体" w:hAnsi="宋体" w:eastAsia="宋体" w:cs="宋体"/>
          <w:sz w:val="24"/>
          <w:szCs w:val="24"/>
          <w:lang w:eastAsia="zh-CN"/>
        </w:rPr>
        <w:sectPr>
          <w:pgSz w:w="11900" w:h="16840"/>
          <w:pgMar w:top="907" w:right="1474" w:bottom="907" w:left="1474" w:header="0" w:footer="0" w:gutter="0"/>
          <w:cols w:space="720" w:num="1"/>
        </w:sectPr>
      </w:pP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十三、拟投入人员配置清单（加盖公章）：</w:t>
      </w:r>
    </w:p>
    <w:p w14:paraId="348DF89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拟投入主办律师：须具备3年以上医疗卫生行业法律服务经验。</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拟投入团队成员：辅助律师、律师助理、团队成员等，须具备医疗卫生法律相关从业经验。</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服务商员工，服务商需要提供为其购买社保证明（开标当天前三个月内的任意一个月）复印件，若服务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1"/>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主办律师</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230B9940">
      <w:pPr>
        <w:spacing w:before="41" w:line="227" w:lineRule="auto"/>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注：服务商须如实填写此表格。（此表可延长）</w:t>
      </w:r>
    </w:p>
    <w:p w14:paraId="6ECCEB04">
      <w:pPr>
        <w:bidi w:val="0"/>
        <w:rPr>
          <w:rFonts w:hint="eastAsia"/>
          <w:lang w:val="en-US" w:eastAsia="zh-CN"/>
        </w:rPr>
      </w:pPr>
    </w:p>
    <w:p w14:paraId="4F6641F3">
      <w:pPr>
        <w:bidi w:val="0"/>
        <w:rPr>
          <w:rFonts w:hint="eastAsia"/>
          <w:lang w:val="en-US" w:eastAsia="zh-CN"/>
        </w:rPr>
      </w:pPr>
    </w:p>
    <w:p w14:paraId="508505CD">
      <w:pPr>
        <w:bidi w:val="0"/>
        <w:rPr>
          <w:rFonts w:hint="eastAsia"/>
          <w:lang w:val="en-US" w:eastAsia="zh-CN"/>
        </w:rPr>
      </w:pPr>
    </w:p>
    <w:p w14:paraId="0146E5B9">
      <w:pPr>
        <w:bidi w:val="0"/>
        <w:rPr>
          <w:rFonts w:hint="eastAsia"/>
          <w:lang w:val="en-US" w:eastAsia="zh-CN"/>
        </w:rPr>
      </w:pPr>
    </w:p>
    <w:p w14:paraId="7670D9FA">
      <w:pPr>
        <w:bidi w:val="0"/>
        <w:rPr>
          <w:rFonts w:hint="eastAsia"/>
          <w:lang w:val="en-US" w:eastAsia="zh-CN"/>
        </w:rPr>
      </w:pPr>
    </w:p>
    <w:p w14:paraId="4D6A53A0">
      <w:pPr>
        <w:bidi w:val="0"/>
        <w:rPr>
          <w:rFonts w:hint="eastAsia"/>
          <w:lang w:val="en-US" w:eastAsia="zh-CN"/>
        </w:rPr>
      </w:pPr>
    </w:p>
    <w:p w14:paraId="1D2EB758">
      <w:pPr>
        <w:bidi w:val="0"/>
        <w:rPr>
          <w:rFonts w:hint="eastAsia"/>
          <w:lang w:val="en-US" w:eastAsia="zh-CN"/>
        </w:rPr>
      </w:pPr>
    </w:p>
    <w:p w14:paraId="44A96F56">
      <w:pPr>
        <w:spacing w:before="162" w:line="227" w:lineRule="auto"/>
        <w:ind w:left="22"/>
        <w:rPr>
          <w:rFonts w:ascii="宋体" w:hAnsi="宋体" w:eastAsia="宋体" w:cs="宋体"/>
          <w:sz w:val="24"/>
          <w:szCs w:val="24"/>
          <w:lang w:eastAsia="zh-CN"/>
        </w:rPr>
      </w:pPr>
      <w:r>
        <w:rPr>
          <w:rFonts w:hint="eastAsia" w:ascii="宋体" w:hAnsi="宋体" w:eastAsia="宋体" w:cs="宋体"/>
          <w:spacing w:val="8"/>
          <w:sz w:val="24"/>
          <w:szCs w:val="24"/>
          <w:lang w:val="en-US" w:eastAsia="zh-CN"/>
        </w:rPr>
        <w:t>供应商</w:t>
      </w:r>
      <w:r>
        <w:rPr>
          <w:rFonts w:ascii="宋体" w:hAnsi="宋体" w:eastAsia="宋体" w:cs="宋体"/>
          <w:spacing w:val="8"/>
          <w:sz w:val="24"/>
          <w:szCs w:val="24"/>
          <w:lang w:eastAsia="zh-CN"/>
        </w:rPr>
        <w:t>名称（盖章</w:t>
      </w:r>
      <w:r>
        <w:rPr>
          <w:rFonts w:ascii="宋体" w:hAnsi="宋体" w:eastAsia="宋体" w:cs="宋体"/>
          <w:spacing w:val="13"/>
          <w:sz w:val="24"/>
          <w:szCs w:val="24"/>
          <w:lang w:eastAsia="zh-CN"/>
        </w:rPr>
        <w:t>）：</w:t>
      </w:r>
      <w:r>
        <w:rPr>
          <w:rFonts w:ascii="宋体" w:hAnsi="宋体" w:eastAsia="宋体" w:cs="宋体"/>
          <w:sz w:val="24"/>
          <w:szCs w:val="24"/>
          <w:u w:val="single"/>
          <w:lang w:eastAsia="zh-CN"/>
        </w:rPr>
        <w:t xml:space="preserve">                          </w:t>
      </w:r>
    </w:p>
    <w:p w14:paraId="39E5C299">
      <w:pPr>
        <w:spacing w:before="65" w:line="227" w:lineRule="auto"/>
        <w:ind w:left="22"/>
        <w:rPr>
          <w:rFonts w:ascii="宋体" w:hAnsi="宋体" w:eastAsia="宋体" w:cs="宋体"/>
          <w:spacing w:val="9"/>
          <w:sz w:val="24"/>
          <w:szCs w:val="24"/>
          <w:lang w:eastAsia="zh-CN"/>
        </w:rPr>
      </w:pPr>
    </w:p>
    <w:p w14:paraId="6825B535">
      <w:pPr>
        <w:spacing w:before="65" w:line="227" w:lineRule="auto"/>
        <w:ind w:left="22"/>
        <w:rPr>
          <w:rFonts w:ascii="宋体" w:hAnsi="宋体" w:eastAsia="宋体" w:cs="宋体"/>
          <w:sz w:val="24"/>
          <w:szCs w:val="24"/>
          <w:lang w:eastAsia="zh-CN"/>
        </w:rPr>
      </w:pPr>
      <w:r>
        <w:rPr>
          <w:rFonts w:hint="eastAsia" w:ascii="宋体" w:hAnsi="宋体" w:eastAsia="宋体" w:cs="宋体"/>
          <w:spacing w:val="9"/>
          <w:sz w:val="24"/>
          <w:szCs w:val="24"/>
          <w:lang w:val="en-US" w:eastAsia="zh-CN"/>
        </w:rPr>
        <w:t>供应商</w:t>
      </w:r>
      <w:r>
        <w:rPr>
          <w:rFonts w:ascii="宋体" w:hAnsi="宋体" w:eastAsia="宋体" w:cs="宋体"/>
          <w:spacing w:val="9"/>
          <w:sz w:val="24"/>
          <w:szCs w:val="24"/>
          <w:lang w:eastAsia="zh-CN"/>
        </w:rPr>
        <w:t>法定代表人（或法定代表人授权代表）签字：</w:t>
      </w:r>
      <w:r>
        <w:rPr>
          <w:rFonts w:ascii="宋体" w:hAnsi="宋体" w:eastAsia="宋体" w:cs="宋体"/>
          <w:sz w:val="24"/>
          <w:szCs w:val="24"/>
          <w:u w:val="single"/>
          <w:lang w:eastAsia="zh-CN"/>
        </w:rPr>
        <w:t xml:space="preserve">                    </w:t>
      </w:r>
    </w:p>
    <w:p w14:paraId="700CB834">
      <w:pPr>
        <w:bidi w:val="0"/>
        <w:rPr>
          <w:rFonts w:hint="eastAsia"/>
          <w:sz w:val="28"/>
          <w:szCs w:val="28"/>
          <w:lang w:val="en-US" w:eastAsia="zh-CN"/>
        </w:rPr>
      </w:pPr>
      <w:r>
        <w:rPr>
          <w:rFonts w:ascii="宋体" w:hAnsi="宋体" w:eastAsia="宋体" w:cs="宋体"/>
          <w:spacing w:val="-6"/>
          <w:sz w:val="24"/>
          <w:szCs w:val="24"/>
          <w:lang w:eastAsia="zh-CN"/>
        </w:rPr>
        <w:t>日期：</w:t>
      </w:r>
      <w:r>
        <w:rPr>
          <w:rFonts w:ascii="宋体" w:hAnsi="宋体" w:eastAsia="宋体" w:cs="宋体"/>
          <w:spacing w:val="13"/>
          <w:sz w:val="24"/>
          <w:szCs w:val="24"/>
          <w:lang w:eastAsia="zh-CN"/>
        </w:rPr>
        <w:t xml:space="preserve">   </w:t>
      </w:r>
      <w:r>
        <w:rPr>
          <w:rFonts w:ascii="宋体" w:hAnsi="宋体" w:eastAsia="宋体" w:cs="宋体"/>
          <w:spacing w:val="-6"/>
          <w:sz w:val="24"/>
          <w:szCs w:val="24"/>
          <w:lang w:eastAsia="zh-CN"/>
        </w:rPr>
        <w:t>年</w:t>
      </w:r>
      <w:r>
        <w:rPr>
          <w:rFonts w:ascii="宋体" w:hAnsi="宋体" w:eastAsia="宋体" w:cs="宋体"/>
          <w:spacing w:val="9"/>
          <w:sz w:val="24"/>
          <w:szCs w:val="24"/>
          <w:lang w:eastAsia="zh-CN"/>
        </w:rPr>
        <w:t xml:space="preserve">   </w:t>
      </w:r>
      <w:r>
        <w:rPr>
          <w:rFonts w:ascii="宋体" w:hAnsi="宋体" w:eastAsia="宋体" w:cs="宋体"/>
          <w:spacing w:val="-6"/>
          <w:sz w:val="24"/>
          <w:szCs w:val="24"/>
          <w:lang w:eastAsia="zh-CN"/>
        </w:rPr>
        <w:t>月</w:t>
      </w:r>
      <w:r>
        <w:rPr>
          <w:rFonts w:ascii="宋体" w:hAnsi="宋体" w:eastAsia="宋体" w:cs="宋体"/>
          <w:spacing w:val="21"/>
          <w:sz w:val="24"/>
          <w:szCs w:val="24"/>
          <w:lang w:eastAsia="zh-CN"/>
        </w:rPr>
        <w:t xml:space="preserve">   </w:t>
      </w:r>
      <w:r>
        <w:rPr>
          <w:rFonts w:ascii="宋体" w:hAnsi="宋体" w:eastAsia="宋体" w:cs="宋体"/>
          <w:spacing w:val="-6"/>
          <w:sz w:val="24"/>
          <w:szCs w:val="24"/>
          <w:lang w:eastAsia="zh-CN"/>
        </w:rPr>
        <w:t>日</w:t>
      </w:r>
    </w:p>
    <w:p w14:paraId="40D5CD77">
      <w:pPr>
        <w:bidi w:val="0"/>
        <w:rPr>
          <w:rFonts w:hint="eastAsia"/>
          <w:sz w:val="28"/>
          <w:szCs w:val="28"/>
          <w:lang w:val="en-US" w:eastAsia="zh-CN"/>
        </w:rPr>
      </w:pPr>
    </w:p>
    <w:p w14:paraId="1AF0F577">
      <w:pPr>
        <w:bidi w:val="0"/>
        <w:rPr>
          <w:rFonts w:hint="eastAsia"/>
          <w:sz w:val="28"/>
          <w:szCs w:val="28"/>
          <w:lang w:val="en-US" w:eastAsia="zh-CN"/>
        </w:rPr>
        <w:sectPr>
          <w:pgSz w:w="11900" w:h="16840"/>
          <w:pgMar w:top="907" w:right="1701" w:bottom="907" w:left="1701" w:header="851" w:footer="992" w:gutter="0"/>
          <w:cols w:space="425" w:num="1"/>
          <w:docGrid w:linePitch="312" w:charSpace="0"/>
        </w:sectPr>
      </w:pPr>
    </w:p>
    <w:p w14:paraId="7419944E">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十四、承诺函（格式自拟，加盖公章），包括但不限于：</w:t>
      </w:r>
    </w:p>
    <w:p w14:paraId="29F45D08">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① 《年度法律服务履约承诺函》</w:t>
      </w:r>
    </w:p>
    <w:p w14:paraId="0618270B">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② 《利益冲突规避承诺函》</w:t>
      </w:r>
    </w:p>
    <w:p w14:paraId="1E0512C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③ 《永久保密承诺函》</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服务商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B3097E"/>
    <w:rsid w:val="01C92CA6"/>
    <w:rsid w:val="01E26336"/>
    <w:rsid w:val="03945D38"/>
    <w:rsid w:val="04043EF3"/>
    <w:rsid w:val="04CE0985"/>
    <w:rsid w:val="05D250F6"/>
    <w:rsid w:val="060818B0"/>
    <w:rsid w:val="06794550"/>
    <w:rsid w:val="06BE352D"/>
    <w:rsid w:val="07D772C8"/>
    <w:rsid w:val="07DE22A7"/>
    <w:rsid w:val="0851471E"/>
    <w:rsid w:val="08805332"/>
    <w:rsid w:val="0A1B60BD"/>
    <w:rsid w:val="0A382368"/>
    <w:rsid w:val="0A8A6DB8"/>
    <w:rsid w:val="0B343A01"/>
    <w:rsid w:val="0D5D5C42"/>
    <w:rsid w:val="0D8B3083"/>
    <w:rsid w:val="0E881903"/>
    <w:rsid w:val="0E9C78E3"/>
    <w:rsid w:val="0F846B80"/>
    <w:rsid w:val="10D939A5"/>
    <w:rsid w:val="1247068A"/>
    <w:rsid w:val="126C008B"/>
    <w:rsid w:val="1291195C"/>
    <w:rsid w:val="13666B31"/>
    <w:rsid w:val="152A0F41"/>
    <w:rsid w:val="15DE349E"/>
    <w:rsid w:val="16820E36"/>
    <w:rsid w:val="16CC646C"/>
    <w:rsid w:val="16DD5993"/>
    <w:rsid w:val="17192449"/>
    <w:rsid w:val="18BF2E96"/>
    <w:rsid w:val="18C80C4B"/>
    <w:rsid w:val="1A923556"/>
    <w:rsid w:val="1C616530"/>
    <w:rsid w:val="1E9D0594"/>
    <w:rsid w:val="1EA01408"/>
    <w:rsid w:val="1EA21FDF"/>
    <w:rsid w:val="1EDF5020"/>
    <w:rsid w:val="1F29593C"/>
    <w:rsid w:val="1F51709C"/>
    <w:rsid w:val="1FCB0CC2"/>
    <w:rsid w:val="20607AD1"/>
    <w:rsid w:val="20BE2A44"/>
    <w:rsid w:val="22482F0D"/>
    <w:rsid w:val="22732647"/>
    <w:rsid w:val="23197101"/>
    <w:rsid w:val="231E7145"/>
    <w:rsid w:val="23487B36"/>
    <w:rsid w:val="238B6F39"/>
    <w:rsid w:val="23CE2811"/>
    <w:rsid w:val="26555BF8"/>
    <w:rsid w:val="267A1EFC"/>
    <w:rsid w:val="2695736E"/>
    <w:rsid w:val="26B446CD"/>
    <w:rsid w:val="27867BF7"/>
    <w:rsid w:val="2801515C"/>
    <w:rsid w:val="281105FD"/>
    <w:rsid w:val="283742E9"/>
    <w:rsid w:val="28580DF7"/>
    <w:rsid w:val="2AB638E3"/>
    <w:rsid w:val="2F5129F3"/>
    <w:rsid w:val="2F7E615E"/>
    <w:rsid w:val="30E70076"/>
    <w:rsid w:val="314F5556"/>
    <w:rsid w:val="321F317F"/>
    <w:rsid w:val="336C189B"/>
    <w:rsid w:val="33DA5E96"/>
    <w:rsid w:val="36073C0B"/>
    <w:rsid w:val="37F16F16"/>
    <w:rsid w:val="3A9A25B0"/>
    <w:rsid w:val="3B082DE1"/>
    <w:rsid w:val="3BA01D4C"/>
    <w:rsid w:val="3D2A69F0"/>
    <w:rsid w:val="3EB26D88"/>
    <w:rsid w:val="3EC85642"/>
    <w:rsid w:val="3F0E3524"/>
    <w:rsid w:val="3F7A12F5"/>
    <w:rsid w:val="40671DCB"/>
    <w:rsid w:val="40C03509"/>
    <w:rsid w:val="40C56703"/>
    <w:rsid w:val="418005E1"/>
    <w:rsid w:val="41C53BAE"/>
    <w:rsid w:val="42F2520E"/>
    <w:rsid w:val="433379C8"/>
    <w:rsid w:val="440B586E"/>
    <w:rsid w:val="4427517F"/>
    <w:rsid w:val="45D109A0"/>
    <w:rsid w:val="471B2DEA"/>
    <w:rsid w:val="49A32D66"/>
    <w:rsid w:val="4A4831FA"/>
    <w:rsid w:val="4C030C69"/>
    <w:rsid w:val="4C8D43DB"/>
    <w:rsid w:val="4FAF7B58"/>
    <w:rsid w:val="50573AD2"/>
    <w:rsid w:val="5178029F"/>
    <w:rsid w:val="52163CF5"/>
    <w:rsid w:val="54B97F1A"/>
    <w:rsid w:val="5500455B"/>
    <w:rsid w:val="556A1102"/>
    <w:rsid w:val="56E95951"/>
    <w:rsid w:val="5774562F"/>
    <w:rsid w:val="57F95B34"/>
    <w:rsid w:val="58514D81"/>
    <w:rsid w:val="58EA5D45"/>
    <w:rsid w:val="590B523B"/>
    <w:rsid w:val="5A276988"/>
    <w:rsid w:val="5CCF29EE"/>
    <w:rsid w:val="5CFF52F9"/>
    <w:rsid w:val="5DB676D9"/>
    <w:rsid w:val="5E5E5F4E"/>
    <w:rsid w:val="5F1A2F60"/>
    <w:rsid w:val="603E2DBB"/>
    <w:rsid w:val="64F80876"/>
    <w:rsid w:val="66477914"/>
    <w:rsid w:val="66CD13A4"/>
    <w:rsid w:val="6AE7340E"/>
    <w:rsid w:val="6B147BF9"/>
    <w:rsid w:val="6C143FC0"/>
    <w:rsid w:val="6C6F0A68"/>
    <w:rsid w:val="73252077"/>
    <w:rsid w:val="7372318C"/>
    <w:rsid w:val="75E87F4B"/>
    <w:rsid w:val="761119F7"/>
    <w:rsid w:val="790F76AC"/>
    <w:rsid w:val="796901D9"/>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8"/>
    <w:autoRedefine/>
    <w:qFormat/>
    <w:uiPriority w:val="0"/>
    <w:rPr>
      <w:rFonts w:hint="eastAsia" w:ascii="宋体" w:hAnsi="宋体" w:eastAsia="宋体" w:cs="宋体"/>
      <w:color w:val="000000"/>
      <w:sz w:val="22"/>
      <w:szCs w:val="22"/>
      <w:u w:val="single"/>
    </w:rPr>
  </w:style>
  <w:style w:type="character" w:customStyle="1" w:styleId="15">
    <w:name w:val="font31"/>
    <w:basedOn w:val="8"/>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10569</Words>
  <Characters>10883</Characters>
  <Lines>55</Lines>
  <Paragraphs>15</Paragraphs>
  <TotalTime>0</TotalTime>
  <ScaleCrop>false</ScaleCrop>
  <LinksUpToDate>false</LinksUpToDate>
  <CharactersWithSpaces>11396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2026-09-18T01:15:21Z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