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20"/>
          <w:rFonts w:hint="eastAsia" w:ascii="宋体" w:hAnsi="宋体" w:eastAsia="宋体" w:cs="宋体"/>
          <w:b/>
          <w:bCs/>
          <w:sz w:val="32"/>
          <w:szCs w:val="28"/>
        </w:rPr>
      </w:pPr>
    </w:p>
    <w:p w14:paraId="0C8D5C73">
      <w:pPr>
        <w:spacing w:line="360" w:lineRule="auto"/>
        <w:jc w:val="center"/>
        <w:outlineLvl w:val="1"/>
        <w:rPr>
          <w:rStyle w:val="20"/>
          <w:rFonts w:hint="eastAsia" w:ascii="宋体" w:hAnsi="宋体" w:eastAsia="宋体" w:cs="宋体"/>
          <w:b/>
          <w:bCs/>
          <w:sz w:val="32"/>
          <w:szCs w:val="28"/>
          <w:lang w:val="en-US" w:eastAsia="zh-CN"/>
        </w:rPr>
      </w:pPr>
    </w:p>
    <w:p w14:paraId="268FE1B6">
      <w:pPr>
        <w:spacing w:line="360" w:lineRule="auto"/>
        <w:jc w:val="center"/>
        <w:outlineLvl w:val="1"/>
        <w:rPr>
          <w:rStyle w:val="20"/>
          <w:rFonts w:hint="eastAsia" w:ascii="宋体" w:hAnsi="宋体" w:eastAsia="宋体" w:cs="宋体"/>
          <w:b/>
          <w:bCs/>
          <w:sz w:val="32"/>
          <w:szCs w:val="28"/>
          <w:lang w:val="en-US" w:eastAsia="zh-CN"/>
        </w:rPr>
      </w:pPr>
    </w:p>
    <w:p w14:paraId="2F3D57A4">
      <w:pPr>
        <w:spacing w:line="360" w:lineRule="auto"/>
        <w:jc w:val="center"/>
        <w:outlineLvl w:val="1"/>
        <w:rPr>
          <w:rStyle w:val="20"/>
          <w:rFonts w:hint="eastAsia" w:ascii="宋体" w:hAnsi="宋体" w:eastAsia="宋体" w:cs="宋体"/>
          <w:b/>
          <w:bCs/>
          <w:sz w:val="32"/>
          <w:szCs w:val="28"/>
          <w:lang w:val="en-US" w:eastAsia="zh-CN"/>
        </w:rPr>
      </w:pPr>
    </w:p>
    <w:p w14:paraId="0D63EF51">
      <w:pPr>
        <w:pStyle w:val="6"/>
        <w:rPr>
          <w:rStyle w:val="20"/>
          <w:rFonts w:hint="eastAsia" w:ascii="宋体" w:hAnsi="宋体" w:eastAsia="宋体" w:cs="宋体"/>
          <w:b/>
          <w:bCs/>
          <w:sz w:val="32"/>
          <w:szCs w:val="28"/>
          <w:lang w:val="en-US" w:eastAsia="zh-CN"/>
        </w:rPr>
      </w:pPr>
    </w:p>
    <w:p w14:paraId="26170796">
      <w:pPr>
        <w:pStyle w:val="13"/>
        <w:rPr>
          <w:rStyle w:val="20"/>
          <w:rFonts w:hint="eastAsia" w:ascii="宋体" w:hAnsi="宋体" w:eastAsia="宋体" w:cs="宋体"/>
          <w:b/>
          <w:bCs/>
          <w:sz w:val="32"/>
          <w:szCs w:val="28"/>
          <w:lang w:val="en-US" w:eastAsia="zh-CN"/>
        </w:rPr>
      </w:pPr>
    </w:p>
    <w:p w14:paraId="5F9B338A">
      <w:pPr>
        <w:pStyle w:val="13"/>
        <w:rPr>
          <w:rStyle w:val="20"/>
          <w:rFonts w:hint="eastAsia" w:ascii="宋体" w:hAnsi="宋体" w:eastAsia="宋体" w:cs="宋体"/>
          <w:b/>
          <w:bCs/>
          <w:sz w:val="32"/>
          <w:szCs w:val="28"/>
          <w:lang w:val="en-US" w:eastAsia="zh-CN"/>
        </w:rPr>
      </w:pPr>
    </w:p>
    <w:p w14:paraId="0B850935">
      <w:pPr>
        <w:pStyle w:val="13"/>
        <w:rPr>
          <w:rStyle w:val="20"/>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20"/>
          <w:rFonts w:hint="eastAsia" w:ascii="宋体" w:hAnsi="宋体" w:eastAsia="宋体" w:cs="宋体"/>
          <w:b/>
          <w:bCs/>
          <w:sz w:val="48"/>
          <w:szCs w:val="48"/>
          <w:lang w:val="en-US" w:eastAsia="zh-CN"/>
        </w:rPr>
        <w:t>中山市小榄人民医院病原微生物高通量测序外送检测服务采购项目响应文件</w:t>
      </w:r>
    </w:p>
    <w:p w14:paraId="3785F128">
      <w:pPr>
        <w:spacing w:line="360" w:lineRule="auto"/>
        <w:jc w:val="center"/>
        <w:outlineLvl w:val="1"/>
        <w:rPr>
          <w:rStyle w:val="20"/>
          <w:rFonts w:hint="eastAsia" w:ascii="宋体" w:hAnsi="宋体" w:eastAsia="宋体" w:cs="宋体"/>
          <w:b/>
          <w:bCs/>
          <w:sz w:val="32"/>
          <w:szCs w:val="28"/>
        </w:rPr>
      </w:pPr>
    </w:p>
    <w:p w14:paraId="66779CA0">
      <w:pPr>
        <w:spacing w:line="360" w:lineRule="auto"/>
        <w:jc w:val="center"/>
        <w:outlineLvl w:val="1"/>
        <w:rPr>
          <w:rStyle w:val="20"/>
          <w:rFonts w:hint="eastAsia" w:ascii="宋体" w:hAnsi="宋体" w:eastAsia="宋体" w:cs="宋体"/>
          <w:b/>
          <w:bCs/>
          <w:sz w:val="32"/>
          <w:szCs w:val="28"/>
        </w:rPr>
      </w:pPr>
    </w:p>
    <w:p w14:paraId="3ACB86FE">
      <w:pPr>
        <w:spacing w:line="360" w:lineRule="auto"/>
        <w:jc w:val="center"/>
        <w:outlineLvl w:val="1"/>
        <w:rPr>
          <w:rStyle w:val="20"/>
          <w:rFonts w:hint="eastAsia" w:ascii="宋体" w:hAnsi="宋体" w:eastAsia="宋体" w:cs="宋体"/>
          <w:b/>
          <w:bCs/>
          <w:sz w:val="32"/>
          <w:szCs w:val="28"/>
        </w:rPr>
      </w:pPr>
    </w:p>
    <w:p w14:paraId="07D4B0A5">
      <w:pPr>
        <w:spacing w:line="360" w:lineRule="auto"/>
        <w:jc w:val="center"/>
        <w:outlineLvl w:val="1"/>
        <w:rPr>
          <w:rStyle w:val="20"/>
          <w:rFonts w:hint="eastAsia" w:ascii="宋体" w:hAnsi="宋体" w:eastAsia="宋体" w:cs="宋体"/>
          <w:b/>
          <w:bCs/>
          <w:sz w:val="32"/>
          <w:szCs w:val="28"/>
        </w:rPr>
      </w:pPr>
    </w:p>
    <w:p w14:paraId="41060C6E">
      <w:pPr>
        <w:spacing w:line="360" w:lineRule="auto"/>
        <w:jc w:val="center"/>
        <w:outlineLvl w:val="1"/>
        <w:rPr>
          <w:rStyle w:val="20"/>
          <w:rFonts w:hint="eastAsia" w:ascii="宋体" w:hAnsi="宋体" w:eastAsia="宋体" w:cs="宋体"/>
          <w:b/>
          <w:bCs/>
          <w:sz w:val="32"/>
          <w:szCs w:val="28"/>
        </w:rPr>
      </w:pPr>
    </w:p>
    <w:p w14:paraId="43C5CE10">
      <w:pPr>
        <w:pStyle w:val="4"/>
        <w:rPr>
          <w:rStyle w:val="20"/>
          <w:rFonts w:hint="eastAsia" w:ascii="宋体" w:hAnsi="宋体" w:eastAsia="宋体" w:cs="宋体"/>
          <w:b/>
          <w:bCs/>
          <w:sz w:val="32"/>
          <w:szCs w:val="28"/>
        </w:rPr>
      </w:pPr>
    </w:p>
    <w:p w14:paraId="13F4767D">
      <w:pPr>
        <w:spacing w:line="360" w:lineRule="auto"/>
        <w:ind w:firstLine="1680" w:firstLineChars="700"/>
        <w:jc w:val="both"/>
        <w:outlineLvl w:val="1"/>
        <w:rPr>
          <w:rStyle w:val="20"/>
          <w:rFonts w:hint="default" w:ascii="宋体" w:hAnsi="宋体" w:eastAsia="宋体" w:cs="宋体"/>
          <w:b w:val="0"/>
          <w:bCs w:val="0"/>
          <w:sz w:val="24"/>
          <w:szCs w:val="24"/>
          <w:u w:val="single"/>
          <w:lang w:val="en-US" w:eastAsia="zh-CN"/>
        </w:rPr>
      </w:pPr>
      <w:r>
        <w:rPr>
          <w:rStyle w:val="20"/>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20"/>
          <w:rFonts w:hint="eastAsia"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20"/>
          <w:rFonts w:hint="default" w:ascii="宋体" w:hAnsi="宋体" w:eastAsia="宋体" w:cs="宋体"/>
          <w:b w:val="0"/>
          <w:bCs w:val="0"/>
          <w:sz w:val="24"/>
          <w:szCs w:val="24"/>
          <w:lang w:val="en-US" w:eastAsia="zh-CN"/>
        </w:rPr>
      </w:pPr>
      <w:r>
        <w:rPr>
          <w:rStyle w:val="20"/>
          <w:rFonts w:hint="eastAsia" w:ascii="宋体" w:hAnsi="宋体" w:eastAsia="宋体" w:cs="宋体"/>
          <w:b w:val="0"/>
          <w:bCs w:val="0"/>
          <w:sz w:val="24"/>
          <w:szCs w:val="24"/>
          <w:lang w:val="en-US" w:eastAsia="zh-CN"/>
        </w:rPr>
        <w:t>邮箱：</w:t>
      </w:r>
    </w:p>
    <w:p w14:paraId="319592BB">
      <w:pPr>
        <w:pStyle w:val="4"/>
        <w:rPr>
          <w:rStyle w:val="20"/>
          <w:rFonts w:hint="eastAsia" w:ascii="宋体" w:hAnsi="宋体" w:eastAsia="宋体" w:cs="宋体"/>
          <w:b/>
          <w:bCs/>
          <w:sz w:val="32"/>
          <w:szCs w:val="28"/>
        </w:rPr>
      </w:pPr>
    </w:p>
    <w:p w14:paraId="7C4205B0">
      <w:pPr>
        <w:spacing w:line="360" w:lineRule="auto"/>
        <w:jc w:val="left"/>
        <w:outlineLvl w:val="1"/>
        <w:rPr>
          <w:rStyle w:val="20"/>
          <w:rFonts w:hint="eastAsia" w:ascii="宋体" w:hAnsi="宋体" w:eastAsia="宋体" w:cs="宋体"/>
          <w:b/>
          <w:bCs/>
          <w:sz w:val="21"/>
          <w:szCs w:val="21"/>
          <w:lang w:val="en-US" w:eastAsia="zh-CN"/>
        </w:rPr>
        <w:sectPr>
          <w:footerReference r:id="rId3" w:type="default"/>
          <w:pgSz w:w="11900" w:h="16840"/>
          <w:pgMar w:top="1440" w:right="1800" w:bottom="1440" w:left="1800" w:header="0" w:footer="567" w:gutter="0"/>
          <w:pgBorders>
            <w:top w:val="none" w:sz="0" w:space="0"/>
            <w:left w:val="none" w:sz="0" w:space="0"/>
            <w:bottom w:val="none" w:sz="0" w:space="0"/>
            <w:right w:val="none" w:sz="0" w:space="0"/>
          </w:pgBorders>
          <w:pgNumType w:fmt="decimal"/>
          <w:cols w:space="720" w:num="1"/>
        </w:sectPr>
      </w:pPr>
    </w:p>
    <w:p w14:paraId="6F27B7DA">
      <w:pPr>
        <w:spacing w:line="360" w:lineRule="auto"/>
        <w:jc w:val="left"/>
        <w:outlineLvl w:val="1"/>
        <w:rPr>
          <w:rStyle w:val="20"/>
          <w:rFonts w:hint="default" w:ascii="宋体" w:hAnsi="宋体" w:eastAsia="宋体" w:cs="宋体"/>
          <w:b/>
          <w:bCs/>
          <w:sz w:val="21"/>
          <w:szCs w:val="21"/>
          <w:lang w:val="en-US" w:eastAsia="zh-CN"/>
        </w:rPr>
      </w:pPr>
      <w:r>
        <w:rPr>
          <w:rStyle w:val="20"/>
          <w:rFonts w:hint="eastAsia" w:ascii="宋体" w:hAnsi="宋体" w:eastAsia="宋体" w:cs="宋体"/>
          <w:b/>
          <w:bCs/>
          <w:sz w:val="21"/>
          <w:szCs w:val="21"/>
          <w:lang w:val="en-US" w:eastAsia="zh-CN"/>
        </w:rPr>
        <w:t>一、承诺函</w:t>
      </w:r>
    </w:p>
    <w:p w14:paraId="2937FF95">
      <w:pPr>
        <w:spacing w:line="360" w:lineRule="auto"/>
        <w:jc w:val="center"/>
        <w:outlineLvl w:val="1"/>
        <w:rPr>
          <w:rStyle w:val="20"/>
          <w:rFonts w:hint="eastAsia" w:ascii="宋体" w:hAnsi="宋体" w:eastAsia="宋体" w:cs="宋体"/>
          <w:b/>
          <w:bCs/>
          <w:sz w:val="28"/>
          <w:szCs w:val="28"/>
        </w:rPr>
      </w:pPr>
      <w:r>
        <w:rPr>
          <w:rStyle w:val="20"/>
          <w:rFonts w:hint="eastAsia" w:ascii="宋体" w:hAnsi="宋体" w:eastAsia="宋体" w:cs="宋体"/>
          <w:b/>
          <w:bCs/>
          <w:sz w:val="28"/>
          <w:szCs w:val="28"/>
        </w:rPr>
        <w:t>承诺函</w:t>
      </w:r>
    </w:p>
    <w:p w14:paraId="5FBAE5F8">
      <w:pPr>
        <w:pStyle w:val="6"/>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中山市小榄人民医院病原微生物高通量测序外送检测服务采购项目采购项目</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22676"/>
      <w:bookmarkStart w:id="1" w:name="_Toc31838"/>
      <w:bookmarkStart w:id="2" w:name="_Toc30971"/>
      <w:bookmarkStart w:id="3" w:name="_Toc17857"/>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20"/>
          <w:rFonts w:hint="eastAsia" w:ascii="宋体" w:hAnsi="宋体" w:eastAsia="宋体" w:cs="宋体"/>
          <w:b/>
          <w:bCs/>
          <w:sz w:val="21"/>
          <w:szCs w:val="21"/>
          <w:lang w:val="en-US" w:eastAsia="zh-CN"/>
        </w:rPr>
        <w:t>二、</w:t>
      </w:r>
      <w:bookmarkEnd w:id="0"/>
      <w:bookmarkEnd w:id="1"/>
      <w:bookmarkEnd w:id="2"/>
      <w:bookmarkEnd w:id="3"/>
      <w:bookmarkEnd w:id="4"/>
      <w:r>
        <w:rPr>
          <w:rStyle w:val="20"/>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20589"/>
      <w:bookmarkStart w:id="7" w:name="_Toc12015"/>
      <w:bookmarkStart w:id="8" w:name="_Toc11351"/>
      <w:bookmarkStart w:id="9" w:name="_Toc27661"/>
      <w:bookmarkStart w:id="10" w:name="_Toc15526"/>
      <w:r>
        <w:rPr>
          <w:rStyle w:val="20"/>
          <w:rFonts w:hint="eastAsia" w:ascii="宋体" w:hAnsi="宋体" w:eastAsia="宋体" w:cs="宋体"/>
          <w:b/>
          <w:bCs/>
          <w:sz w:val="21"/>
          <w:szCs w:val="21"/>
          <w:lang w:val="en-US" w:eastAsia="zh-CN"/>
        </w:rPr>
        <w:t>三、</w:t>
      </w:r>
      <w:r>
        <w:rPr>
          <w:rStyle w:val="20"/>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9"/>
        <w:rPr>
          <w:rFonts w:hint="eastAsia" w:ascii="宋体" w:hAnsi="宋体" w:eastAsia="宋体" w:cs="宋体"/>
          <w:lang w:eastAsia="zh-CN"/>
        </w:rPr>
      </w:pPr>
    </w:p>
    <w:p w14:paraId="2E8967E4">
      <w:pPr>
        <w:pStyle w:val="18"/>
        <w:spacing w:line="360" w:lineRule="auto"/>
        <w:jc w:val="center"/>
        <w:rPr>
          <w:rStyle w:val="20"/>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w:t>
      </w:r>
      <w:r>
        <w:rPr>
          <w:rFonts w:hint="eastAsia" w:ascii="宋体" w:hAnsi="宋体" w:eastAsia="宋体" w:cs="宋体"/>
          <w:sz w:val="24"/>
          <w:u w:val="single"/>
          <w:lang w:val="en-US" w:eastAsia="zh-CN"/>
        </w:rPr>
        <w:t>中山市小榄人民医院病原微生物高通量测序外送检测服务采购项目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9"/>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bookmarkStart w:id="11" w:name="_Toc26969"/>
      <w:bookmarkStart w:id="12" w:name="_Toc1074"/>
      <w:bookmarkStart w:id="13" w:name="_Toc2041"/>
      <w:bookmarkStart w:id="14" w:name="_Toc12967"/>
      <w:bookmarkStart w:id="15" w:name="_Toc16435"/>
      <w:bookmarkStart w:id="16" w:name="_Toc23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20"/>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20"/>
          <w:rFonts w:hint="eastAsia" w:ascii="Times New Roman" w:hAnsi="宋体" w:eastAsia="宋体" w:cs="宋体"/>
          <w:b/>
          <w:bCs/>
          <w:color w:val="auto"/>
          <w:kern w:val="2"/>
          <w:sz w:val="21"/>
          <w:szCs w:val="21"/>
          <w:lang w:val="en-US" w:eastAsia="zh-CN"/>
        </w:rPr>
      </w:pPr>
      <w:r>
        <w:rPr>
          <w:rStyle w:val="20"/>
          <w:rFonts w:hint="eastAsia" w:hAnsi="宋体" w:cs="宋体"/>
          <w:b/>
          <w:bCs/>
          <w:color w:val="auto"/>
          <w:kern w:val="2"/>
          <w:sz w:val="21"/>
          <w:szCs w:val="21"/>
          <w:lang w:val="en-US" w:eastAsia="zh-CN"/>
        </w:rPr>
        <w:t>相关授权</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E21EFD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20"/>
          <w:rFonts w:hint="eastAsia" w:hAnsi="宋体" w:cs="宋体"/>
          <w:b/>
          <w:bCs/>
          <w:color w:val="auto"/>
          <w:kern w:val="2"/>
          <w:sz w:val="21"/>
          <w:szCs w:val="21"/>
          <w:lang w:val="en-US" w:eastAsia="zh-CN"/>
        </w:rPr>
        <w:t>九、采购需求偏离表</w:t>
      </w:r>
      <w:bookmarkEnd w:id="11"/>
      <w:bookmarkEnd w:id="12"/>
      <w:bookmarkEnd w:id="13"/>
      <w:bookmarkEnd w:id="14"/>
      <w:bookmarkEnd w:id="15"/>
      <w:bookmarkEnd w:id="16"/>
    </w:p>
    <w:p w14:paraId="44104E7C">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20"/>
          <w:rFonts w:hint="eastAsia" w:hAnsi="宋体" w:cs="宋体"/>
          <w:b w:val="0"/>
          <w:bCs w:val="0"/>
          <w:color w:val="auto"/>
          <w:kern w:val="2"/>
          <w:sz w:val="21"/>
          <w:szCs w:val="21"/>
          <w:lang w:val="en-US" w:eastAsia="zh-CN"/>
        </w:rPr>
      </w:pPr>
      <w:r>
        <w:rPr>
          <w:rStyle w:val="20"/>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20"/>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5"/>
        <w:tblW w:w="1465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48"/>
        <w:gridCol w:w="11168"/>
        <w:gridCol w:w="1240"/>
        <w:gridCol w:w="1395"/>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序号</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采购</w:t>
            </w:r>
            <w:r>
              <w:rPr>
                <w:rStyle w:val="20"/>
                <w:rFonts w:hint="eastAsia" w:ascii="宋体" w:hAnsi="宋体" w:eastAsia="宋体" w:cs="宋体"/>
                <w:b w:val="0"/>
                <w:bCs w:val="0"/>
                <w:color w:val="auto"/>
                <w:kern w:val="2"/>
                <w:sz w:val="21"/>
                <w:szCs w:val="21"/>
                <w:lang w:val="zh-TW" w:eastAsia="zh-CN"/>
              </w:rPr>
              <w:t>需求的</w:t>
            </w:r>
            <w:r>
              <w:rPr>
                <w:rStyle w:val="20"/>
                <w:rFonts w:hint="eastAsia" w:ascii="宋体" w:hAnsi="宋体" w:eastAsia="宋体" w:cs="宋体"/>
                <w:b w:val="0"/>
                <w:bCs w:val="0"/>
                <w:color w:val="auto"/>
                <w:kern w:val="2"/>
                <w:sz w:val="21"/>
                <w:szCs w:val="21"/>
                <w:lang w:val="zh-TW" w:eastAsia="zh-TW"/>
              </w:rPr>
              <w:t>要求</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zh-TW" w:eastAsia="zh-CN"/>
              </w:rPr>
            </w:pPr>
            <w:r>
              <w:rPr>
                <w:rStyle w:val="20"/>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CN"/>
              </w:rPr>
              <w:t>正/负偏离</w:t>
            </w: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zh-TW" w:eastAsia="zh-TW"/>
              </w:rPr>
              <w:t>偏离情况</w:t>
            </w:r>
            <w:r>
              <w:rPr>
                <w:rStyle w:val="20"/>
                <w:rFonts w:hint="eastAsia" w:ascii="宋体" w:hAnsi="宋体" w:eastAsia="宋体" w:cs="宋体"/>
                <w:b w:val="0"/>
                <w:bCs w:val="0"/>
                <w:color w:val="auto"/>
                <w:kern w:val="2"/>
                <w:sz w:val="21"/>
                <w:szCs w:val="21"/>
                <w:lang w:val="zh-TW" w:eastAsia="zh-CN"/>
              </w:rPr>
              <w:t>（</w:t>
            </w:r>
            <w:r>
              <w:rPr>
                <w:rStyle w:val="20"/>
                <w:rFonts w:hint="eastAsia" w:ascii="宋体" w:hAnsi="宋体" w:eastAsia="宋体" w:cs="宋体"/>
                <w:b w:val="0"/>
                <w:bCs w:val="0"/>
                <w:color w:val="auto"/>
                <w:kern w:val="2"/>
                <w:sz w:val="21"/>
                <w:szCs w:val="21"/>
                <w:lang w:val="en-US" w:eastAsia="zh-CN"/>
              </w:rPr>
              <w:t>完全响应请填证明材料对应的页码</w:t>
            </w:r>
            <w:r>
              <w:rPr>
                <w:rStyle w:val="20"/>
                <w:rFonts w:hint="eastAsia" w:ascii="宋体" w:hAnsi="宋体" w:eastAsia="宋体" w:cs="宋体"/>
                <w:b w:val="0"/>
                <w:bCs w:val="0"/>
                <w:color w:val="auto"/>
                <w:kern w:val="2"/>
                <w:sz w:val="21"/>
                <w:szCs w:val="21"/>
                <w:lang w:val="zh-TW" w:eastAsia="zh-CN"/>
              </w:rPr>
              <w:t>）</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879F69">
            <w:pPr>
              <w:spacing w:line="360" w:lineRule="auto"/>
              <w:rPr>
                <w:rStyle w:val="20"/>
                <w:rFonts w:hint="eastAsia" w:ascii="宋体" w:hAnsi="宋体" w:eastAsia="宋体" w:cs="宋体"/>
                <w:b w:val="0"/>
                <w:bCs w:val="0"/>
                <w:color w:val="auto"/>
                <w:kern w:val="2"/>
                <w:sz w:val="21"/>
                <w:szCs w:val="21"/>
                <w:lang w:val="en-US" w:eastAsia="zh-CN"/>
              </w:rPr>
            </w:pPr>
            <w:r>
              <w:rPr>
                <w:color w:val="auto"/>
                <w:sz w:val="20"/>
                <w:szCs w:val="20"/>
                <w:highlight w:val="none"/>
              </w:rPr>
              <w:t>1、招标文件中凡有“★”标识的内容条款为关键条款，投标人必须对此作出回答并完全满足这些要求</w:t>
            </w:r>
            <w:r>
              <w:rPr>
                <w:rFonts w:hint="eastAsia"/>
                <w:color w:val="auto"/>
                <w:sz w:val="20"/>
                <w:szCs w:val="20"/>
                <w:highlight w:val="none"/>
              </w:rPr>
              <w:t>，不</w:t>
            </w:r>
            <w:r>
              <w:rPr>
                <w:color w:val="auto"/>
                <w:sz w:val="20"/>
                <w:szCs w:val="20"/>
                <w:highlight w:val="none"/>
              </w:rPr>
              <w:t>可以出现任何负偏离，对这些关键条款的任何负偏离将视为无效投标。加注“▲”的内容为重点评标项目，投标人必须对该标识项目按照要求进行真实应答描述,但不作为无效投标条款。</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AED00">
            <w:pPr>
              <w:spacing w:line="360" w:lineRule="auto"/>
              <w:rPr>
                <w:rStyle w:val="20"/>
                <w:rFonts w:hint="eastAsia" w:ascii="宋体" w:hAnsi="宋体" w:eastAsia="宋体" w:cs="宋体"/>
                <w:b w:val="0"/>
                <w:bCs w:val="0"/>
                <w:color w:val="auto"/>
                <w:kern w:val="2"/>
                <w:sz w:val="21"/>
                <w:szCs w:val="21"/>
                <w:lang w:val="en-US" w:eastAsia="zh-CN"/>
              </w:rPr>
            </w:pPr>
            <w:r>
              <w:rPr>
                <w:color w:val="auto"/>
                <w:sz w:val="20"/>
                <w:szCs w:val="20"/>
                <w:highlight w:val="none"/>
              </w:rPr>
              <w:t>2、本次采购的项目及范围为：</w:t>
            </w:r>
            <w:r>
              <w:rPr>
                <w:color w:val="auto"/>
                <w:sz w:val="20"/>
                <w:szCs w:val="20"/>
                <w:highlight w:val="none"/>
                <w:lang w:eastAsia="zh-CN"/>
              </w:rPr>
              <w:t>中山市小榄人民医院</w:t>
            </w:r>
            <w:r>
              <w:rPr>
                <w:rFonts w:hint="eastAsia"/>
                <w:color w:val="auto"/>
                <w:sz w:val="20"/>
                <w:szCs w:val="20"/>
                <w:highlight w:val="none"/>
                <w:lang w:eastAsia="zh-CN"/>
              </w:rPr>
              <w:t>病原微生物高通量测序外送检测服务</w:t>
            </w:r>
            <w:r>
              <w:rPr>
                <w:rFonts w:hint="eastAsia"/>
                <w:color w:val="auto"/>
                <w:sz w:val="20"/>
                <w:szCs w:val="20"/>
                <w:highlight w:val="none"/>
                <w:lang w:val="en-US" w:eastAsia="zh-CN"/>
              </w:rPr>
              <w:t>采购项目</w:t>
            </w:r>
            <w:r>
              <w:rPr>
                <w:color w:val="auto"/>
                <w:sz w:val="20"/>
                <w:szCs w:val="20"/>
                <w:highlight w:val="none"/>
              </w:rPr>
              <w:t>，拟通过公开招标的形式确认1家服务单位。</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DD08858">
            <w:pPr>
              <w:spacing w:line="360" w:lineRule="auto"/>
              <w:rPr>
                <w:rFonts w:hint="eastAsia" w:ascii="宋体" w:hAnsi="宋体" w:cs="宋体"/>
                <w:color w:val="auto"/>
                <w:szCs w:val="21"/>
                <w:highlight w:val="none"/>
                <w:lang w:val="en-US" w:eastAsia="zh-CN"/>
              </w:rPr>
            </w:pPr>
            <w:r>
              <w:rPr>
                <w:color w:val="auto"/>
                <w:sz w:val="20"/>
                <w:szCs w:val="20"/>
                <w:highlight w:val="none"/>
              </w:rPr>
              <w:t>3、采购预算：人民币</w:t>
            </w:r>
            <w:r>
              <w:rPr>
                <w:rFonts w:hint="eastAsia"/>
                <w:color w:val="auto"/>
                <w:sz w:val="20"/>
                <w:szCs w:val="20"/>
                <w:highlight w:val="none"/>
              </w:rPr>
              <w:t>993,753.60元</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20"/>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20"/>
                <w:rFonts w:hint="eastAsia" w:ascii="宋体" w:hAnsi="宋体" w:eastAsia="宋体" w:cs="宋体"/>
                <w:b w:val="0"/>
                <w:bCs w:val="0"/>
                <w:color w:val="auto"/>
                <w:kern w:val="2"/>
                <w:sz w:val="21"/>
                <w:szCs w:val="21"/>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87D8717">
            <w:pPr>
              <w:spacing w:line="360" w:lineRule="auto"/>
              <w:rPr>
                <w:rFonts w:hint="eastAsia" w:ascii="宋体" w:hAnsi="宋体" w:eastAsia="宋体" w:cs="宋体"/>
                <w:color w:val="auto"/>
                <w:kern w:val="0"/>
                <w:sz w:val="21"/>
                <w:szCs w:val="21"/>
                <w:lang w:val="en-US" w:eastAsia="zh-CN" w:bidi="ar"/>
              </w:rPr>
            </w:pPr>
            <w:r>
              <w:rPr>
                <w:color w:val="auto"/>
                <w:sz w:val="20"/>
                <w:szCs w:val="20"/>
                <w:highlight w:val="none"/>
                <w:lang w:val="en-GB"/>
              </w:rPr>
              <w:t>★</w:t>
            </w:r>
            <w:r>
              <w:rPr>
                <w:color w:val="auto"/>
                <w:sz w:val="20"/>
                <w:szCs w:val="20"/>
                <w:highlight w:val="none"/>
              </w:rPr>
              <w:t>4、服务期2年，当服务期满2年或合同金额累计达到预算金额993,753.60元时（以先到为准），该合同自动终止。采购人</w:t>
            </w:r>
            <w:r>
              <w:rPr>
                <w:rFonts w:hint="eastAsia"/>
                <w:color w:val="auto"/>
                <w:sz w:val="20"/>
                <w:szCs w:val="20"/>
                <w:highlight w:val="none"/>
              </w:rPr>
              <w:t>每季度对中标人进行定期考核，总分100分，评分90分及以上时，不扣罚；评分90分-80分时</w:t>
            </w:r>
            <w:r>
              <w:rPr>
                <w:rFonts w:hint="eastAsia"/>
                <w:color w:val="auto"/>
                <w:sz w:val="20"/>
                <w:szCs w:val="20"/>
                <w:highlight w:val="none"/>
                <w:lang w:val="en-US" w:eastAsia="zh-CN"/>
              </w:rPr>
              <w:t>评分≥80，且＜90分时</w:t>
            </w:r>
            <w:r>
              <w:rPr>
                <w:rFonts w:hint="eastAsia"/>
                <w:color w:val="auto"/>
                <w:sz w:val="20"/>
                <w:szCs w:val="20"/>
                <w:highlight w:val="none"/>
              </w:rPr>
              <w:t>，</w:t>
            </w:r>
            <w:r>
              <w:rPr>
                <w:color w:val="auto"/>
                <w:sz w:val="20"/>
                <w:szCs w:val="20"/>
                <w:highlight w:val="none"/>
              </w:rPr>
              <w:t>扣罚中标人次季度5％的服务费</w:t>
            </w:r>
            <w:r>
              <w:rPr>
                <w:rFonts w:hint="eastAsia"/>
                <w:color w:val="auto"/>
                <w:sz w:val="20"/>
                <w:szCs w:val="20"/>
                <w:highlight w:val="none"/>
              </w:rPr>
              <w:t>；评分＜80分时，</w:t>
            </w:r>
            <w:r>
              <w:rPr>
                <w:color w:val="auto"/>
                <w:sz w:val="20"/>
                <w:szCs w:val="20"/>
                <w:highlight w:val="none"/>
              </w:rPr>
              <w:t>采购人有权单方终止合同</w:t>
            </w:r>
            <w:r>
              <w:rPr>
                <w:rFonts w:hint="eastAsia"/>
                <w:color w:val="auto"/>
                <w:sz w:val="20"/>
                <w:szCs w:val="20"/>
                <w:highlight w:val="none"/>
              </w:rPr>
              <w:t>并重新组织招标</w:t>
            </w:r>
            <w:r>
              <w:rPr>
                <w:color w:val="auto"/>
                <w:sz w:val="20"/>
                <w:szCs w:val="20"/>
                <w:highlight w:val="none"/>
              </w:rPr>
              <w:t>。如中标人因试剂质量、服务质量等问题受到行政部门处罚，造成社会舆论不良影响时，采购人有权单方终止合同重新组织招标，中标人应承担相应的经济和法律责任。</w:t>
            </w:r>
            <w:r>
              <w:rPr>
                <w:color w:val="auto"/>
                <w:sz w:val="20"/>
                <w:szCs w:val="20"/>
                <w:highlight w:val="none"/>
                <w:lang w:eastAsia="zh-Hans"/>
              </w:rPr>
              <w:t>受委托实验室质量检查表</w:t>
            </w:r>
            <w:r>
              <w:rPr>
                <w:rFonts w:hint="eastAsia"/>
                <w:color w:val="auto"/>
                <w:sz w:val="20"/>
                <w:szCs w:val="20"/>
                <w:highlight w:val="none"/>
                <w:lang w:val="en-US" w:eastAsia="zh-CN"/>
              </w:rPr>
              <w:t>季度</w:t>
            </w:r>
            <w:r>
              <w:rPr>
                <w:color w:val="auto"/>
                <w:sz w:val="20"/>
                <w:szCs w:val="20"/>
                <w:highlight w:val="none"/>
                <w:lang w:eastAsia="zh-Hans"/>
              </w:rPr>
              <w:t>考核表</w:t>
            </w:r>
            <w:r>
              <w:rPr>
                <w:rFonts w:hint="eastAsia"/>
                <w:color w:val="auto"/>
                <w:sz w:val="20"/>
                <w:szCs w:val="20"/>
                <w:highlight w:val="none"/>
                <w:lang w:eastAsia="zh-CN"/>
              </w:rPr>
              <w:t>，</w:t>
            </w:r>
            <w:r>
              <w:rPr>
                <w:rFonts w:hint="eastAsia"/>
                <w:color w:val="auto"/>
                <w:sz w:val="20"/>
                <w:szCs w:val="20"/>
                <w:highlight w:val="none"/>
                <w:lang w:val="en-US" w:eastAsia="zh-CN"/>
              </w:rPr>
              <w:t>详见附件一；除季度考核外，采购人不定期对</w:t>
            </w:r>
            <w:r>
              <w:rPr>
                <w:rFonts w:hint="eastAsia"/>
                <w:color w:val="auto"/>
                <w:sz w:val="20"/>
                <w:szCs w:val="20"/>
                <w:highlight w:val="none"/>
              </w:rPr>
              <w:t>受委托实验室质量检查表</w:t>
            </w:r>
            <w:r>
              <w:rPr>
                <w:rFonts w:hint="eastAsia"/>
                <w:color w:val="auto"/>
                <w:sz w:val="20"/>
                <w:szCs w:val="20"/>
                <w:highlight w:val="none"/>
                <w:lang w:val="en-US" w:eastAsia="zh-CN"/>
              </w:rPr>
              <w:t>进行，详见附件二。</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4D75BE">
            <w:pPr>
              <w:spacing w:line="360" w:lineRule="auto"/>
              <w:rPr>
                <w:rFonts w:hint="default"/>
                <w:color w:val="auto"/>
                <w:sz w:val="20"/>
                <w:szCs w:val="20"/>
                <w:highlight w:val="none"/>
                <w:lang w:val="en-US" w:eastAsia="zh-CN"/>
              </w:rPr>
            </w:pPr>
            <w:r>
              <w:rPr>
                <w:snapToGrid w:val="0"/>
                <w:color w:val="auto"/>
                <w:sz w:val="20"/>
                <w:szCs w:val="20"/>
                <w:highlight w:val="none"/>
                <w:lang w:val="en-GB"/>
              </w:rPr>
              <w:t>★</w:t>
            </w:r>
            <w:r>
              <w:rPr>
                <w:rFonts w:hint="eastAsia"/>
                <w:color w:val="auto"/>
                <w:sz w:val="20"/>
                <w:szCs w:val="20"/>
                <w:highlight w:val="none"/>
                <w:lang w:val="en-US" w:eastAsia="zh-CN"/>
              </w:rPr>
              <w:t>5、</w:t>
            </w:r>
            <w:r>
              <w:rPr>
                <w:rFonts w:hint="default"/>
                <w:color w:val="auto"/>
                <w:sz w:val="20"/>
                <w:szCs w:val="20"/>
                <w:highlight w:val="none"/>
                <w:lang w:val="en-US" w:eastAsia="zh-CN"/>
              </w:rPr>
              <w:t>投标人须同时满足以下条件：</w:t>
            </w:r>
          </w:p>
          <w:p w14:paraId="451DC440">
            <w:pPr>
              <w:spacing w:line="360" w:lineRule="auto"/>
              <w:rPr>
                <w:rFonts w:hint="default"/>
                <w:color w:val="auto"/>
                <w:sz w:val="20"/>
                <w:szCs w:val="20"/>
                <w:highlight w:val="none"/>
                <w:lang w:val="en-US" w:eastAsia="zh-CN"/>
              </w:rPr>
            </w:pPr>
            <w:r>
              <w:rPr>
                <w:rFonts w:hint="default"/>
                <w:color w:val="auto"/>
                <w:sz w:val="20"/>
                <w:szCs w:val="20"/>
                <w:highlight w:val="none"/>
                <w:lang w:val="en-US" w:eastAsia="zh-CN"/>
              </w:rPr>
              <w:t>a.通过属地卫生健康部门二级生物安全实验室备案且试验场地符合病原微生物临床基因扩增实验室条件（提供证明材料）。</w:t>
            </w:r>
          </w:p>
          <w:p w14:paraId="75FE1562">
            <w:pPr>
              <w:spacing w:line="360" w:lineRule="auto"/>
              <w:rPr>
                <w:rFonts w:hint="eastAsia" w:ascii="宋体" w:hAnsi="宋体" w:eastAsia="宋体" w:cs="宋体"/>
                <w:color w:val="auto"/>
                <w:szCs w:val="21"/>
                <w:highlight w:val="none"/>
              </w:rPr>
            </w:pPr>
            <w:r>
              <w:rPr>
                <w:rFonts w:hint="default"/>
                <w:color w:val="auto"/>
                <w:sz w:val="20"/>
                <w:szCs w:val="20"/>
                <w:highlight w:val="none"/>
                <w:lang w:val="en-US" w:eastAsia="zh-CN"/>
              </w:rPr>
              <w:t>b.具备有效期内临床基因扩增检验实验室验收合格证书（提供证明材料）。</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1A13D1">
            <w:pPr>
              <w:pStyle w:val="2"/>
              <w:numPr>
                <w:ilvl w:val="0"/>
                <w:numId w:val="0"/>
              </w:numPr>
              <w:spacing w:line="240" w:lineRule="auto"/>
              <w:outlineLvl w:val="1"/>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二、</w:t>
            </w:r>
            <w:r>
              <w:rPr>
                <w:rFonts w:ascii="Times New Roman" w:hAnsi="Times New Roman"/>
                <w:color w:val="auto"/>
                <w:sz w:val="24"/>
                <w:szCs w:val="24"/>
                <w:highlight w:val="none"/>
              </w:rPr>
              <w:t>采购需求</w:t>
            </w:r>
          </w:p>
          <w:tbl>
            <w:tblPr>
              <w:tblStyle w:val="15"/>
              <w:tblW w:w="0" w:type="auto"/>
              <w:tblInd w:w="0" w:type="dxa"/>
              <w:tblLayout w:type="autofit"/>
              <w:tblCellMar>
                <w:top w:w="0" w:type="dxa"/>
                <w:left w:w="108" w:type="dxa"/>
                <w:bottom w:w="0" w:type="dxa"/>
                <w:right w:w="108" w:type="dxa"/>
              </w:tblCellMar>
            </w:tblPr>
            <w:tblGrid>
              <w:gridCol w:w="417"/>
              <w:gridCol w:w="1143"/>
              <w:gridCol w:w="6897"/>
              <w:gridCol w:w="1271"/>
              <w:gridCol w:w="429"/>
              <w:gridCol w:w="846"/>
            </w:tblGrid>
            <w:tr w14:paraId="659B4042">
              <w:tblPrEx>
                <w:tblCellMar>
                  <w:top w:w="0" w:type="dxa"/>
                  <w:left w:w="108" w:type="dxa"/>
                  <w:bottom w:w="0" w:type="dxa"/>
                  <w:right w:w="108" w:type="dxa"/>
                </w:tblCellMar>
              </w:tblPrEx>
              <w:trPr>
                <w:trHeight w:val="535"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0B770A14">
                  <w:pPr>
                    <w:widowControl/>
                    <w:jc w:val="center"/>
                    <w:textAlignment w:val="center"/>
                    <w:rPr>
                      <w:b/>
                      <w:bCs/>
                      <w:color w:val="auto"/>
                      <w:kern w:val="0"/>
                      <w:sz w:val="20"/>
                      <w:szCs w:val="20"/>
                      <w:highlight w:val="none"/>
                      <w:lang w:bidi="ar"/>
                    </w:rPr>
                  </w:pPr>
                  <w:r>
                    <w:rPr>
                      <w:b/>
                      <w:bCs/>
                      <w:color w:val="auto"/>
                      <w:kern w:val="0"/>
                      <w:sz w:val="20"/>
                      <w:szCs w:val="20"/>
                      <w:highlight w:val="none"/>
                      <w:lang w:bidi="ar"/>
                    </w:rPr>
                    <w:t>序号</w:t>
                  </w:r>
                </w:p>
              </w:tc>
              <w:tc>
                <w:tcPr>
                  <w:tcW w:w="0" w:type="auto"/>
                  <w:tcBorders>
                    <w:top w:val="single" w:color="000000" w:sz="4" w:space="0"/>
                    <w:left w:val="single" w:color="000000" w:sz="4" w:space="0"/>
                    <w:bottom w:val="single" w:color="000000" w:sz="4" w:space="0"/>
                    <w:right w:val="single" w:color="000000" w:sz="4" w:space="0"/>
                  </w:tcBorders>
                  <w:vAlign w:val="center"/>
                </w:tcPr>
                <w:p w14:paraId="70CA49E0">
                  <w:pPr>
                    <w:widowControl/>
                    <w:jc w:val="center"/>
                    <w:textAlignment w:val="center"/>
                    <w:rPr>
                      <w:b/>
                      <w:bCs/>
                      <w:color w:val="auto"/>
                      <w:sz w:val="20"/>
                      <w:szCs w:val="20"/>
                      <w:highlight w:val="none"/>
                    </w:rPr>
                  </w:pPr>
                  <w:r>
                    <w:rPr>
                      <w:b/>
                      <w:bCs/>
                      <w:color w:val="auto"/>
                      <w:kern w:val="0"/>
                      <w:sz w:val="20"/>
                      <w:szCs w:val="20"/>
                      <w:highlight w:val="none"/>
                      <w:lang w:bidi="ar"/>
                    </w:rPr>
                    <w:t>检验项目名称</w:t>
                  </w:r>
                </w:p>
              </w:tc>
              <w:tc>
                <w:tcPr>
                  <w:tcW w:w="0" w:type="auto"/>
                  <w:tcBorders>
                    <w:top w:val="single" w:color="000000" w:sz="4" w:space="0"/>
                    <w:left w:val="single" w:color="000000" w:sz="4" w:space="0"/>
                    <w:bottom w:val="single" w:color="000000" w:sz="4" w:space="0"/>
                    <w:right w:val="single" w:color="000000" w:sz="4" w:space="0"/>
                  </w:tcBorders>
                  <w:vAlign w:val="center"/>
                </w:tcPr>
                <w:p w14:paraId="1B810173">
                  <w:pPr>
                    <w:widowControl/>
                    <w:jc w:val="center"/>
                    <w:textAlignment w:val="center"/>
                    <w:rPr>
                      <w:b/>
                      <w:bCs/>
                      <w:color w:val="auto"/>
                      <w:sz w:val="20"/>
                      <w:szCs w:val="20"/>
                      <w:highlight w:val="none"/>
                    </w:rPr>
                  </w:pPr>
                  <w:r>
                    <w:rPr>
                      <w:b/>
                      <w:bCs/>
                      <w:color w:val="auto"/>
                      <w:kern w:val="0"/>
                      <w:sz w:val="20"/>
                      <w:szCs w:val="20"/>
                      <w:highlight w:val="none"/>
                      <w:lang w:bidi="ar"/>
                    </w:rPr>
                    <w:t>检测内容（内涵）</w:t>
                  </w:r>
                </w:p>
              </w:tc>
              <w:tc>
                <w:tcPr>
                  <w:tcW w:w="0" w:type="auto"/>
                  <w:tcBorders>
                    <w:top w:val="single" w:color="000000" w:sz="4" w:space="0"/>
                    <w:left w:val="single" w:color="000000" w:sz="4" w:space="0"/>
                    <w:bottom w:val="single" w:color="000000" w:sz="4" w:space="0"/>
                    <w:right w:val="single" w:color="000000" w:sz="4" w:space="0"/>
                  </w:tcBorders>
                  <w:vAlign w:val="center"/>
                </w:tcPr>
                <w:p w14:paraId="3F2161FC">
                  <w:pPr>
                    <w:widowControl/>
                    <w:jc w:val="center"/>
                    <w:textAlignment w:val="center"/>
                    <w:rPr>
                      <w:b/>
                      <w:bCs/>
                      <w:color w:val="auto"/>
                      <w:kern w:val="0"/>
                      <w:sz w:val="20"/>
                      <w:szCs w:val="20"/>
                      <w:highlight w:val="none"/>
                      <w:lang w:bidi="ar"/>
                    </w:rPr>
                  </w:pPr>
                  <w:r>
                    <w:rPr>
                      <w:b/>
                      <w:bCs/>
                      <w:color w:val="auto"/>
                      <w:kern w:val="0"/>
                      <w:sz w:val="20"/>
                      <w:szCs w:val="20"/>
                      <w:highlight w:val="none"/>
                      <w:lang w:bidi="ar"/>
                    </w:rPr>
                    <w:t>物价编码</w:t>
                  </w:r>
                </w:p>
              </w:tc>
              <w:tc>
                <w:tcPr>
                  <w:tcW w:w="0" w:type="auto"/>
                  <w:tcBorders>
                    <w:top w:val="single" w:color="000000" w:sz="4" w:space="0"/>
                    <w:left w:val="single" w:color="000000" w:sz="4" w:space="0"/>
                    <w:bottom w:val="single" w:color="000000" w:sz="4" w:space="0"/>
                    <w:right w:val="single" w:color="000000" w:sz="4" w:space="0"/>
                  </w:tcBorders>
                  <w:vAlign w:val="center"/>
                </w:tcPr>
                <w:p w14:paraId="7EB8C5C7">
                  <w:pPr>
                    <w:widowControl/>
                    <w:jc w:val="center"/>
                    <w:textAlignment w:val="center"/>
                    <w:rPr>
                      <w:b/>
                      <w:bCs/>
                      <w:color w:val="auto"/>
                      <w:kern w:val="0"/>
                      <w:sz w:val="20"/>
                      <w:szCs w:val="20"/>
                      <w:highlight w:val="none"/>
                      <w:lang w:bidi="ar"/>
                    </w:rPr>
                  </w:pPr>
                  <w:r>
                    <w:rPr>
                      <w:rFonts w:hint="eastAsia"/>
                      <w:b/>
                      <w:bCs/>
                      <w:color w:val="auto"/>
                      <w:kern w:val="0"/>
                      <w:sz w:val="20"/>
                      <w:szCs w:val="20"/>
                      <w:highlight w:val="none"/>
                      <w:lang w:bidi="ar"/>
                    </w:rPr>
                    <w:t>收费次数</w:t>
                  </w:r>
                </w:p>
              </w:tc>
              <w:tc>
                <w:tcPr>
                  <w:tcW w:w="0" w:type="auto"/>
                  <w:tcBorders>
                    <w:top w:val="single" w:color="000000" w:sz="4" w:space="0"/>
                    <w:left w:val="single" w:color="000000" w:sz="4" w:space="0"/>
                    <w:bottom w:val="single" w:color="000000" w:sz="4" w:space="0"/>
                    <w:right w:val="single" w:color="000000" w:sz="4" w:space="0"/>
                  </w:tcBorders>
                  <w:vAlign w:val="center"/>
                </w:tcPr>
                <w:p w14:paraId="49EB0637">
                  <w:pPr>
                    <w:widowControl/>
                    <w:jc w:val="center"/>
                    <w:textAlignment w:val="center"/>
                    <w:rPr>
                      <w:rFonts w:hint="eastAsia" w:eastAsia="宋体"/>
                      <w:b/>
                      <w:bCs/>
                      <w:color w:val="auto"/>
                      <w:kern w:val="0"/>
                      <w:sz w:val="20"/>
                      <w:szCs w:val="20"/>
                      <w:highlight w:val="none"/>
                      <w:lang w:val="en-US" w:eastAsia="zh-CN" w:bidi="ar"/>
                    </w:rPr>
                  </w:pPr>
                  <w:r>
                    <w:rPr>
                      <w:rFonts w:hint="eastAsia"/>
                      <w:b/>
                      <w:bCs/>
                      <w:color w:val="auto"/>
                      <w:kern w:val="0"/>
                      <w:sz w:val="20"/>
                      <w:szCs w:val="20"/>
                      <w:highlight w:val="none"/>
                      <w:lang w:val="en-US" w:eastAsia="zh-CN" w:bidi="ar"/>
                    </w:rPr>
                    <w:t>年预计数量</w:t>
                  </w:r>
                  <w:r>
                    <w:rPr>
                      <w:rFonts w:hint="eastAsia"/>
                      <w:color w:val="auto"/>
                      <w:highlight w:val="none"/>
                      <w:lang w:eastAsia="zh-CN"/>
                    </w:rPr>
                    <w:t>（</w:t>
                  </w:r>
                  <w:r>
                    <w:rPr>
                      <w:rFonts w:hint="eastAsia"/>
                      <w:color w:val="auto"/>
                      <w:highlight w:val="none"/>
                      <w:lang w:val="en-US" w:eastAsia="zh-CN"/>
                    </w:rPr>
                    <w:t>例</w:t>
                  </w:r>
                  <w:r>
                    <w:rPr>
                      <w:rFonts w:hint="eastAsia"/>
                      <w:color w:val="auto"/>
                      <w:highlight w:val="none"/>
                      <w:lang w:eastAsia="zh-CN"/>
                    </w:rPr>
                    <w:t>）</w:t>
                  </w:r>
                </w:p>
              </w:tc>
            </w:tr>
            <w:tr w14:paraId="791BBBEE">
              <w:tblPrEx>
                <w:tblCellMar>
                  <w:top w:w="0" w:type="dxa"/>
                  <w:left w:w="108" w:type="dxa"/>
                  <w:bottom w:w="0" w:type="dxa"/>
                  <w:right w:w="108" w:type="dxa"/>
                </w:tblCellMar>
              </w:tblPrEx>
              <w:trPr>
                <w:trHeight w:val="150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76C5BBF">
                  <w:pPr>
                    <w:widowControl/>
                    <w:jc w:val="center"/>
                    <w:textAlignment w:val="center"/>
                    <w:rPr>
                      <w:color w:val="auto"/>
                      <w:kern w:val="0"/>
                      <w:sz w:val="20"/>
                      <w:szCs w:val="20"/>
                      <w:highlight w:val="none"/>
                      <w:lang w:bidi="ar"/>
                    </w:rPr>
                  </w:pPr>
                  <w:r>
                    <w:rPr>
                      <w:color w:val="auto"/>
                      <w:kern w:val="0"/>
                      <w:sz w:val="20"/>
                      <w:szCs w:val="20"/>
                      <w:highlight w:val="none"/>
                      <w:lang w:bidi="ar"/>
                    </w:rPr>
                    <w:t>1</w:t>
                  </w:r>
                </w:p>
              </w:tc>
              <w:tc>
                <w:tcPr>
                  <w:tcW w:w="0" w:type="auto"/>
                  <w:tcBorders>
                    <w:top w:val="single" w:color="000000" w:sz="4" w:space="0"/>
                    <w:left w:val="single" w:color="000000" w:sz="4" w:space="0"/>
                    <w:bottom w:val="single" w:color="000000" w:sz="4" w:space="0"/>
                    <w:right w:val="single" w:color="000000" w:sz="4" w:space="0"/>
                  </w:tcBorders>
                  <w:vAlign w:val="center"/>
                </w:tcPr>
                <w:p w14:paraId="53088FA5">
                  <w:pPr>
                    <w:widowControl/>
                    <w:jc w:val="left"/>
                    <w:textAlignment w:val="top"/>
                    <w:rPr>
                      <w:color w:val="auto"/>
                      <w:sz w:val="20"/>
                      <w:szCs w:val="20"/>
                      <w:highlight w:val="none"/>
                    </w:rPr>
                  </w:pPr>
                  <w:r>
                    <w:rPr>
                      <w:color w:val="auto"/>
                      <w:kern w:val="0"/>
                      <w:highlight w:val="none"/>
                      <w:lang w:bidi="ar"/>
                    </w:rPr>
                    <w:t>DNA-病原微生物宏基因组高通量测序</w:t>
                  </w:r>
                </w:p>
              </w:tc>
              <w:tc>
                <w:tcPr>
                  <w:tcW w:w="0" w:type="auto"/>
                  <w:tcBorders>
                    <w:top w:val="single" w:color="000000" w:sz="4" w:space="0"/>
                    <w:left w:val="single" w:color="000000" w:sz="4" w:space="0"/>
                    <w:bottom w:val="single" w:color="auto" w:sz="4" w:space="0"/>
                    <w:right w:val="single" w:color="000000" w:sz="4" w:space="0"/>
                  </w:tcBorders>
                  <w:vAlign w:val="center"/>
                </w:tcPr>
                <w:p w14:paraId="0A7B7DF1">
                  <w:pPr>
                    <w:widowControl/>
                    <w:jc w:val="left"/>
                    <w:textAlignment w:val="top"/>
                    <w:rPr>
                      <w:color w:val="auto"/>
                      <w:sz w:val="20"/>
                      <w:szCs w:val="20"/>
                      <w:highlight w:val="none"/>
                    </w:rPr>
                  </w:pPr>
                  <w:r>
                    <w:rPr>
                      <w:rFonts w:hint="eastAsia"/>
                      <w:color w:val="auto"/>
                      <w:kern w:val="0"/>
                      <w:highlight w:val="none"/>
                      <w:lang w:bidi="ar"/>
                    </w:rPr>
                    <w:t>检测送检标本中≥</w:t>
                  </w:r>
                  <w:r>
                    <w:rPr>
                      <w:color w:val="auto"/>
                      <w:kern w:val="0"/>
                      <w:highlight w:val="none"/>
                      <w:lang w:bidi="ar"/>
                    </w:rPr>
                    <w:t>10000种遗传物质为DNA的病原微生物，包括细菌、真菌、病毒、寄生虫、分枝杆菌、支原体、衣原体等</w:t>
                  </w:r>
                </w:p>
              </w:tc>
              <w:tc>
                <w:tcPr>
                  <w:tcW w:w="0" w:type="auto"/>
                  <w:tcBorders>
                    <w:top w:val="single" w:color="000000" w:sz="4" w:space="0"/>
                    <w:left w:val="single" w:color="000000" w:sz="4" w:space="0"/>
                    <w:bottom w:val="single" w:color="auto" w:sz="4" w:space="0"/>
                    <w:right w:val="single" w:color="000000" w:sz="4" w:space="0"/>
                  </w:tcBorders>
                  <w:vAlign w:val="center"/>
                </w:tcPr>
                <w:p w14:paraId="3E9B4797">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auto" w:sz="4" w:space="0"/>
                    <w:right w:val="single" w:color="000000" w:sz="4" w:space="0"/>
                  </w:tcBorders>
                  <w:vAlign w:val="center"/>
                </w:tcPr>
                <w:p w14:paraId="661638CE">
                  <w:pPr>
                    <w:widowControl/>
                    <w:jc w:val="center"/>
                    <w:textAlignment w:val="center"/>
                    <w:rPr>
                      <w:color w:val="auto"/>
                      <w:kern w:val="0"/>
                      <w:sz w:val="20"/>
                      <w:szCs w:val="20"/>
                      <w:highlight w:val="none"/>
                      <w:lang w:bidi="ar"/>
                    </w:rPr>
                  </w:pPr>
                  <w:r>
                    <w:rPr>
                      <w:rFonts w:hint="eastAsia"/>
                      <w:color w:val="auto"/>
                      <w:highlight w:val="none"/>
                    </w:rPr>
                    <w:t>16</w:t>
                  </w:r>
                </w:p>
              </w:tc>
              <w:tc>
                <w:tcPr>
                  <w:tcW w:w="0" w:type="auto"/>
                  <w:tcBorders>
                    <w:top w:val="single" w:color="000000" w:sz="4" w:space="0"/>
                    <w:left w:val="single" w:color="000000" w:sz="4" w:space="0"/>
                    <w:bottom w:val="single" w:color="auto" w:sz="4" w:space="0"/>
                    <w:right w:val="single" w:color="000000" w:sz="4" w:space="0"/>
                  </w:tcBorders>
                  <w:vAlign w:val="center"/>
                </w:tcPr>
                <w:p w14:paraId="4E2CD292">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171</w:t>
                  </w:r>
                </w:p>
              </w:tc>
            </w:tr>
            <w:tr w14:paraId="4B463192">
              <w:tblPrEx>
                <w:tblCellMar>
                  <w:top w:w="0" w:type="dxa"/>
                  <w:left w:w="108" w:type="dxa"/>
                  <w:bottom w:w="0" w:type="dxa"/>
                  <w:right w:w="108" w:type="dxa"/>
                </w:tblCellMar>
              </w:tblPrEx>
              <w:trPr>
                <w:trHeight w:val="807"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1448A70">
                  <w:pPr>
                    <w:widowControl/>
                    <w:jc w:val="center"/>
                    <w:textAlignment w:val="center"/>
                    <w:rPr>
                      <w:color w:val="auto"/>
                      <w:kern w:val="0"/>
                      <w:sz w:val="20"/>
                      <w:szCs w:val="20"/>
                      <w:highlight w:val="none"/>
                      <w:lang w:bidi="ar"/>
                    </w:rPr>
                  </w:pPr>
                  <w:r>
                    <w:rPr>
                      <w:color w:val="auto"/>
                      <w:kern w:val="0"/>
                      <w:sz w:val="20"/>
                      <w:szCs w:val="20"/>
                      <w:highlight w:val="none"/>
                      <w:lang w:bidi="ar"/>
                    </w:rPr>
                    <w:t>2</w:t>
                  </w:r>
                </w:p>
              </w:tc>
              <w:tc>
                <w:tcPr>
                  <w:tcW w:w="0" w:type="auto"/>
                  <w:tcBorders>
                    <w:top w:val="single" w:color="000000" w:sz="4" w:space="0"/>
                    <w:left w:val="single" w:color="000000" w:sz="4" w:space="0"/>
                    <w:bottom w:val="single" w:color="000000" w:sz="4" w:space="0"/>
                    <w:right w:val="single" w:color="auto" w:sz="4" w:space="0"/>
                  </w:tcBorders>
                  <w:vAlign w:val="center"/>
                </w:tcPr>
                <w:p w14:paraId="4D7FC546">
                  <w:pPr>
                    <w:widowControl/>
                    <w:jc w:val="left"/>
                    <w:textAlignment w:val="top"/>
                    <w:rPr>
                      <w:color w:val="auto"/>
                      <w:sz w:val="20"/>
                      <w:szCs w:val="20"/>
                      <w:highlight w:val="none"/>
                    </w:rPr>
                  </w:pPr>
                  <w:r>
                    <w:rPr>
                      <w:color w:val="auto"/>
                      <w:kern w:val="0"/>
                      <w:highlight w:val="none"/>
                      <w:lang w:bidi="ar"/>
                    </w:rPr>
                    <w:t>RNA-病原微生物宏基因组高通量测序</w:t>
                  </w:r>
                </w:p>
              </w:tc>
              <w:tc>
                <w:tcPr>
                  <w:tcW w:w="0" w:type="auto"/>
                  <w:tcBorders>
                    <w:top w:val="single" w:color="auto" w:sz="4" w:space="0"/>
                    <w:left w:val="single" w:color="auto" w:sz="4" w:space="0"/>
                    <w:bottom w:val="single" w:color="auto" w:sz="4" w:space="0"/>
                    <w:right w:val="single" w:color="auto" w:sz="4" w:space="0"/>
                  </w:tcBorders>
                  <w:noWrap/>
                  <w:vAlign w:val="center"/>
                </w:tcPr>
                <w:p w14:paraId="39BFFF6C">
                  <w:pPr>
                    <w:widowControl/>
                    <w:jc w:val="left"/>
                    <w:textAlignment w:val="top"/>
                    <w:rPr>
                      <w:color w:val="auto"/>
                      <w:sz w:val="20"/>
                      <w:szCs w:val="20"/>
                      <w:highlight w:val="none"/>
                    </w:rPr>
                  </w:pPr>
                  <w:r>
                    <w:rPr>
                      <w:rFonts w:hint="eastAsia"/>
                      <w:color w:val="auto"/>
                      <w:kern w:val="0"/>
                      <w:highlight w:val="none"/>
                      <w:lang w:bidi="ar"/>
                    </w:rPr>
                    <w:t>检测送检标本中≥3</w:t>
                  </w:r>
                  <w:r>
                    <w:rPr>
                      <w:color w:val="auto"/>
                      <w:kern w:val="0"/>
                      <w:highlight w:val="none"/>
                      <w:lang w:bidi="ar"/>
                    </w:rPr>
                    <w:t>000种遗传物质为RNA的病原微生物，仅限RNA病毒</w:t>
                  </w:r>
                </w:p>
              </w:tc>
              <w:tc>
                <w:tcPr>
                  <w:tcW w:w="0" w:type="auto"/>
                  <w:tcBorders>
                    <w:top w:val="single" w:color="auto" w:sz="4" w:space="0"/>
                    <w:left w:val="single" w:color="auto" w:sz="4" w:space="0"/>
                    <w:bottom w:val="single" w:color="auto" w:sz="4" w:space="0"/>
                    <w:right w:val="single" w:color="auto" w:sz="4" w:space="0"/>
                  </w:tcBorders>
                  <w:noWrap/>
                  <w:vAlign w:val="center"/>
                </w:tcPr>
                <w:p w14:paraId="15B6A8C8">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auto" w:sz="4" w:space="0"/>
                    <w:bottom w:val="single" w:color="auto" w:sz="4" w:space="0"/>
                    <w:right w:val="single" w:color="auto" w:sz="4" w:space="0"/>
                  </w:tcBorders>
                  <w:noWrap/>
                  <w:vAlign w:val="center"/>
                </w:tcPr>
                <w:p w14:paraId="1B75AC44">
                  <w:pPr>
                    <w:widowControl/>
                    <w:jc w:val="center"/>
                    <w:textAlignment w:val="center"/>
                    <w:rPr>
                      <w:color w:val="auto"/>
                      <w:kern w:val="0"/>
                      <w:sz w:val="20"/>
                      <w:szCs w:val="20"/>
                      <w:highlight w:val="none"/>
                      <w:lang w:bidi="ar"/>
                    </w:rPr>
                  </w:pPr>
                  <w:r>
                    <w:rPr>
                      <w:rFonts w:hint="eastAsia"/>
                      <w:color w:val="auto"/>
                      <w:highlight w:val="none"/>
                    </w:rPr>
                    <w:t>16</w:t>
                  </w:r>
                </w:p>
              </w:tc>
              <w:tc>
                <w:tcPr>
                  <w:tcW w:w="0" w:type="auto"/>
                  <w:tcBorders>
                    <w:top w:val="single" w:color="auto" w:sz="4" w:space="0"/>
                    <w:left w:val="single" w:color="auto" w:sz="4" w:space="0"/>
                    <w:bottom w:val="single" w:color="auto" w:sz="4" w:space="0"/>
                    <w:right w:val="single" w:color="auto" w:sz="4" w:space="0"/>
                  </w:tcBorders>
                  <w:noWrap/>
                  <w:vAlign w:val="center"/>
                </w:tcPr>
                <w:p w14:paraId="452271AC">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22</w:t>
                  </w:r>
                </w:p>
              </w:tc>
            </w:tr>
            <w:tr w14:paraId="76915AC9">
              <w:tblPrEx>
                <w:tblCellMar>
                  <w:top w:w="0" w:type="dxa"/>
                  <w:left w:w="108" w:type="dxa"/>
                  <w:bottom w:w="0" w:type="dxa"/>
                  <w:right w:w="108" w:type="dxa"/>
                </w:tblCellMar>
              </w:tblPrEx>
              <w:trPr>
                <w:trHeight w:val="1576"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1FB8A70D">
                  <w:pPr>
                    <w:widowControl/>
                    <w:jc w:val="center"/>
                    <w:textAlignment w:val="center"/>
                    <w:rPr>
                      <w:color w:val="auto"/>
                      <w:kern w:val="0"/>
                      <w:sz w:val="20"/>
                      <w:szCs w:val="20"/>
                      <w:highlight w:val="none"/>
                      <w:lang w:bidi="ar"/>
                    </w:rPr>
                  </w:pPr>
                  <w:r>
                    <w:rPr>
                      <w:color w:val="auto"/>
                      <w:kern w:val="0"/>
                      <w:sz w:val="20"/>
                      <w:szCs w:val="20"/>
                      <w:highlight w:val="none"/>
                      <w:lang w:bidi="ar"/>
                    </w:rPr>
                    <w:t>3</w:t>
                  </w:r>
                </w:p>
              </w:tc>
              <w:tc>
                <w:tcPr>
                  <w:tcW w:w="0" w:type="auto"/>
                  <w:tcBorders>
                    <w:top w:val="single" w:color="000000" w:sz="4" w:space="0"/>
                    <w:left w:val="single" w:color="000000" w:sz="4" w:space="0"/>
                    <w:bottom w:val="single" w:color="000000" w:sz="4" w:space="0"/>
                    <w:right w:val="single" w:color="auto" w:sz="4" w:space="0"/>
                  </w:tcBorders>
                  <w:vAlign w:val="center"/>
                </w:tcPr>
                <w:p w14:paraId="09ED6AFA">
                  <w:pPr>
                    <w:widowControl/>
                    <w:jc w:val="left"/>
                    <w:textAlignment w:val="top"/>
                    <w:rPr>
                      <w:color w:val="auto"/>
                      <w:sz w:val="20"/>
                      <w:szCs w:val="20"/>
                      <w:highlight w:val="none"/>
                    </w:rPr>
                  </w:pPr>
                  <w:r>
                    <w:rPr>
                      <w:color w:val="auto"/>
                      <w:kern w:val="0"/>
                      <w:highlight w:val="none"/>
                      <w:lang w:bidi="ar"/>
                    </w:rPr>
                    <w:t>DNA+RNA-病原微生物宏基因组高通量测序</w:t>
                  </w:r>
                </w:p>
              </w:tc>
              <w:tc>
                <w:tcPr>
                  <w:tcW w:w="0" w:type="auto"/>
                  <w:tcBorders>
                    <w:top w:val="single" w:color="auto" w:sz="4" w:space="0"/>
                    <w:left w:val="single" w:color="auto" w:sz="4" w:space="0"/>
                    <w:bottom w:val="single" w:color="auto" w:sz="4" w:space="0"/>
                    <w:right w:val="single" w:color="auto" w:sz="4" w:space="0"/>
                  </w:tcBorders>
                  <w:vAlign w:val="center"/>
                </w:tcPr>
                <w:p w14:paraId="742DB6B5">
                  <w:pPr>
                    <w:widowControl/>
                    <w:jc w:val="left"/>
                    <w:textAlignment w:val="top"/>
                    <w:rPr>
                      <w:color w:val="auto"/>
                      <w:sz w:val="20"/>
                      <w:szCs w:val="20"/>
                      <w:highlight w:val="none"/>
                    </w:rPr>
                  </w:pPr>
                  <w:r>
                    <w:rPr>
                      <w:rFonts w:hint="eastAsia"/>
                      <w:color w:val="auto"/>
                      <w:kern w:val="0"/>
                      <w:highlight w:val="none"/>
                      <w:lang w:bidi="ar"/>
                    </w:rPr>
                    <w:t>检测送检标本中≥</w:t>
                  </w:r>
                  <w:r>
                    <w:rPr>
                      <w:color w:val="auto"/>
                      <w:kern w:val="0"/>
                      <w:highlight w:val="none"/>
                      <w:lang w:bidi="ar"/>
                    </w:rPr>
                    <w:t>1</w:t>
                  </w:r>
                  <w:r>
                    <w:rPr>
                      <w:rFonts w:hint="eastAsia"/>
                      <w:color w:val="auto"/>
                      <w:kern w:val="0"/>
                      <w:highlight w:val="none"/>
                      <w:lang w:bidi="ar"/>
                    </w:rPr>
                    <w:t>8</w:t>
                  </w:r>
                  <w:r>
                    <w:rPr>
                      <w:color w:val="auto"/>
                      <w:kern w:val="0"/>
                      <w:highlight w:val="none"/>
                      <w:lang w:bidi="ar"/>
                    </w:rPr>
                    <w:t>000种DNA/RNA病原微生物</w:t>
                  </w:r>
                </w:p>
              </w:tc>
              <w:tc>
                <w:tcPr>
                  <w:tcW w:w="0" w:type="auto"/>
                  <w:tcBorders>
                    <w:top w:val="single" w:color="auto" w:sz="4" w:space="0"/>
                    <w:left w:val="single" w:color="auto" w:sz="4" w:space="0"/>
                    <w:bottom w:val="single" w:color="auto" w:sz="4" w:space="0"/>
                    <w:right w:val="single" w:color="auto" w:sz="4" w:space="0"/>
                  </w:tcBorders>
                  <w:vAlign w:val="center"/>
                </w:tcPr>
                <w:p w14:paraId="18C73F4F">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auto" w:sz="4" w:space="0"/>
                    <w:bottom w:val="single" w:color="auto" w:sz="4" w:space="0"/>
                    <w:right w:val="single" w:color="auto" w:sz="4" w:space="0"/>
                  </w:tcBorders>
                  <w:vAlign w:val="center"/>
                </w:tcPr>
                <w:p w14:paraId="2ED46F6D">
                  <w:pPr>
                    <w:widowControl/>
                    <w:jc w:val="center"/>
                    <w:textAlignment w:val="center"/>
                    <w:rPr>
                      <w:color w:val="auto"/>
                      <w:kern w:val="0"/>
                      <w:sz w:val="20"/>
                      <w:szCs w:val="20"/>
                      <w:highlight w:val="none"/>
                      <w:lang w:bidi="ar"/>
                    </w:rPr>
                  </w:pPr>
                  <w:r>
                    <w:rPr>
                      <w:rFonts w:hint="eastAsia"/>
                      <w:color w:val="auto"/>
                      <w:highlight w:val="none"/>
                    </w:rPr>
                    <w:t>27</w:t>
                  </w:r>
                </w:p>
              </w:tc>
              <w:tc>
                <w:tcPr>
                  <w:tcW w:w="0" w:type="auto"/>
                  <w:tcBorders>
                    <w:top w:val="single" w:color="auto" w:sz="4" w:space="0"/>
                    <w:left w:val="single" w:color="auto" w:sz="4" w:space="0"/>
                    <w:bottom w:val="single" w:color="auto" w:sz="4" w:space="0"/>
                    <w:right w:val="single" w:color="auto" w:sz="4" w:space="0"/>
                  </w:tcBorders>
                  <w:vAlign w:val="center"/>
                </w:tcPr>
                <w:p w14:paraId="4B5FF5C3">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50</w:t>
                  </w:r>
                </w:p>
              </w:tc>
            </w:tr>
            <w:tr w14:paraId="7081EDB1">
              <w:tblPrEx>
                <w:tblCellMar>
                  <w:top w:w="0" w:type="dxa"/>
                  <w:left w:w="108" w:type="dxa"/>
                  <w:bottom w:w="0" w:type="dxa"/>
                  <w:right w:w="108" w:type="dxa"/>
                </w:tblCellMar>
              </w:tblPrEx>
              <w:trPr>
                <w:trHeight w:val="1215"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310BE6ED">
                  <w:pPr>
                    <w:widowControl/>
                    <w:jc w:val="center"/>
                    <w:textAlignment w:val="center"/>
                    <w:rPr>
                      <w:color w:val="auto"/>
                      <w:kern w:val="0"/>
                      <w:sz w:val="20"/>
                      <w:szCs w:val="20"/>
                      <w:highlight w:val="none"/>
                      <w:lang w:bidi="ar"/>
                    </w:rPr>
                  </w:pPr>
                  <w:r>
                    <w:rPr>
                      <w:color w:val="auto"/>
                      <w:kern w:val="0"/>
                      <w:sz w:val="20"/>
                      <w:szCs w:val="20"/>
                      <w:highlight w:val="none"/>
                      <w:lang w:bidi="ar"/>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30A6EB90">
                  <w:pPr>
                    <w:widowControl/>
                    <w:jc w:val="left"/>
                    <w:textAlignment w:val="top"/>
                    <w:rPr>
                      <w:color w:val="auto"/>
                      <w:sz w:val="20"/>
                      <w:szCs w:val="20"/>
                      <w:highlight w:val="none"/>
                    </w:rPr>
                  </w:pPr>
                  <w:r>
                    <w:rPr>
                      <w:color w:val="auto"/>
                      <w:kern w:val="0"/>
                      <w:highlight w:val="none"/>
                      <w:lang w:bidi="ar"/>
                    </w:rPr>
                    <w:t>DNA+RNA-病原微生物核酸高通量测序</w:t>
                  </w:r>
                </w:p>
              </w:tc>
              <w:tc>
                <w:tcPr>
                  <w:tcW w:w="0" w:type="auto"/>
                  <w:tcBorders>
                    <w:top w:val="single" w:color="auto" w:sz="4" w:space="0"/>
                    <w:left w:val="single" w:color="000000" w:sz="4" w:space="0"/>
                    <w:bottom w:val="single" w:color="000000" w:sz="4" w:space="0"/>
                    <w:right w:val="single" w:color="000000" w:sz="4" w:space="0"/>
                  </w:tcBorders>
                  <w:vAlign w:val="center"/>
                </w:tcPr>
                <w:p w14:paraId="0EA7C882">
                  <w:pPr>
                    <w:widowControl/>
                    <w:jc w:val="left"/>
                    <w:textAlignment w:val="top"/>
                    <w:rPr>
                      <w:color w:val="auto"/>
                      <w:sz w:val="20"/>
                      <w:szCs w:val="20"/>
                      <w:highlight w:val="none"/>
                    </w:rPr>
                  </w:pPr>
                  <w:r>
                    <w:rPr>
                      <w:rFonts w:hint="eastAsia"/>
                      <w:color w:val="auto"/>
                      <w:kern w:val="0"/>
                      <w:highlight w:val="none"/>
                      <w:lang w:bidi="ar"/>
                    </w:rPr>
                    <w:t>检测送检标本中≥2</w:t>
                  </w:r>
                  <w:r>
                    <w:rPr>
                      <w:color w:val="auto"/>
                      <w:kern w:val="0"/>
                      <w:highlight w:val="none"/>
                      <w:lang w:bidi="ar"/>
                    </w:rPr>
                    <w:t>000种DNA/RNA病原微生物（细菌、支原体、病毒等）</w:t>
                  </w:r>
                </w:p>
              </w:tc>
              <w:tc>
                <w:tcPr>
                  <w:tcW w:w="0" w:type="auto"/>
                  <w:tcBorders>
                    <w:top w:val="single" w:color="auto" w:sz="4" w:space="0"/>
                    <w:left w:val="single" w:color="000000" w:sz="4" w:space="0"/>
                    <w:bottom w:val="single" w:color="000000" w:sz="4" w:space="0"/>
                    <w:right w:val="single" w:color="000000" w:sz="4" w:space="0"/>
                  </w:tcBorders>
                  <w:vAlign w:val="center"/>
                </w:tcPr>
                <w:p w14:paraId="55C3EADB">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auto" w:sz="4" w:space="0"/>
                    <w:left w:val="single" w:color="000000" w:sz="4" w:space="0"/>
                    <w:bottom w:val="single" w:color="000000" w:sz="4" w:space="0"/>
                    <w:right w:val="single" w:color="000000" w:sz="4" w:space="0"/>
                  </w:tcBorders>
                  <w:vAlign w:val="center"/>
                </w:tcPr>
                <w:p w14:paraId="5815C646">
                  <w:pPr>
                    <w:widowControl/>
                    <w:jc w:val="center"/>
                    <w:textAlignment w:val="center"/>
                    <w:rPr>
                      <w:color w:val="auto"/>
                      <w:kern w:val="0"/>
                      <w:sz w:val="20"/>
                      <w:szCs w:val="20"/>
                      <w:highlight w:val="none"/>
                      <w:lang w:bidi="ar"/>
                    </w:rPr>
                  </w:pPr>
                  <w:r>
                    <w:rPr>
                      <w:rFonts w:hint="eastAsia"/>
                      <w:color w:val="auto"/>
                      <w:highlight w:val="none"/>
                    </w:rPr>
                    <w:t>11</w:t>
                  </w:r>
                </w:p>
              </w:tc>
              <w:tc>
                <w:tcPr>
                  <w:tcW w:w="0" w:type="auto"/>
                  <w:tcBorders>
                    <w:top w:val="single" w:color="auto" w:sz="4" w:space="0"/>
                    <w:left w:val="single" w:color="000000" w:sz="4" w:space="0"/>
                    <w:bottom w:val="single" w:color="000000" w:sz="4" w:space="0"/>
                    <w:right w:val="single" w:color="000000" w:sz="4" w:space="0"/>
                  </w:tcBorders>
                  <w:vAlign w:val="center"/>
                </w:tcPr>
                <w:p w14:paraId="7EDCEA8A">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106</w:t>
                  </w:r>
                </w:p>
              </w:tc>
            </w:tr>
            <w:tr w14:paraId="0D93BDD8">
              <w:tblPrEx>
                <w:tblCellMar>
                  <w:top w:w="0" w:type="dxa"/>
                  <w:left w:w="108" w:type="dxa"/>
                  <w:bottom w:w="0" w:type="dxa"/>
                  <w:right w:w="108" w:type="dxa"/>
                </w:tblCellMar>
              </w:tblPrEx>
              <w:trPr>
                <w:trHeight w:val="1129"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604953A9">
                  <w:pPr>
                    <w:widowControl/>
                    <w:jc w:val="center"/>
                    <w:textAlignment w:val="center"/>
                    <w:rPr>
                      <w:color w:val="auto"/>
                      <w:kern w:val="0"/>
                      <w:sz w:val="20"/>
                      <w:szCs w:val="20"/>
                      <w:highlight w:val="none"/>
                      <w:lang w:bidi="ar"/>
                    </w:rPr>
                  </w:pPr>
                  <w:r>
                    <w:rPr>
                      <w:color w:val="auto"/>
                      <w:kern w:val="0"/>
                      <w:sz w:val="20"/>
                      <w:szCs w:val="20"/>
                      <w:highlight w:val="none"/>
                      <w:lang w:bidi="ar"/>
                    </w:rPr>
                    <w:t>5</w:t>
                  </w:r>
                </w:p>
              </w:tc>
              <w:tc>
                <w:tcPr>
                  <w:tcW w:w="0" w:type="auto"/>
                  <w:tcBorders>
                    <w:top w:val="single" w:color="000000" w:sz="4" w:space="0"/>
                    <w:left w:val="single" w:color="000000" w:sz="4" w:space="0"/>
                    <w:bottom w:val="single" w:color="000000" w:sz="4" w:space="0"/>
                    <w:right w:val="single" w:color="000000" w:sz="4" w:space="0"/>
                  </w:tcBorders>
                  <w:vAlign w:val="center"/>
                </w:tcPr>
                <w:p w14:paraId="781B51E8">
                  <w:pPr>
                    <w:widowControl/>
                    <w:jc w:val="left"/>
                    <w:textAlignment w:val="top"/>
                    <w:rPr>
                      <w:color w:val="auto"/>
                      <w:sz w:val="20"/>
                      <w:szCs w:val="20"/>
                      <w:highlight w:val="none"/>
                    </w:rPr>
                  </w:pPr>
                  <w:r>
                    <w:rPr>
                      <w:color w:val="auto"/>
                      <w:kern w:val="0"/>
                      <w:highlight w:val="none"/>
                      <w:lang w:bidi="ar"/>
                    </w:rPr>
                    <w:t>病原微生物靶向高通量测序</w:t>
                  </w:r>
                  <w:r>
                    <w:rPr>
                      <w:rFonts w:hint="eastAsia"/>
                      <w:color w:val="auto"/>
                      <w:kern w:val="0"/>
                      <w:highlight w:val="none"/>
                      <w:lang w:bidi="ar"/>
                    </w:rPr>
                    <w:t>（泛感染）</w:t>
                  </w:r>
                </w:p>
              </w:tc>
              <w:tc>
                <w:tcPr>
                  <w:tcW w:w="0" w:type="auto"/>
                  <w:tcBorders>
                    <w:top w:val="single" w:color="000000" w:sz="4" w:space="0"/>
                    <w:left w:val="single" w:color="000000" w:sz="4" w:space="0"/>
                    <w:bottom w:val="single" w:color="000000" w:sz="4" w:space="0"/>
                    <w:right w:val="single" w:color="000000" w:sz="4" w:space="0"/>
                  </w:tcBorders>
                  <w:vAlign w:val="center"/>
                </w:tcPr>
                <w:p w14:paraId="4B22377A">
                  <w:pPr>
                    <w:widowControl/>
                    <w:jc w:val="left"/>
                    <w:textAlignment w:val="top"/>
                    <w:rPr>
                      <w:color w:val="auto"/>
                      <w:sz w:val="20"/>
                      <w:szCs w:val="20"/>
                      <w:highlight w:val="none"/>
                    </w:rPr>
                  </w:pPr>
                  <w:r>
                    <w:rPr>
                      <w:rFonts w:hint="eastAsia"/>
                      <w:color w:val="auto"/>
                      <w:kern w:val="0"/>
                      <w:highlight w:val="none"/>
                      <w:lang w:bidi="ar"/>
                    </w:rPr>
                    <w:t>检测送检标本中≥16</w:t>
                  </w:r>
                  <w:r>
                    <w:rPr>
                      <w:color w:val="auto"/>
                      <w:kern w:val="0"/>
                      <w:highlight w:val="none"/>
                      <w:lang w:bidi="ar"/>
                    </w:rPr>
                    <w:t>0种以上常见感染病原体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7AB72972">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5FBDEA5B">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30E735D0">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173</w:t>
                  </w:r>
                </w:p>
              </w:tc>
            </w:tr>
            <w:tr w14:paraId="53755C8D">
              <w:tblPrEx>
                <w:tblCellMar>
                  <w:top w:w="0" w:type="dxa"/>
                  <w:left w:w="108" w:type="dxa"/>
                  <w:bottom w:w="0" w:type="dxa"/>
                  <w:right w:w="108" w:type="dxa"/>
                </w:tblCellMar>
              </w:tblPrEx>
              <w:trPr>
                <w:trHeight w:val="914"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5C3CF665">
                  <w:pPr>
                    <w:widowControl/>
                    <w:jc w:val="center"/>
                    <w:textAlignment w:val="center"/>
                    <w:rPr>
                      <w:color w:val="auto"/>
                      <w:kern w:val="0"/>
                      <w:sz w:val="20"/>
                      <w:szCs w:val="20"/>
                      <w:highlight w:val="none"/>
                      <w:lang w:bidi="ar"/>
                    </w:rPr>
                  </w:pPr>
                  <w:r>
                    <w:rPr>
                      <w:color w:val="auto"/>
                      <w:kern w:val="0"/>
                      <w:sz w:val="20"/>
                      <w:szCs w:val="20"/>
                      <w:highlight w:val="none"/>
                      <w:lang w:bidi="ar"/>
                    </w:rPr>
                    <w:t>6</w:t>
                  </w:r>
                </w:p>
              </w:tc>
              <w:tc>
                <w:tcPr>
                  <w:tcW w:w="0" w:type="auto"/>
                  <w:tcBorders>
                    <w:top w:val="single" w:color="000000" w:sz="4" w:space="0"/>
                    <w:left w:val="single" w:color="000000" w:sz="4" w:space="0"/>
                    <w:bottom w:val="single" w:color="000000" w:sz="4" w:space="0"/>
                    <w:right w:val="single" w:color="000000" w:sz="4" w:space="0"/>
                  </w:tcBorders>
                  <w:vAlign w:val="center"/>
                </w:tcPr>
                <w:p w14:paraId="29C56878">
                  <w:pPr>
                    <w:widowControl/>
                    <w:jc w:val="left"/>
                    <w:textAlignment w:val="top"/>
                    <w:rPr>
                      <w:color w:val="auto"/>
                      <w:sz w:val="20"/>
                      <w:szCs w:val="20"/>
                      <w:highlight w:val="none"/>
                    </w:rPr>
                  </w:pPr>
                  <w:r>
                    <w:rPr>
                      <w:rFonts w:hint="eastAsia"/>
                      <w:color w:val="auto"/>
                      <w:kern w:val="0"/>
                      <w:highlight w:val="none"/>
                      <w:lang w:bidi="ar"/>
                    </w:rPr>
                    <w:t>上</w:t>
                  </w:r>
                  <w:r>
                    <w:rPr>
                      <w:color w:val="auto"/>
                      <w:kern w:val="0"/>
                      <w:highlight w:val="none"/>
                      <w:lang w:bidi="ar"/>
                    </w:rPr>
                    <w:t>呼吸道病原体靶向高通量测序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15458D07">
                  <w:pPr>
                    <w:widowControl/>
                    <w:jc w:val="left"/>
                    <w:textAlignment w:val="top"/>
                    <w:rPr>
                      <w:color w:val="auto"/>
                      <w:sz w:val="20"/>
                      <w:szCs w:val="20"/>
                      <w:highlight w:val="none"/>
                    </w:rPr>
                  </w:pPr>
                  <w:r>
                    <w:rPr>
                      <w:rFonts w:hint="eastAsia"/>
                      <w:color w:val="auto"/>
                      <w:kern w:val="0"/>
                      <w:highlight w:val="none"/>
                      <w:lang w:bidi="ar"/>
                    </w:rPr>
                    <w:t>检测上呼吸道标本中≥8</w:t>
                  </w:r>
                  <w:r>
                    <w:rPr>
                      <w:color w:val="auto"/>
                      <w:kern w:val="0"/>
                      <w:highlight w:val="none"/>
                      <w:lang w:bidi="ar"/>
                    </w:rPr>
                    <w:t>0种</w:t>
                  </w:r>
                  <w:r>
                    <w:rPr>
                      <w:rFonts w:hint="eastAsia"/>
                      <w:color w:val="auto"/>
                      <w:kern w:val="0"/>
                      <w:highlight w:val="none"/>
                      <w:lang w:bidi="ar"/>
                    </w:rPr>
                    <w:t>致病病原体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283FF952">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394C85F9">
                  <w:pPr>
                    <w:widowControl/>
                    <w:jc w:val="center"/>
                    <w:textAlignment w:val="center"/>
                    <w:rPr>
                      <w:color w:val="auto"/>
                      <w:kern w:val="0"/>
                      <w:sz w:val="20"/>
                      <w:szCs w:val="20"/>
                      <w:highlight w:val="none"/>
                      <w:lang w:bidi="ar"/>
                    </w:rPr>
                  </w:pPr>
                  <w:r>
                    <w:rPr>
                      <w:rFonts w:hint="eastAsia"/>
                      <w:color w:val="auto"/>
                      <w:highlight w:val="none"/>
                    </w:rPr>
                    <w:t>3</w:t>
                  </w:r>
                </w:p>
              </w:tc>
              <w:tc>
                <w:tcPr>
                  <w:tcW w:w="0" w:type="auto"/>
                  <w:tcBorders>
                    <w:top w:val="single" w:color="000000" w:sz="4" w:space="0"/>
                    <w:left w:val="single" w:color="000000" w:sz="4" w:space="0"/>
                    <w:bottom w:val="single" w:color="000000" w:sz="4" w:space="0"/>
                    <w:right w:val="single" w:color="000000" w:sz="4" w:space="0"/>
                  </w:tcBorders>
                  <w:vAlign w:val="center"/>
                </w:tcPr>
                <w:p w14:paraId="0F903E01">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96</w:t>
                  </w:r>
                </w:p>
              </w:tc>
            </w:tr>
            <w:tr w14:paraId="4A9DDE18">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22494183">
                  <w:pPr>
                    <w:widowControl/>
                    <w:jc w:val="center"/>
                    <w:textAlignment w:val="center"/>
                    <w:rPr>
                      <w:color w:val="auto"/>
                      <w:kern w:val="0"/>
                      <w:sz w:val="20"/>
                      <w:szCs w:val="20"/>
                      <w:highlight w:val="none"/>
                      <w:lang w:bidi="ar"/>
                    </w:rPr>
                  </w:pPr>
                  <w:r>
                    <w:rPr>
                      <w:rFonts w:hint="eastAsia"/>
                      <w:color w:val="auto"/>
                      <w:kern w:val="0"/>
                      <w:sz w:val="20"/>
                      <w:szCs w:val="20"/>
                      <w:highlight w:val="none"/>
                      <w:lang w:bidi="ar"/>
                    </w:rPr>
                    <w:t>7</w:t>
                  </w:r>
                </w:p>
              </w:tc>
              <w:tc>
                <w:tcPr>
                  <w:tcW w:w="0" w:type="auto"/>
                  <w:tcBorders>
                    <w:top w:val="single" w:color="000000" w:sz="4" w:space="0"/>
                    <w:left w:val="single" w:color="000000" w:sz="4" w:space="0"/>
                    <w:bottom w:val="single" w:color="000000" w:sz="4" w:space="0"/>
                    <w:right w:val="single" w:color="000000" w:sz="4" w:space="0"/>
                  </w:tcBorders>
                  <w:vAlign w:val="center"/>
                </w:tcPr>
                <w:p w14:paraId="6F62FC41">
                  <w:pPr>
                    <w:widowControl/>
                    <w:jc w:val="left"/>
                    <w:textAlignment w:val="top"/>
                    <w:rPr>
                      <w:color w:val="auto"/>
                      <w:sz w:val="20"/>
                      <w:szCs w:val="20"/>
                      <w:highlight w:val="none"/>
                    </w:rPr>
                  </w:pPr>
                  <w:r>
                    <w:rPr>
                      <w:rFonts w:hint="eastAsia"/>
                      <w:color w:val="auto"/>
                      <w:kern w:val="0"/>
                      <w:highlight w:val="none"/>
                      <w:lang w:bidi="ar"/>
                    </w:rPr>
                    <w:t>下</w:t>
                  </w:r>
                  <w:r>
                    <w:rPr>
                      <w:color w:val="auto"/>
                      <w:kern w:val="0"/>
                      <w:highlight w:val="none"/>
                      <w:lang w:bidi="ar"/>
                    </w:rPr>
                    <w:t>呼吸道病原体靶向高通量测序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43743642">
                  <w:pPr>
                    <w:widowControl/>
                    <w:jc w:val="left"/>
                    <w:textAlignment w:val="top"/>
                    <w:rPr>
                      <w:color w:val="auto"/>
                      <w:sz w:val="20"/>
                      <w:szCs w:val="20"/>
                      <w:highlight w:val="none"/>
                    </w:rPr>
                  </w:pPr>
                  <w:r>
                    <w:rPr>
                      <w:rFonts w:hint="eastAsia"/>
                      <w:color w:val="auto"/>
                      <w:kern w:val="0"/>
                      <w:highlight w:val="none"/>
                      <w:lang w:bidi="ar"/>
                    </w:rPr>
                    <w:t>检测下呼吸道标本中≥160</w:t>
                  </w:r>
                  <w:r>
                    <w:rPr>
                      <w:color w:val="auto"/>
                      <w:kern w:val="0"/>
                      <w:highlight w:val="none"/>
                      <w:lang w:bidi="ar"/>
                    </w:rPr>
                    <w:t>种</w:t>
                  </w:r>
                  <w:r>
                    <w:rPr>
                      <w:rFonts w:hint="eastAsia"/>
                      <w:color w:val="auto"/>
                      <w:kern w:val="0"/>
                      <w:highlight w:val="none"/>
                      <w:lang w:bidi="ar"/>
                    </w:rPr>
                    <w:t>致病病原体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5C526A80">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60CC9940">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2F9E2226">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96</w:t>
                  </w:r>
                </w:p>
              </w:tc>
            </w:tr>
            <w:tr w14:paraId="24398ED2">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B34B66C">
                  <w:pPr>
                    <w:widowControl/>
                    <w:jc w:val="center"/>
                    <w:textAlignment w:val="center"/>
                    <w:rPr>
                      <w:color w:val="auto"/>
                      <w:kern w:val="0"/>
                      <w:sz w:val="20"/>
                      <w:szCs w:val="20"/>
                      <w:highlight w:val="none"/>
                      <w:lang w:bidi="ar"/>
                    </w:rPr>
                  </w:pPr>
                  <w:r>
                    <w:rPr>
                      <w:color w:val="auto"/>
                      <w:kern w:val="0"/>
                      <w:sz w:val="20"/>
                      <w:szCs w:val="20"/>
                      <w:highlight w:val="none"/>
                      <w:lang w:bidi="ar"/>
                    </w:rPr>
                    <w:t>8</w:t>
                  </w:r>
                </w:p>
              </w:tc>
              <w:tc>
                <w:tcPr>
                  <w:tcW w:w="0" w:type="auto"/>
                  <w:tcBorders>
                    <w:top w:val="single" w:color="000000" w:sz="4" w:space="0"/>
                    <w:left w:val="single" w:color="000000" w:sz="4" w:space="0"/>
                    <w:bottom w:val="single" w:color="000000" w:sz="4" w:space="0"/>
                    <w:right w:val="single" w:color="000000" w:sz="4" w:space="0"/>
                  </w:tcBorders>
                  <w:vAlign w:val="center"/>
                </w:tcPr>
                <w:p w14:paraId="30473FA7">
                  <w:pPr>
                    <w:widowControl/>
                    <w:jc w:val="left"/>
                    <w:textAlignment w:val="top"/>
                    <w:rPr>
                      <w:color w:val="auto"/>
                      <w:sz w:val="20"/>
                      <w:szCs w:val="20"/>
                      <w:highlight w:val="none"/>
                    </w:rPr>
                  </w:pPr>
                  <w:r>
                    <w:rPr>
                      <w:color w:val="auto"/>
                      <w:kern w:val="0"/>
                      <w:highlight w:val="none"/>
                      <w:lang w:bidi="ar"/>
                    </w:rPr>
                    <w:t>结核分枝杆菌复合群及</w:t>
                  </w:r>
                  <w:r>
                    <w:rPr>
                      <w:rFonts w:hint="eastAsia"/>
                      <w:color w:val="auto"/>
                      <w:kern w:val="0"/>
                      <w:highlight w:val="none"/>
                      <w:lang w:bidi="ar"/>
                    </w:rPr>
                    <w:t>非结核分枝杆菌</w:t>
                  </w:r>
                  <w:r>
                    <w:rPr>
                      <w:color w:val="auto"/>
                      <w:kern w:val="0"/>
                      <w:highlight w:val="none"/>
                      <w:lang w:bidi="ar"/>
                    </w:rPr>
                    <w:t>靶向测序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3861AB3B">
                  <w:pPr>
                    <w:widowControl/>
                    <w:jc w:val="left"/>
                    <w:textAlignment w:val="top"/>
                    <w:rPr>
                      <w:color w:val="auto"/>
                      <w:sz w:val="20"/>
                      <w:szCs w:val="20"/>
                      <w:highlight w:val="none"/>
                    </w:rPr>
                  </w:pPr>
                  <w:r>
                    <w:rPr>
                      <w:rFonts w:hint="eastAsia"/>
                      <w:color w:val="auto"/>
                      <w:kern w:val="0"/>
                      <w:highlight w:val="none"/>
                      <w:lang w:bidi="ar"/>
                    </w:rPr>
                    <w:t>检测送检标本中≥70</w:t>
                  </w:r>
                  <w:r>
                    <w:rPr>
                      <w:color w:val="auto"/>
                      <w:kern w:val="0"/>
                      <w:highlight w:val="none"/>
                      <w:lang w:bidi="ar"/>
                    </w:rPr>
                    <w:t>种以上</w:t>
                  </w:r>
                  <w:r>
                    <w:rPr>
                      <w:rFonts w:hint="eastAsia"/>
                      <w:color w:val="auto"/>
                      <w:kern w:val="0"/>
                      <w:highlight w:val="none"/>
                      <w:lang w:bidi="ar"/>
                    </w:rPr>
                    <w:t>结核分枝杆菌及非结核分枝杆菌鉴定</w:t>
                  </w:r>
                </w:p>
              </w:tc>
              <w:tc>
                <w:tcPr>
                  <w:tcW w:w="0" w:type="auto"/>
                  <w:tcBorders>
                    <w:top w:val="single" w:color="000000" w:sz="4" w:space="0"/>
                    <w:left w:val="single" w:color="000000" w:sz="4" w:space="0"/>
                    <w:bottom w:val="single" w:color="000000" w:sz="4" w:space="0"/>
                    <w:right w:val="single" w:color="000000" w:sz="4" w:space="0"/>
                  </w:tcBorders>
                  <w:vAlign w:val="center"/>
                </w:tcPr>
                <w:p w14:paraId="15F2CDCE">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1ECE035F">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6B8F4F6C">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16</w:t>
                  </w:r>
                </w:p>
              </w:tc>
            </w:tr>
            <w:tr w14:paraId="5667D0BE">
              <w:tblPrEx>
                <w:tblCellMar>
                  <w:top w:w="0" w:type="dxa"/>
                  <w:left w:w="108" w:type="dxa"/>
                  <w:bottom w:w="0" w:type="dxa"/>
                  <w:right w:w="108" w:type="dxa"/>
                </w:tblCellMar>
              </w:tblPrEx>
              <w:trPr>
                <w:trHeight w:val="23" w:hRule="atLeast"/>
              </w:trPr>
              <w:tc>
                <w:tcPr>
                  <w:tcW w:w="0" w:type="auto"/>
                  <w:tcBorders>
                    <w:top w:val="single" w:color="000000" w:sz="4" w:space="0"/>
                    <w:left w:val="single" w:color="000000" w:sz="4" w:space="0"/>
                    <w:bottom w:val="single" w:color="000000" w:sz="4" w:space="0"/>
                    <w:right w:val="single" w:color="000000" w:sz="4" w:space="0"/>
                  </w:tcBorders>
                  <w:vAlign w:val="center"/>
                </w:tcPr>
                <w:p w14:paraId="7B7DA646">
                  <w:pPr>
                    <w:widowControl/>
                    <w:jc w:val="center"/>
                    <w:textAlignment w:val="center"/>
                    <w:rPr>
                      <w:color w:val="auto"/>
                      <w:kern w:val="0"/>
                      <w:sz w:val="20"/>
                      <w:szCs w:val="20"/>
                      <w:highlight w:val="none"/>
                      <w:lang w:bidi="ar"/>
                    </w:rPr>
                  </w:pPr>
                  <w:r>
                    <w:rPr>
                      <w:color w:val="auto"/>
                      <w:kern w:val="0"/>
                      <w:sz w:val="20"/>
                      <w:szCs w:val="20"/>
                      <w:highlight w:val="none"/>
                      <w:lang w:bidi="ar"/>
                    </w:rPr>
                    <w:t>9</w:t>
                  </w:r>
                </w:p>
              </w:tc>
              <w:tc>
                <w:tcPr>
                  <w:tcW w:w="0" w:type="auto"/>
                  <w:tcBorders>
                    <w:top w:val="single" w:color="000000" w:sz="4" w:space="0"/>
                    <w:left w:val="single" w:color="000000" w:sz="4" w:space="0"/>
                    <w:bottom w:val="single" w:color="000000" w:sz="4" w:space="0"/>
                    <w:right w:val="single" w:color="000000" w:sz="4" w:space="0"/>
                  </w:tcBorders>
                  <w:vAlign w:val="center"/>
                </w:tcPr>
                <w:p w14:paraId="1E60BEAC">
                  <w:pPr>
                    <w:widowControl/>
                    <w:jc w:val="left"/>
                    <w:textAlignment w:val="top"/>
                    <w:rPr>
                      <w:color w:val="auto"/>
                      <w:sz w:val="20"/>
                      <w:szCs w:val="20"/>
                      <w:highlight w:val="none"/>
                    </w:rPr>
                  </w:pPr>
                  <w:r>
                    <w:rPr>
                      <w:color w:val="auto"/>
                      <w:kern w:val="0"/>
                      <w:highlight w:val="none"/>
                      <w:lang w:bidi="ar"/>
                    </w:rPr>
                    <w:t>中枢神经系统多种病原体靶向高通量测序</w:t>
                  </w:r>
                </w:p>
              </w:tc>
              <w:tc>
                <w:tcPr>
                  <w:tcW w:w="0" w:type="auto"/>
                  <w:tcBorders>
                    <w:top w:val="single" w:color="000000" w:sz="4" w:space="0"/>
                    <w:left w:val="single" w:color="000000" w:sz="4" w:space="0"/>
                    <w:bottom w:val="single" w:color="000000" w:sz="4" w:space="0"/>
                    <w:right w:val="single" w:color="000000" w:sz="4" w:space="0"/>
                  </w:tcBorders>
                  <w:vAlign w:val="center"/>
                </w:tcPr>
                <w:p w14:paraId="007F8E0D">
                  <w:pPr>
                    <w:widowControl/>
                    <w:jc w:val="left"/>
                    <w:textAlignment w:val="top"/>
                    <w:rPr>
                      <w:color w:val="auto"/>
                      <w:sz w:val="20"/>
                      <w:szCs w:val="20"/>
                      <w:highlight w:val="none"/>
                    </w:rPr>
                  </w:pPr>
                  <w:r>
                    <w:rPr>
                      <w:color w:val="auto"/>
                      <w:kern w:val="0"/>
                      <w:highlight w:val="none"/>
                      <w:lang w:bidi="ar"/>
                    </w:rPr>
                    <w:t>200种以上常见神经系统感染病原体</w:t>
                  </w:r>
                </w:p>
              </w:tc>
              <w:tc>
                <w:tcPr>
                  <w:tcW w:w="0" w:type="auto"/>
                  <w:tcBorders>
                    <w:top w:val="single" w:color="000000" w:sz="4" w:space="0"/>
                    <w:left w:val="single" w:color="000000" w:sz="4" w:space="0"/>
                    <w:bottom w:val="single" w:color="000000" w:sz="4" w:space="0"/>
                    <w:right w:val="single" w:color="000000" w:sz="4" w:space="0"/>
                  </w:tcBorders>
                  <w:vAlign w:val="center"/>
                </w:tcPr>
                <w:p w14:paraId="387939BA">
                  <w:pPr>
                    <w:widowControl/>
                    <w:jc w:val="center"/>
                    <w:textAlignment w:val="center"/>
                    <w:rPr>
                      <w:color w:val="auto"/>
                      <w:kern w:val="0"/>
                      <w:sz w:val="20"/>
                      <w:szCs w:val="20"/>
                      <w:highlight w:val="none"/>
                      <w:lang w:bidi="ar"/>
                    </w:rPr>
                  </w:pPr>
                  <w:r>
                    <w:rPr>
                      <w:color w:val="auto"/>
                      <w:highlight w:val="none"/>
                    </w:rPr>
                    <w:t>250700031F</w:t>
                  </w:r>
                </w:p>
              </w:tc>
              <w:tc>
                <w:tcPr>
                  <w:tcW w:w="0" w:type="auto"/>
                  <w:tcBorders>
                    <w:top w:val="single" w:color="000000" w:sz="4" w:space="0"/>
                    <w:left w:val="single" w:color="000000" w:sz="4" w:space="0"/>
                    <w:bottom w:val="single" w:color="000000" w:sz="4" w:space="0"/>
                    <w:right w:val="single" w:color="000000" w:sz="4" w:space="0"/>
                  </w:tcBorders>
                  <w:vAlign w:val="center"/>
                </w:tcPr>
                <w:p w14:paraId="1DA86678">
                  <w:pPr>
                    <w:widowControl/>
                    <w:jc w:val="center"/>
                    <w:textAlignment w:val="center"/>
                    <w:rPr>
                      <w:color w:val="auto"/>
                      <w:kern w:val="0"/>
                      <w:sz w:val="20"/>
                      <w:szCs w:val="20"/>
                      <w:highlight w:val="none"/>
                      <w:lang w:bidi="ar"/>
                    </w:rPr>
                  </w:pPr>
                  <w:r>
                    <w:rPr>
                      <w:rFonts w:hint="eastAsia"/>
                      <w:color w:val="auto"/>
                      <w:highlight w:val="none"/>
                    </w:rPr>
                    <w:t>4</w:t>
                  </w:r>
                </w:p>
              </w:tc>
              <w:tc>
                <w:tcPr>
                  <w:tcW w:w="0" w:type="auto"/>
                  <w:tcBorders>
                    <w:top w:val="single" w:color="000000" w:sz="4" w:space="0"/>
                    <w:left w:val="single" w:color="000000" w:sz="4" w:space="0"/>
                    <w:bottom w:val="single" w:color="000000" w:sz="4" w:space="0"/>
                    <w:right w:val="single" w:color="000000" w:sz="4" w:space="0"/>
                  </w:tcBorders>
                  <w:vAlign w:val="center"/>
                </w:tcPr>
                <w:p w14:paraId="1F56D76A">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14</w:t>
                  </w:r>
                </w:p>
              </w:tc>
            </w:tr>
            <w:tr w14:paraId="621A03FD">
              <w:tblPrEx>
                <w:tblCellMar>
                  <w:top w:w="0" w:type="dxa"/>
                  <w:left w:w="108" w:type="dxa"/>
                  <w:bottom w:w="0" w:type="dxa"/>
                  <w:right w:w="108" w:type="dxa"/>
                </w:tblCellMar>
              </w:tblPrEx>
              <w:trPr>
                <w:trHeight w:val="503" w:hRule="atLeast"/>
              </w:trPr>
              <w:tc>
                <w:tcPr>
                  <w:tcW w:w="0" w:type="auto"/>
                  <w:gridSpan w:val="5"/>
                  <w:tcBorders>
                    <w:top w:val="single" w:color="000000" w:sz="4" w:space="0"/>
                    <w:left w:val="single" w:color="000000" w:sz="4" w:space="0"/>
                    <w:bottom w:val="single" w:color="000000" w:sz="4" w:space="0"/>
                    <w:right w:val="single" w:color="000000" w:sz="4" w:space="0"/>
                  </w:tcBorders>
                  <w:vAlign w:val="center"/>
                </w:tcPr>
                <w:p w14:paraId="3E7DB61E">
                  <w:pPr>
                    <w:widowControl/>
                    <w:jc w:val="left"/>
                    <w:textAlignment w:val="center"/>
                    <w:rPr>
                      <w:color w:val="auto"/>
                      <w:kern w:val="0"/>
                      <w:sz w:val="20"/>
                      <w:szCs w:val="20"/>
                      <w:highlight w:val="none"/>
                      <w:lang w:bidi="ar"/>
                    </w:rPr>
                  </w:pPr>
                  <w:r>
                    <w:rPr>
                      <w:color w:val="auto"/>
                      <w:kern w:val="0"/>
                      <w:sz w:val="20"/>
                      <w:szCs w:val="20"/>
                      <w:highlight w:val="none"/>
                      <w:lang w:bidi="ar"/>
                    </w:rPr>
                    <w:t>注：250700031F为市场调节价项目，高通量基因测序，需医院进行自主定价，本院定价为210元/项，本项目为检验项目，需遵循收费说明“组合的检验项目超过8项的，各项目价格按80%计价。</w:t>
                  </w:r>
                </w:p>
              </w:tc>
              <w:tc>
                <w:tcPr>
                  <w:tcW w:w="0" w:type="auto"/>
                  <w:tcBorders>
                    <w:top w:val="single" w:color="000000" w:sz="4" w:space="0"/>
                    <w:left w:val="single" w:color="000000" w:sz="4" w:space="0"/>
                    <w:bottom w:val="single" w:color="000000" w:sz="4" w:space="0"/>
                    <w:right w:val="single" w:color="000000" w:sz="4" w:space="0"/>
                  </w:tcBorders>
                  <w:vAlign w:val="center"/>
                </w:tcPr>
                <w:p w14:paraId="7E366C37">
                  <w:pPr>
                    <w:widowControl/>
                    <w:jc w:val="left"/>
                    <w:textAlignment w:val="center"/>
                    <w:rPr>
                      <w:color w:val="auto"/>
                      <w:kern w:val="0"/>
                      <w:sz w:val="20"/>
                      <w:szCs w:val="20"/>
                      <w:highlight w:val="none"/>
                      <w:lang w:bidi="ar"/>
                    </w:rPr>
                  </w:pPr>
                </w:p>
              </w:tc>
            </w:tr>
          </w:tbl>
          <w:p w14:paraId="4D509214">
            <w:pPr>
              <w:spacing w:line="440" w:lineRule="exact"/>
              <w:rPr>
                <w:rFonts w:hint="eastAsia"/>
                <w:lang w:val="en-US" w:eastAsia="zh-CN"/>
              </w:rPr>
            </w:pP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1FFB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0CA7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三、技术要求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C9B496">
            <w:pPr>
              <w:numPr>
                <w:ilvl w:val="0"/>
                <w:numId w:val="4"/>
              </w:numPr>
              <w:spacing w:line="360" w:lineRule="auto"/>
              <w:rPr>
                <w:color w:val="auto"/>
                <w:sz w:val="20"/>
                <w:szCs w:val="20"/>
                <w:highlight w:val="none"/>
              </w:rPr>
            </w:pPr>
            <w:r>
              <w:rPr>
                <w:color w:val="auto"/>
                <w:sz w:val="20"/>
                <w:szCs w:val="20"/>
                <w:highlight w:val="none"/>
              </w:rPr>
              <w:t>▲质量要求：</w:t>
            </w:r>
          </w:p>
          <w:p w14:paraId="18219F88">
            <w:pPr>
              <w:numPr>
                <w:ilvl w:val="0"/>
                <w:numId w:val="5"/>
              </w:numPr>
              <w:spacing w:line="360" w:lineRule="auto"/>
              <w:ind w:firstLine="400" w:firstLineChars="200"/>
              <w:rPr>
                <w:color w:val="auto"/>
                <w:sz w:val="20"/>
                <w:szCs w:val="20"/>
                <w:highlight w:val="none"/>
              </w:rPr>
            </w:pPr>
            <w:r>
              <w:rPr>
                <w:color w:val="auto"/>
                <w:sz w:val="20"/>
                <w:szCs w:val="20"/>
                <w:highlight w:val="none"/>
              </w:rPr>
              <w:t>误验例数:每年度不高于1例；</w:t>
            </w:r>
          </w:p>
          <w:p w14:paraId="5CF1F15B">
            <w:pPr>
              <w:numPr>
                <w:ilvl w:val="0"/>
                <w:numId w:val="5"/>
              </w:numPr>
              <w:spacing w:line="360" w:lineRule="auto"/>
              <w:ind w:firstLine="400" w:firstLineChars="200"/>
              <w:rPr>
                <w:color w:val="auto"/>
                <w:sz w:val="20"/>
                <w:szCs w:val="20"/>
                <w:highlight w:val="none"/>
              </w:rPr>
            </w:pPr>
            <w:r>
              <w:rPr>
                <w:color w:val="auto"/>
                <w:sz w:val="20"/>
                <w:szCs w:val="20"/>
                <w:highlight w:val="none"/>
              </w:rPr>
              <w:t>漏检例数:每年度不高于1例；</w:t>
            </w:r>
          </w:p>
          <w:p w14:paraId="48C51ECD">
            <w:pPr>
              <w:numPr>
                <w:ilvl w:val="0"/>
                <w:numId w:val="5"/>
              </w:numPr>
              <w:spacing w:line="360" w:lineRule="auto"/>
              <w:ind w:firstLine="400" w:firstLineChars="200"/>
              <w:rPr>
                <w:color w:val="auto"/>
                <w:sz w:val="20"/>
                <w:szCs w:val="20"/>
                <w:highlight w:val="none"/>
              </w:rPr>
            </w:pPr>
            <w:r>
              <w:rPr>
                <w:color w:val="auto"/>
                <w:sz w:val="20"/>
                <w:szCs w:val="20"/>
                <w:highlight w:val="none"/>
              </w:rPr>
              <w:t>误报率:每年度不高于1例；</w:t>
            </w:r>
          </w:p>
          <w:p w14:paraId="4D3B8A25">
            <w:pPr>
              <w:numPr>
                <w:ilvl w:val="0"/>
                <w:numId w:val="5"/>
              </w:numPr>
              <w:spacing w:line="360" w:lineRule="auto"/>
              <w:ind w:firstLine="400" w:firstLineChars="200"/>
              <w:rPr>
                <w:color w:val="auto"/>
                <w:sz w:val="20"/>
                <w:szCs w:val="20"/>
                <w:highlight w:val="none"/>
              </w:rPr>
            </w:pPr>
            <w:r>
              <w:rPr>
                <w:color w:val="auto"/>
                <w:sz w:val="20"/>
                <w:szCs w:val="20"/>
                <w:highlight w:val="none"/>
              </w:rPr>
              <w:t>检测标本丢失、运送错误:每年度不高于1例；</w:t>
            </w:r>
          </w:p>
          <w:p w14:paraId="1A13927E">
            <w:pPr>
              <w:numPr>
                <w:ilvl w:val="0"/>
                <w:numId w:val="5"/>
              </w:numPr>
              <w:spacing w:line="360" w:lineRule="auto"/>
              <w:ind w:firstLine="400" w:firstLineChars="200"/>
              <w:rPr>
                <w:rFonts w:hint="eastAsia" w:ascii="宋体" w:hAnsi="宋体" w:eastAsia="宋体" w:cs="宋体"/>
                <w:color w:val="auto"/>
                <w:sz w:val="24"/>
                <w:highlight w:val="none"/>
                <w:lang w:val="en-US" w:eastAsia="zh-CN"/>
              </w:rPr>
            </w:pPr>
            <w:r>
              <w:rPr>
                <w:color w:val="auto"/>
                <w:sz w:val="20"/>
                <w:szCs w:val="20"/>
                <w:highlight w:val="none"/>
              </w:rPr>
              <w:t>危急值通报率和及时率达到100％。</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64A82C">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★投标人对采购人送检的合格样本结果进行负责，对于按照投标人取材要求进行取材的合格样本，若因投标人原因导致检测结果存在质量问题，由投标人承担相关责任。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4FEDAD">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▲投标人均按日或检测批次对采购人委托项目进行室内质控，按季度提供室内质量控制报表，其内容包括质控检测数据、控制标准、质控分析、失控报告。</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spacing w:line="440" w:lineRule="exact"/>
              <w:rPr>
                <w:rFonts w:hint="eastAsia"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BFCD02">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中标后按要求参加国家级临床检验中心组织的室间质评，每年提供室间质评报告，如室间质评有不合格项目应提交失控分析报告。没有能力验证的检验项目应提供与采购人认可的实验室结果一致性的证据。</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EE10E3">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▲按采购人要求，随时提供质量和技术资料，如更换试剂批号、仪器维修后、检验系统更换后的质控记录和性能验证报告等。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D3B1D2">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投标人需安排专人负责采购人业务及质量、技术、培训等工作。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D4754C">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投标人随时接受并妥善安排采购人查阅项目检测、质量控制等情况。</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C6F969">
            <w:pPr>
              <w:numPr>
                <w:ilvl w:val="0"/>
                <w:numId w:val="4"/>
              </w:numPr>
              <w:spacing w:line="360" w:lineRule="auto"/>
              <w:rPr>
                <w:color w:val="auto"/>
                <w:sz w:val="20"/>
                <w:szCs w:val="20"/>
                <w:highlight w:val="none"/>
              </w:rPr>
            </w:pPr>
            <w:r>
              <w:rPr>
                <w:color w:val="auto"/>
                <w:sz w:val="20"/>
                <w:szCs w:val="20"/>
                <w:highlight w:val="none"/>
              </w:rPr>
              <w:t>▲对于标本周转时间（TAT）的要求：</w:t>
            </w:r>
          </w:p>
          <w:p w14:paraId="7C5B24AE">
            <w:pPr>
              <w:numPr>
                <w:ilvl w:val="255"/>
                <w:numId w:val="0"/>
              </w:numPr>
              <w:spacing w:line="360" w:lineRule="auto"/>
              <w:ind w:firstLine="400" w:firstLineChars="200"/>
              <w:rPr>
                <w:color w:val="auto"/>
                <w:sz w:val="20"/>
                <w:szCs w:val="20"/>
                <w:highlight w:val="none"/>
              </w:rPr>
            </w:pPr>
            <w:r>
              <w:rPr>
                <w:color w:val="auto"/>
                <w:sz w:val="20"/>
                <w:szCs w:val="20"/>
                <w:highlight w:val="none"/>
              </w:rPr>
              <w:t>①有明确的标本送检和报告发布时间服务承诺。</w:t>
            </w:r>
          </w:p>
          <w:p w14:paraId="4F9B2ADC">
            <w:pPr>
              <w:numPr>
                <w:ilvl w:val="255"/>
                <w:numId w:val="0"/>
              </w:numPr>
              <w:spacing w:line="360" w:lineRule="auto"/>
              <w:ind w:firstLine="400" w:firstLineChars="200"/>
              <w:rPr>
                <w:color w:val="auto"/>
                <w:sz w:val="20"/>
                <w:szCs w:val="20"/>
                <w:highlight w:val="none"/>
              </w:rPr>
            </w:pPr>
            <w:r>
              <w:rPr>
                <w:color w:val="auto"/>
                <w:sz w:val="20"/>
                <w:szCs w:val="20"/>
                <w:highlight w:val="none"/>
              </w:rPr>
              <w:t>②标本周转时间起点为投标人实验室接收标本，终点为采购人收到检验报告。</w:t>
            </w:r>
          </w:p>
          <w:p w14:paraId="0EC8194F">
            <w:pPr>
              <w:numPr>
                <w:ilvl w:val="255"/>
                <w:numId w:val="0"/>
              </w:numPr>
              <w:spacing w:line="360" w:lineRule="auto"/>
              <w:ind w:firstLine="400" w:firstLineChars="200"/>
              <w:rPr>
                <w:color w:val="auto"/>
                <w:sz w:val="20"/>
                <w:szCs w:val="20"/>
                <w:highlight w:val="none"/>
              </w:rPr>
            </w:pPr>
            <w:r>
              <w:rPr>
                <w:color w:val="auto"/>
                <w:sz w:val="20"/>
                <w:szCs w:val="20"/>
                <w:highlight w:val="none"/>
              </w:rPr>
              <w:t>③报告延误率≤1/1000。</w:t>
            </w:r>
          </w:p>
          <w:p w14:paraId="2D7FA7F1">
            <w:pPr>
              <w:numPr>
                <w:ilvl w:val="255"/>
                <w:numId w:val="0"/>
              </w:numPr>
              <w:spacing w:line="360" w:lineRule="auto"/>
              <w:ind w:firstLine="400" w:firstLineChars="200"/>
              <w:rPr>
                <w:color w:val="auto"/>
                <w:sz w:val="20"/>
                <w:szCs w:val="20"/>
                <w:highlight w:val="none"/>
              </w:rPr>
            </w:pPr>
            <w:r>
              <w:rPr>
                <w:color w:val="auto"/>
                <w:sz w:val="20"/>
                <w:szCs w:val="20"/>
                <w:highlight w:val="none"/>
              </w:rPr>
              <w:t>④定期提供委托项目的标本周转时间（TAT）分析，对于用户提出的要求及时反馈并更正。</w:t>
            </w:r>
          </w:p>
          <w:p w14:paraId="303B38DA">
            <w:pPr>
              <w:numPr>
                <w:ilvl w:val="255"/>
                <w:numId w:val="0"/>
              </w:numPr>
              <w:spacing w:line="360" w:lineRule="auto"/>
              <w:ind w:firstLine="400" w:firstLineChars="200"/>
              <w:rPr>
                <w:rFonts w:hint="eastAsia" w:ascii="宋体" w:hAnsi="宋体" w:eastAsia="宋体" w:cs="宋体"/>
                <w:color w:val="auto"/>
                <w:sz w:val="24"/>
                <w:highlight w:val="none"/>
                <w:lang w:val="en-US" w:eastAsia="zh-CN"/>
              </w:rPr>
            </w:pPr>
            <w:r>
              <w:rPr>
                <w:color w:val="auto"/>
                <w:sz w:val="20"/>
                <w:szCs w:val="20"/>
                <w:highlight w:val="none"/>
              </w:rPr>
              <w:t>⑤如投标人检测报告超出约定时间而又未出具书面通知采购人造成恶劣影响的，包括造成医疗纠纷、有群众投诉造成严重后果等情况，投标人应承担相应的经济和法律责任。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08571A">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标本采集后应按《标本采集手册》要求进行放置，应在规定的时间内送到实验室。如果需要长途运输标本，应采用项目标准操作规程规定（SOP规定）的方式进行保存，严格按照相关规定包装运输。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3A5DDF">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标本接收人员的按照相关要求的个人防护装备执行，标本运送人员和接收人员对标本进行双签收及核对。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5762BE">
            <w:pPr>
              <w:numPr>
                <w:ilvl w:val="0"/>
                <w:numId w:val="4"/>
              </w:numPr>
              <w:spacing w:line="360" w:lineRule="auto"/>
              <w:rPr>
                <w:rFonts w:hint="eastAsia" w:ascii="宋体" w:hAnsi="宋体" w:eastAsia="宋体" w:cs="宋体"/>
                <w:color w:val="auto"/>
                <w:sz w:val="24"/>
                <w:highlight w:val="none"/>
                <w:lang w:val="en-US" w:eastAsia="zh-CN"/>
              </w:rPr>
            </w:pPr>
            <w:r>
              <w:rPr>
                <w:color w:val="auto"/>
                <w:sz w:val="20"/>
                <w:szCs w:val="20"/>
                <w:highlight w:val="none"/>
              </w:rPr>
              <w:t>★标本转运箱封闭前，须使用75%酒精或0.2%含氯消毒剂喷洒消毒。标本包装应符合国际民航组织文件Doc9284《危险品航空安全运输技术细则》的PI602分类包装要求。根据当前版本的国际航空运输协会（IATA）《危险品规则》， SARS-CoV-2感染疑似和确诊患者标本属于UN3373B类生物物质，涉及外部标本运输的，应按照B类感染性物质进行三层包装。投标人为采购人配备的服务团队具有冷链物流服务，并提供《道路运输经营许可证》（经营范围包含“货物专用运输（冷藏保鲜）”），标本运输须要求直立、冷藏、封闭，符合《GBT 28577-2012 冷链物流分类与基本要求》与生物安全要求，确保运输过程的样品质量和环境安全。对于需低温冷冻或有特殊要求的样本视具体项目与采购人商定。（或提供承诺函</w:t>
            </w:r>
            <w:r>
              <w:rPr>
                <w:color w:val="auto"/>
                <w:kern w:val="0"/>
                <w:highlight w:val="none"/>
                <w:lang w:bidi="ar"/>
              </w:rPr>
              <w:t>加盖投标人公章</w:t>
            </w:r>
            <w:r>
              <w:rPr>
                <w:color w:val="auto"/>
                <w:sz w:val="20"/>
                <w:szCs w:val="20"/>
                <w:highlight w:val="none"/>
              </w:rPr>
              <w:t>，承诺函内容包括但不限于以下内容：若我单位中标，中标后提供道路运输经营许可证，否则视为我单位放弃中标资格。）</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三、检测项目详细参数要求</w:t>
            </w: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61315">
            <w:pPr>
              <w:pStyle w:val="23"/>
              <w:rPr>
                <w:rFonts w:hint="eastAsia" w:ascii="宋体" w:hAnsi="宋体" w:eastAsia="宋体" w:cs="宋体"/>
                <w:color w:val="auto"/>
                <w:sz w:val="24"/>
                <w:highlight w:val="none"/>
                <w:lang w:val="en-US" w:eastAsia="zh-CN"/>
              </w:rPr>
            </w:pPr>
            <w:r>
              <w:rPr>
                <w:rFonts w:hint="default"/>
                <w:color w:val="auto"/>
                <w:sz w:val="20"/>
                <w:szCs w:val="20"/>
                <w:highlight w:val="none"/>
              </w:rPr>
              <w:t>1、</w:t>
            </w:r>
            <w:r>
              <w:rPr>
                <w:rFonts w:hint="default"/>
                <w:color w:val="auto"/>
                <w:kern w:val="0"/>
                <w:highlight w:val="none"/>
                <w:lang w:bidi="ar"/>
              </w:rPr>
              <w:t>DNA-病原微生物宏基因组高通量测序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12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94CCCA">
            <w:pPr>
              <w:numPr>
                <w:ilvl w:val="1"/>
                <w:numId w:val="0"/>
              </w:numPr>
              <w:ind w:left="525" w:hanging="525"/>
              <w:rPr>
                <w:rFonts w:hint="default" w:ascii="宋体" w:hAnsi="宋体" w:eastAsia="宋体" w:cs="宋体"/>
                <w:color w:val="auto"/>
                <w:sz w:val="24"/>
                <w:highlight w:val="none"/>
                <w:lang w:val="en-US" w:eastAsia="zh-CN"/>
              </w:rPr>
            </w:pPr>
            <w:r>
              <w:rPr>
                <w:color w:val="auto"/>
                <w:sz w:val="20"/>
                <w:szCs w:val="20"/>
                <w:highlight w:val="none"/>
              </w:rPr>
              <w:t>1.1.★检测内容：覆盖细菌、真菌、寄生虫、DNA病毒、分枝杆菌、支原体、衣原体、立克次体、螺旋体等</w:t>
            </w:r>
            <w:r>
              <w:rPr>
                <w:rFonts w:hint="eastAsia"/>
                <w:color w:val="auto"/>
                <w:sz w:val="20"/>
                <w:szCs w:val="20"/>
                <w:highlight w:val="none"/>
              </w:rPr>
              <w:t>10000种以上</w:t>
            </w:r>
            <w:r>
              <w:rPr>
                <w:color w:val="auto"/>
                <w:sz w:val="20"/>
                <w:szCs w:val="20"/>
                <w:highlight w:val="none"/>
              </w:rPr>
              <w:t>DNA类病原微生物</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91A289">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rPr>
              <w:t>1.2.可同步检测临床常见耐药基因、毒力基因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14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663EAF">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1.3.</w:t>
            </w:r>
            <w:r>
              <w:rPr>
                <w:color w:val="auto"/>
                <w:sz w:val="20"/>
                <w:szCs w:val="20"/>
                <w:highlight w:val="none"/>
                <w:lang w:val="en-GB"/>
              </w:rPr>
              <w:t>▲</w:t>
            </w:r>
            <w:r>
              <w:rPr>
                <w:rFonts w:hint="eastAsia"/>
                <w:color w:val="auto"/>
                <w:sz w:val="20"/>
                <w:szCs w:val="20"/>
                <w:highlight w:val="none"/>
              </w:rPr>
              <w:t>药敏表型表型预测准确性&gt;90%</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33ADFB">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建库方式</w:t>
            </w:r>
            <w:r>
              <w:rPr>
                <w:color w:val="auto"/>
                <w:sz w:val="20"/>
                <w:szCs w:val="20"/>
                <w:highlight w:val="none"/>
              </w:rPr>
              <w:t>：</w:t>
            </w:r>
            <w:r>
              <w:rPr>
                <w:rFonts w:hint="eastAsia"/>
                <w:color w:val="auto"/>
                <w:sz w:val="20"/>
                <w:szCs w:val="20"/>
                <w:highlight w:val="none"/>
              </w:rPr>
              <w:t>DNA和RNA病原分别进行独立建库及测序；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B93FBD">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5</w:t>
            </w:r>
            <w:r>
              <w:rPr>
                <w:color w:val="auto"/>
                <w:sz w:val="20"/>
                <w:szCs w:val="20"/>
                <w:highlight w:val="none"/>
                <w:lang w:val="en-GB"/>
              </w:rPr>
              <w:t>.检测性能：</w:t>
            </w:r>
            <w:r>
              <w:rPr>
                <w:rFonts w:hint="eastAsia"/>
                <w:color w:val="auto"/>
                <w:sz w:val="20"/>
                <w:szCs w:val="20"/>
                <w:highlight w:val="none"/>
              </w:rPr>
              <w:t>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062E2FA">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lang w:val="en-GB"/>
              </w:rPr>
              <w:t>1.</w:t>
            </w:r>
            <w:r>
              <w:rPr>
                <w:rFonts w:hint="eastAsia"/>
                <w:color w:val="auto"/>
                <w:sz w:val="20"/>
                <w:szCs w:val="20"/>
                <w:highlight w:val="none"/>
              </w:rPr>
              <w:t>6</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18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EBCD97">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1.7.</w:t>
            </w:r>
            <w:r>
              <w:rPr>
                <w:color w:val="auto"/>
                <w:sz w:val="20"/>
                <w:szCs w:val="20"/>
                <w:highlight w:val="none"/>
                <w:lang w:val="en-GB"/>
              </w:rPr>
              <w:t>▲</w:t>
            </w:r>
            <w:r>
              <w:rPr>
                <w:rFonts w:hint="eastAsia"/>
                <w:color w:val="auto"/>
                <w:sz w:val="20"/>
                <w:szCs w:val="20"/>
                <w:highlight w:val="none"/>
              </w:rPr>
              <w:t>在核酸提取前，提供可定量判断临床样本人源宿主含量的质控方法，依据鉴定结果选择是否去宿主</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21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951A407">
            <w:pPr>
              <w:numPr>
                <w:ilvl w:val="1"/>
                <w:numId w:val="0"/>
              </w:numPr>
              <w:ind w:left="525" w:hanging="525"/>
              <w:rPr>
                <w:rFonts w:hint="eastAsia" w:ascii="宋体" w:hAnsi="宋体" w:eastAsia="宋体" w:cs="宋体"/>
                <w:color w:val="auto"/>
                <w:sz w:val="24"/>
                <w:highlight w:val="none"/>
                <w:lang w:val="en-US" w:eastAsia="zh-CN"/>
              </w:rPr>
            </w:pPr>
            <w:r>
              <w:rPr>
                <w:rFonts w:hint="eastAsia"/>
                <w:color w:val="auto"/>
                <w:sz w:val="20"/>
                <w:szCs w:val="20"/>
                <w:highlight w:val="none"/>
              </w:rPr>
              <w:t>1.8.</w:t>
            </w:r>
            <w:r>
              <w:rPr>
                <w:color w:val="auto"/>
                <w:sz w:val="20"/>
                <w:szCs w:val="20"/>
                <w:highlight w:val="none"/>
                <w:lang w:val="en-GB"/>
              </w:rPr>
              <w:t>▲</w:t>
            </w:r>
            <w:r>
              <w:rPr>
                <w:rFonts w:hint="eastAsia"/>
                <w:color w:val="auto"/>
                <w:sz w:val="20"/>
                <w:szCs w:val="20"/>
                <w:highlight w:val="none"/>
              </w:rPr>
              <w:t>针对新鲜组织样本应具有去宿主技术，以达到人员序列占比低于85%，提高去宿主的效果；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spacing w:line="440" w:lineRule="exact"/>
              <w:rPr>
                <w:rFonts w:hint="default" w:ascii="宋体" w:hAnsi="宋体" w:eastAsia="宋体" w:cs="宋体"/>
                <w:color w:val="auto"/>
                <w:sz w:val="24"/>
                <w:highlight w:val="none"/>
                <w:lang w:val="en-US" w:eastAsia="zh-CN"/>
              </w:rPr>
            </w:pPr>
            <w:r>
              <w:rPr>
                <w:color w:val="auto"/>
                <w:sz w:val="20"/>
                <w:szCs w:val="20"/>
                <w:highlight w:val="none"/>
              </w:rPr>
              <w:t>★</w:t>
            </w:r>
            <w:r>
              <w:rPr>
                <w:rFonts w:hint="eastAsia" w:ascii="宋体" w:hAnsi="宋体" w:eastAsia="宋体" w:cs="宋体"/>
                <w:color w:val="auto"/>
                <w:sz w:val="24"/>
                <w:highlight w:val="none"/>
                <w:lang w:val="en-US" w:eastAsia="zh-CN"/>
              </w:rPr>
              <w:t>22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E7B2A9">
            <w:pPr>
              <w:numPr>
                <w:ilvl w:val="1"/>
                <w:numId w:val="0"/>
              </w:numPr>
              <w:ind w:left="525" w:hanging="525"/>
              <w:rPr>
                <w:rFonts w:hint="eastAsia" w:ascii="宋体" w:hAnsi="宋体" w:eastAsia="宋体" w:cs="宋体"/>
                <w:color w:val="auto"/>
                <w:sz w:val="24"/>
                <w:highlight w:val="none"/>
                <w:lang w:val="en-US" w:eastAsia="zh-CN"/>
              </w:rPr>
            </w:pPr>
            <w:r>
              <w:rPr>
                <w:color w:val="auto"/>
                <w:sz w:val="20"/>
                <w:szCs w:val="20"/>
                <w:highlight w:val="none"/>
              </w:rPr>
              <w:t>1.</w:t>
            </w:r>
            <w:r>
              <w:rPr>
                <w:rFonts w:hint="eastAsia"/>
                <w:color w:val="auto"/>
                <w:sz w:val="20"/>
                <w:szCs w:val="20"/>
                <w:highlight w:val="none"/>
              </w:rPr>
              <w:t>9</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spacing w:line="44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246B74">
            <w:pPr>
              <w:numPr>
                <w:ilvl w:val="1"/>
                <w:numId w:val="0"/>
              </w:numPr>
              <w:ind w:left="525" w:hanging="525"/>
              <w:rPr>
                <w:rFonts w:hint="eastAsia" w:ascii="宋体" w:hAnsi="宋体" w:eastAsia="宋体" w:cs="宋体"/>
                <w:color w:val="auto"/>
                <w:sz w:val="24"/>
                <w:highlight w:val="none"/>
                <w:lang w:val="en-US" w:eastAsia="zh-CN"/>
              </w:rPr>
            </w:pPr>
            <w:r>
              <w:rPr>
                <w:rFonts w:eastAsiaTheme="minorEastAsia"/>
                <w:color w:val="auto"/>
                <w:kern w:val="0"/>
                <w:sz w:val="20"/>
                <w:szCs w:val="20"/>
                <w:highlight w:val="none"/>
              </w:rPr>
              <w:t>1.</w:t>
            </w:r>
            <w:r>
              <w:rPr>
                <w:rFonts w:hint="eastAsia" w:eastAsiaTheme="minorEastAsia"/>
                <w:color w:val="auto"/>
                <w:kern w:val="0"/>
                <w:sz w:val="20"/>
                <w:szCs w:val="20"/>
                <w:highlight w:val="none"/>
              </w:rPr>
              <w:t>10</w:t>
            </w:r>
            <w:r>
              <w:rPr>
                <w:rFonts w:eastAsiaTheme="minorEastAsia"/>
                <w:color w:val="auto"/>
                <w:kern w:val="0"/>
                <w:sz w:val="20"/>
                <w:szCs w:val="20"/>
                <w:highlight w:val="none"/>
              </w:rPr>
              <w:t>.</w:t>
            </w:r>
            <w:r>
              <w:rPr>
                <w:rFonts w:hint="eastAsia"/>
                <w:color w:val="auto"/>
                <w:sz w:val="20"/>
                <w:szCs w:val="20"/>
                <w:highlight w:val="none"/>
              </w:rPr>
              <w:t>报告单内容：至少包含，但不限于以下内容：样本信息、检测方法、测序质量（总数据量、Q30比例等）、病原体检出结果（序列数、相对丰度、覆盖度等）、耐药/毒力基因结果、结果解读、检测局限性说明等。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spacing w:line="440" w:lineRule="exact"/>
              <w:rPr>
                <w:rFonts w:hint="default" w:ascii="宋体" w:hAnsi="宋体" w:eastAsia="宋体" w:cs="宋体"/>
                <w:color w:val="auto"/>
                <w:sz w:val="24"/>
                <w:highlight w:val="none"/>
                <w:lang w:val="en-US" w:eastAsia="zh-CN"/>
              </w:rPr>
            </w:pPr>
            <w:r>
              <w:rPr>
                <w:color w:val="auto"/>
                <w:sz w:val="20"/>
                <w:szCs w:val="20"/>
                <w:highlight w:val="none"/>
                <w:lang w:val="en-GB"/>
              </w:rPr>
              <w:t>▲</w:t>
            </w:r>
            <w:r>
              <w:rPr>
                <w:rFonts w:hint="eastAsia" w:ascii="宋体" w:hAnsi="宋体" w:eastAsia="宋体" w:cs="宋体"/>
                <w:color w:val="auto"/>
                <w:sz w:val="24"/>
                <w:highlight w:val="none"/>
                <w:lang w:val="en-US" w:eastAsia="zh-CN"/>
              </w:rPr>
              <w:t>24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3ED5FD">
            <w:pPr>
              <w:spacing w:line="440" w:lineRule="exact"/>
              <w:rPr>
                <w:rFonts w:hint="eastAsia" w:ascii="宋体" w:hAnsi="宋体" w:eastAsia="宋体" w:cs="宋体"/>
                <w:color w:val="auto"/>
                <w:sz w:val="24"/>
                <w:highlight w:val="none"/>
                <w:lang w:val="en-US" w:eastAsia="zh-CN"/>
              </w:rPr>
            </w:pPr>
            <w:r>
              <w:rPr>
                <w:rFonts w:hint="eastAsia"/>
                <w:color w:val="auto"/>
                <w:sz w:val="20"/>
                <w:szCs w:val="20"/>
                <w:highlight w:val="none"/>
              </w:rPr>
              <w:t>1.11.</w:t>
            </w:r>
            <w:r>
              <w:rPr>
                <w:color w:val="auto"/>
                <w:sz w:val="20"/>
                <w:szCs w:val="20"/>
                <w:highlight w:val="none"/>
                <w:lang w:val="en-GB"/>
              </w:rPr>
              <w:t>▲</w:t>
            </w:r>
            <w:r>
              <w:rPr>
                <w:rFonts w:hint="eastAsia"/>
                <w:color w:val="auto"/>
                <w:sz w:val="20"/>
                <w:szCs w:val="20"/>
                <w:highlight w:val="none"/>
              </w:rPr>
              <w:t>病原微生物测序数据分析软件具有二类注册证，且病原种类＞500种，包含</w:t>
            </w:r>
            <w:r>
              <w:rPr>
                <w:color w:val="auto"/>
                <w:sz w:val="20"/>
                <w:szCs w:val="20"/>
                <w:highlight w:val="none"/>
              </w:rPr>
              <w:t>细菌、真菌、寄生虫</w:t>
            </w:r>
            <w:r>
              <w:rPr>
                <w:rFonts w:hint="eastAsia"/>
                <w:color w:val="auto"/>
                <w:sz w:val="20"/>
                <w:szCs w:val="20"/>
                <w:highlight w:val="none"/>
              </w:rPr>
              <w:t>、病毒</w:t>
            </w:r>
            <w:r>
              <w:rPr>
                <w:color w:val="auto"/>
                <w:sz w:val="20"/>
                <w:szCs w:val="20"/>
                <w:highlight w:val="none"/>
              </w:rPr>
              <w:t>等</w:t>
            </w:r>
            <w:r>
              <w:rPr>
                <w:rFonts w:hint="eastAsia"/>
                <w:color w:val="auto"/>
                <w:sz w:val="20"/>
                <w:szCs w:val="20"/>
                <w:highlight w:val="none"/>
              </w:rPr>
              <w:t>，同时注册证内容包含耐药基因、毒力基因等模版</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C93AE">
            <w:pPr>
              <w:pStyle w:val="23"/>
              <w:rPr>
                <w:rFonts w:hint="eastAsia" w:ascii="宋体" w:hAnsi="宋体" w:eastAsia="宋体" w:cs="宋体"/>
                <w:color w:val="auto"/>
                <w:sz w:val="24"/>
                <w:highlight w:val="none"/>
                <w:lang w:val="en-US" w:eastAsia="zh-CN"/>
              </w:rPr>
            </w:pPr>
            <w:r>
              <w:rPr>
                <w:color w:val="auto"/>
                <w:sz w:val="20"/>
                <w:szCs w:val="20"/>
                <w:highlight w:val="none"/>
              </w:rPr>
              <w:t>2</w:t>
            </w:r>
            <w:r>
              <w:rPr>
                <w:rFonts w:hint="default"/>
                <w:color w:val="auto"/>
                <w:sz w:val="20"/>
                <w:szCs w:val="20"/>
                <w:highlight w:val="none"/>
              </w:rPr>
              <w:t>、</w:t>
            </w:r>
            <w:r>
              <w:rPr>
                <w:rFonts w:hint="default"/>
                <w:color w:val="auto"/>
                <w:kern w:val="0"/>
                <w:highlight w:val="none"/>
                <w:lang w:bidi="ar"/>
              </w:rPr>
              <w:t>RNA-病原微生物宏基因组高通量测序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25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03DC6DA">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2</w:t>
            </w:r>
            <w:r>
              <w:rPr>
                <w:color w:val="auto"/>
                <w:sz w:val="20"/>
                <w:szCs w:val="20"/>
                <w:highlight w:val="none"/>
                <w:lang w:val="en-GB"/>
              </w:rPr>
              <w:t>.1.★检测内容：</w:t>
            </w:r>
            <w:r>
              <w:rPr>
                <w:rFonts w:hint="eastAsia"/>
                <w:color w:val="auto"/>
                <w:sz w:val="20"/>
                <w:szCs w:val="20"/>
                <w:highlight w:val="none"/>
              </w:rPr>
              <w:t>覆盖</w:t>
            </w:r>
            <w:r>
              <w:rPr>
                <w:color w:val="auto"/>
                <w:kern w:val="0"/>
                <w:highlight w:val="none"/>
                <w:lang w:bidi="ar"/>
              </w:rPr>
              <w:t>遗传物质为RNA的3000种以上病原微生物</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6633BC">
            <w:pPr>
              <w:numPr>
                <w:ilvl w:val="1"/>
                <w:numId w:val="0"/>
              </w:numPr>
              <w:ind w:left="567" w:hanging="567"/>
              <w:rPr>
                <w:rFonts w:hint="eastAsia" w:ascii="仿宋" w:hAnsi="仿宋" w:eastAsia="仿宋" w:cs="仿宋"/>
                <w:color w:val="auto"/>
                <w:sz w:val="24"/>
                <w:lang w:val="en-US" w:eastAsia="zh-CN"/>
              </w:rPr>
            </w:pPr>
            <w:r>
              <w:rPr>
                <w:rFonts w:hint="eastAsia"/>
                <w:color w:val="auto"/>
                <w:sz w:val="20"/>
                <w:szCs w:val="20"/>
                <w:highlight w:val="none"/>
              </w:rPr>
              <w:t>2</w:t>
            </w:r>
            <w:r>
              <w:rPr>
                <w:color w:val="auto"/>
                <w:sz w:val="20"/>
                <w:szCs w:val="20"/>
                <w:highlight w:val="none"/>
                <w:lang w:val="en-GB"/>
              </w:rPr>
              <w:t>.2.</w:t>
            </w:r>
            <w:r>
              <w:rPr>
                <w:rFonts w:hint="eastAsia"/>
                <w:color w:val="auto"/>
                <w:sz w:val="20"/>
                <w:szCs w:val="20"/>
                <w:highlight w:val="none"/>
              </w:rPr>
              <w:t>建库方式</w:t>
            </w:r>
            <w:r>
              <w:rPr>
                <w:color w:val="auto"/>
                <w:sz w:val="20"/>
                <w:szCs w:val="20"/>
                <w:highlight w:val="none"/>
                <w:lang w:val="en-GB"/>
              </w:rPr>
              <w:t>：DNA与RNA</w:t>
            </w:r>
            <w:r>
              <w:rPr>
                <w:rFonts w:hint="eastAsia"/>
                <w:color w:val="auto"/>
                <w:sz w:val="20"/>
                <w:szCs w:val="20"/>
                <w:highlight w:val="none"/>
              </w:rPr>
              <w:t>病原</w:t>
            </w:r>
            <w:r>
              <w:rPr>
                <w:color w:val="auto"/>
                <w:sz w:val="20"/>
                <w:szCs w:val="20"/>
                <w:highlight w:val="none"/>
                <w:lang w:val="en-GB"/>
              </w:rPr>
              <w:t>分别独立提取、建库，合并</w:t>
            </w:r>
            <w:r>
              <w:rPr>
                <w:rFonts w:hint="eastAsia"/>
                <w:color w:val="auto"/>
                <w:sz w:val="20"/>
                <w:szCs w:val="20"/>
                <w:highlight w:val="none"/>
              </w:rPr>
              <w:t>检测</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1A0011">
            <w:pPr>
              <w:numPr>
                <w:ilvl w:val="1"/>
                <w:numId w:val="0"/>
              </w:numPr>
              <w:ind w:left="525" w:hanging="525"/>
              <w:rPr>
                <w:rFonts w:hint="eastAsia" w:ascii="仿宋" w:hAnsi="仿宋" w:eastAsia="仿宋" w:cs="仿宋"/>
                <w:color w:val="auto"/>
                <w:sz w:val="24"/>
                <w:lang w:val="en-US" w:eastAsia="zh-CN"/>
              </w:rPr>
            </w:pPr>
            <w:r>
              <w:rPr>
                <w:rFonts w:hint="eastAsia"/>
                <w:color w:val="auto"/>
                <w:sz w:val="20"/>
                <w:szCs w:val="20"/>
                <w:highlight w:val="none"/>
              </w:rPr>
              <w:t>2</w:t>
            </w:r>
            <w:r>
              <w:rPr>
                <w:color w:val="auto"/>
                <w:sz w:val="20"/>
                <w:szCs w:val="20"/>
                <w:highlight w:val="none"/>
                <w:lang w:val="en-GB"/>
              </w:rPr>
              <w:t>.3.</w:t>
            </w:r>
            <w:r>
              <w:rPr>
                <w:rFonts w:hint="eastAsia"/>
                <w:color w:val="auto"/>
                <w:sz w:val="20"/>
                <w:szCs w:val="20"/>
                <w:highlight w:val="none"/>
              </w:rPr>
              <w:t>检测性能：测序总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926BA9">
            <w:pPr>
              <w:numPr>
                <w:ilvl w:val="1"/>
                <w:numId w:val="0"/>
              </w:numPr>
              <w:ind w:left="525" w:hanging="525"/>
              <w:rPr>
                <w:rFonts w:hint="eastAsia" w:ascii="仿宋" w:hAnsi="仿宋" w:eastAsia="仿宋" w:cs="仿宋"/>
                <w:color w:val="auto"/>
                <w:sz w:val="24"/>
                <w:lang w:val="en-US" w:eastAsia="zh-CN"/>
              </w:rPr>
            </w:pPr>
            <w:r>
              <w:rPr>
                <w:rFonts w:hint="eastAsia"/>
                <w:color w:val="auto"/>
                <w:sz w:val="20"/>
                <w:szCs w:val="20"/>
                <w:highlight w:val="none"/>
              </w:rPr>
              <w:t>2.4</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29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7BE74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2.5</w:t>
            </w:r>
            <w:r>
              <w:rPr>
                <w:color w:val="auto"/>
                <w:sz w:val="20"/>
                <w:szCs w:val="20"/>
                <w:highlight w:val="none"/>
              </w:rPr>
              <w:t>.</w:t>
            </w:r>
            <w:r>
              <w:rPr>
                <w:color w:val="auto"/>
                <w:sz w:val="20"/>
                <w:szCs w:val="20"/>
                <w:highlight w:val="none"/>
                <w:lang w:val="en-GB"/>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4EE24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C8DA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5EE1F1">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2.6</w:t>
            </w:r>
            <w:r>
              <w:rPr>
                <w:rFonts w:eastAsiaTheme="minorEastAsia"/>
                <w:color w:val="auto"/>
                <w:kern w:val="0"/>
                <w:sz w:val="20"/>
                <w:szCs w:val="20"/>
                <w:highlight w:val="none"/>
              </w:rPr>
              <w:t>.</w:t>
            </w:r>
            <w:r>
              <w:rPr>
                <w:rFonts w:hint="eastAsia"/>
                <w:color w:val="auto"/>
                <w:sz w:val="20"/>
                <w:szCs w:val="20"/>
                <w:highlight w:val="none"/>
              </w:rPr>
              <w:t>报告单内容：样本信息、检测方法、测序质量（总数据量、Q30比例等）、病原体检出结果（序列数、相对丰度、覆盖度等）、耐药/毒力基因结果、结果解读、检测局限性说明。</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5793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D35F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C5030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E7EB18">
            <w:pPr>
              <w:pStyle w:val="23"/>
              <w:numPr>
                <w:ilvl w:val="0"/>
                <w:numId w:val="6"/>
              </w:numPr>
              <w:rPr>
                <w:rFonts w:hint="eastAsia" w:ascii="宋体" w:hAnsi="宋体" w:eastAsia="宋体" w:cs="宋体"/>
                <w:color w:val="auto"/>
                <w:szCs w:val="21"/>
                <w:highlight w:val="none"/>
              </w:rPr>
            </w:pPr>
            <w:r>
              <w:rPr>
                <w:rFonts w:hint="default"/>
                <w:color w:val="auto"/>
                <w:kern w:val="0"/>
                <w:highlight w:val="none"/>
                <w:lang w:bidi="ar"/>
              </w:rPr>
              <w:t>DNA+RNA-病原微生物宏基因组高通量测序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E083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195F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56EB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7E78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31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9DBB35">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3.1</w:t>
            </w:r>
            <w:r>
              <w:rPr>
                <w:color w:val="auto"/>
                <w:sz w:val="20"/>
                <w:szCs w:val="20"/>
                <w:highlight w:val="none"/>
              </w:rPr>
              <w:t>.★检测内容：覆盖细菌、真菌、寄生虫、DNA病毒、分枝杆菌、支原体、衣原体、立克次体、螺旋体等DNA类病原微生物</w:t>
            </w:r>
            <w:r>
              <w:rPr>
                <w:rFonts w:hint="eastAsia"/>
                <w:color w:val="auto"/>
                <w:sz w:val="20"/>
                <w:szCs w:val="20"/>
                <w:highlight w:val="none"/>
              </w:rPr>
              <w:t>，以及RNA病毒，病原体种类不少于18000种；</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FBE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D16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05F4F5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AFF3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C58B396">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rPr>
              <w:t>.2.可同步检测临床常见耐药基因、毒力基因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CF1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3F4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C6BB0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94D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1208D7">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3.3.</w:t>
            </w:r>
            <w:r>
              <w:rPr>
                <w:color w:val="auto"/>
                <w:sz w:val="20"/>
                <w:szCs w:val="20"/>
                <w:highlight w:val="none"/>
                <w:lang w:val="en-GB"/>
              </w:rPr>
              <w:t>▲</w:t>
            </w:r>
            <w:r>
              <w:rPr>
                <w:rFonts w:hint="eastAsia"/>
                <w:color w:val="auto"/>
                <w:sz w:val="20"/>
                <w:szCs w:val="20"/>
                <w:highlight w:val="none"/>
              </w:rPr>
              <w:t>药敏表型表型预测准确性&gt;90%</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0BB2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6EA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56847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BF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76DC5A0">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建库方式</w:t>
            </w:r>
            <w:r>
              <w:rPr>
                <w:color w:val="auto"/>
                <w:sz w:val="20"/>
                <w:szCs w:val="20"/>
                <w:highlight w:val="none"/>
              </w:rPr>
              <w:t>：</w:t>
            </w:r>
            <w:r>
              <w:rPr>
                <w:rFonts w:hint="eastAsia"/>
                <w:color w:val="auto"/>
                <w:sz w:val="20"/>
                <w:szCs w:val="20"/>
                <w:highlight w:val="none"/>
              </w:rPr>
              <w:t>DNA和RNA病原分别进行独立建库及测序；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4CA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053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5DFC4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8856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B6D80B6">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5</w:t>
            </w:r>
            <w:r>
              <w:rPr>
                <w:color w:val="auto"/>
                <w:sz w:val="20"/>
                <w:szCs w:val="20"/>
                <w:highlight w:val="none"/>
                <w:lang w:val="en-GB"/>
              </w:rPr>
              <w:t>.检测性能：</w:t>
            </w:r>
            <w:r>
              <w:rPr>
                <w:rFonts w:hint="eastAsia"/>
                <w:color w:val="auto"/>
                <w:sz w:val="20"/>
                <w:szCs w:val="20"/>
                <w:highlight w:val="none"/>
              </w:rPr>
              <w:t>测序总</w:t>
            </w:r>
            <w:r>
              <w:rPr>
                <w:color w:val="auto"/>
                <w:sz w:val="20"/>
                <w:szCs w:val="20"/>
                <w:highlight w:val="none"/>
              </w:rPr>
              <w:t>数据量不少于2</w:t>
            </w:r>
            <w:r>
              <w:rPr>
                <w:rFonts w:hint="eastAsia"/>
                <w:color w:val="auto"/>
                <w:sz w:val="20"/>
                <w:szCs w:val="20"/>
                <w:highlight w:val="none"/>
              </w:rPr>
              <w:t>0</w:t>
            </w:r>
            <w:r>
              <w:rPr>
                <w:color w:val="auto"/>
                <w:sz w:val="20"/>
                <w:szCs w:val="20"/>
                <w:highlight w:val="none"/>
              </w:rPr>
              <w:t>M reads；</w:t>
            </w:r>
            <w:r>
              <w:rPr>
                <w:rFonts w:hint="eastAsia" w:ascii="Times New Roman Regular" w:hAnsi="Times New Roman Regular" w:cs="Times New Roman Regular"/>
                <w:color w:val="auto"/>
                <w:highlight w:val="none"/>
              </w:rPr>
              <w:t>测序数据质量Q30≥85%，数据量波动＜35%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C5D8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C06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FF9BE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0C8E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B1A68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lang w:val="en-GB"/>
              </w:rPr>
              <w:t>.</w:t>
            </w:r>
            <w:r>
              <w:rPr>
                <w:rFonts w:hint="eastAsia"/>
                <w:color w:val="auto"/>
                <w:sz w:val="20"/>
                <w:szCs w:val="20"/>
                <w:highlight w:val="none"/>
              </w:rPr>
              <w:t>6</w:t>
            </w:r>
            <w:r>
              <w:rPr>
                <w:color w:val="auto"/>
                <w:sz w:val="20"/>
                <w:szCs w:val="20"/>
                <w:highlight w:val="none"/>
                <w:lang w:val="en-GB"/>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59F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D9A9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AA21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0427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B7C272">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3.7.</w:t>
            </w:r>
            <w:r>
              <w:rPr>
                <w:color w:val="auto"/>
                <w:sz w:val="20"/>
                <w:szCs w:val="20"/>
                <w:highlight w:val="none"/>
                <w:lang w:val="en-GB"/>
              </w:rPr>
              <w:t>▲</w:t>
            </w:r>
            <w:r>
              <w:rPr>
                <w:rFonts w:hint="eastAsia"/>
                <w:color w:val="auto"/>
                <w:sz w:val="20"/>
                <w:szCs w:val="20"/>
                <w:highlight w:val="none"/>
              </w:rPr>
              <w:t>在核酸提取前，提供可定量判断临床样本人源宿主含量的质控方法，依据鉴定结果选择是否去宿主</w:t>
            </w:r>
            <w:r>
              <w:rPr>
                <w:color w:val="auto"/>
                <w:sz w:val="20"/>
                <w:szCs w:val="20"/>
                <w:highlight w:val="none"/>
              </w:rPr>
              <w:t>（投标文件中需提供</w:t>
            </w:r>
            <w:r>
              <w:rPr>
                <w:rFonts w:hint="eastAsia"/>
                <w:color w:val="auto"/>
                <w:sz w:val="20"/>
                <w:szCs w:val="20"/>
                <w:highlight w:val="none"/>
              </w:rPr>
              <w:t>佐证材料</w:t>
            </w:r>
            <w:r>
              <w:rPr>
                <w:color w:val="auto"/>
                <w:sz w:val="20"/>
                <w:szCs w:val="20"/>
                <w:highlight w:val="none"/>
              </w:rPr>
              <w:t>，并加盖投标人公章）</w:t>
            </w:r>
            <w:r>
              <w:rPr>
                <w:rFonts w:hint="eastAsia"/>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FAA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93E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3F6D4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2567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38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D5EE09">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3.8.</w:t>
            </w:r>
            <w:r>
              <w:rPr>
                <w:color w:val="auto"/>
                <w:sz w:val="20"/>
                <w:szCs w:val="20"/>
                <w:highlight w:val="none"/>
                <w:lang w:val="en-GB"/>
              </w:rPr>
              <w:t>▲</w:t>
            </w:r>
            <w:r>
              <w:rPr>
                <w:rFonts w:hint="eastAsia"/>
                <w:color w:val="auto"/>
                <w:sz w:val="20"/>
                <w:szCs w:val="20"/>
                <w:highlight w:val="none"/>
              </w:rPr>
              <w:t>针对新鲜组织样本应具有去宿主技术，以达到人员序列占比低于85%，提高去宿主的效果；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13391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D222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4FA2A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A71B0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cs="仿宋" w:eastAsiaTheme="minorEastAsia"/>
                <w:color w:val="auto"/>
                <w:sz w:val="24"/>
                <w:lang w:val="en-US" w:eastAsia="zh-CN"/>
              </w:rPr>
            </w:pPr>
            <w:r>
              <w:rPr>
                <w:color w:val="auto"/>
                <w:sz w:val="20"/>
                <w:szCs w:val="20"/>
                <w:highlight w:val="none"/>
              </w:rPr>
              <w:t>★</w:t>
            </w:r>
            <w:r>
              <w:rPr>
                <w:rFonts w:hint="eastAsia"/>
                <w:color w:val="auto"/>
                <w:sz w:val="20"/>
                <w:szCs w:val="20"/>
                <w:highlight w:val="none"/>
                <w:lang w:val="en-US" w:eastAsia="zh-CN"/>
              </w:rPr>
              <w:t>39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4A22779">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3</w:t>
            </w:r>
            <w:r>
              <w:rPr>
                <w:color w:val="auto"/>
                <w:sz w:val="20"/>
                <w:szCs w:val="20"/>
                <w:highlight w:val="none"/>
              </w:rPr>
              <w:t>.</w:t>
            </w:r>
            <w:r>
              <w:rPr>
                <w:rFonts w:hint="eastAsia"/>
                <w:color w:val="auto"/>
                <w:sz w:val="20"/>
                <w:szCs w:val="20"/>
                <w:highlight w:val="none"/>
              </w:rPr>
              <w:t>9</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1846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F5F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F6980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51326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B8444A">
            <w:pPr>
              <w:numPr>
                <w:ilvl w:val="1"/>
                <w:numId w:val="0"/>
              </w:numPr>
              <w:ind w:left="525" w:hanging="525"/>
              <w:rPr>
                <w:rFonts w:hint="eastAsia" w:ascii="宋体" w:hAnsi="宋体" w:eastAsia="宋体" w:cs="宋体"/>
                <w:color w:val="auto"/>
                <w:szCs w:val="21"/>
                <w:highlight w:val="none"/>
              </w:rPr>
            </w:pPr>
            <w:r>
              <w:rPr>
                <w:rFonts w:hint="eastAsia" w:eastAsiaTheme="minorEastAsia"/>
                <w:color w:val="auto"/>
                <w:kern w:val="0"/>
                <w:sz w:val="20"/>
                <w:szCs w:val="20"/>
                <w:highlight w:val="none"/>
              </w:rPr>
              <w:t>3</w:t>
            </w:r>
            <w:r>
              <w:rPr>
                <w:rFonts w:eastAsiaTheme="minorEastAsia"/>
                <w:color w:val="auto"/>
                <w:kern w:val="0"/>
                <w:sz w:val="20"/>
                <w:szCs w:val="20"/>
                <w:highlight w:val="none"/>
              </w:rPr>
              <w:t>.</w:t>
            </w:r>
            <w:r>
              <w:rPr>
                <w:rFonts w:hint="eastAsia" w:eastAsiaTheme="minorEastAsia"/>
                <w:color w:val="auto"/>
                <w:kern w:val="0"/>
                <w:sz w:val="20"/>
                <w:szCs w:val="20"/>
                <w:highlight w:val="none"/>
              </w:rPr>
              <w:t>10</w:t>
            </w:r>
            <w:r>
              <w:rPr>
                <w:rFonts w:eastAsiaTheme="minorEastAsia"/>
                <w:color w:val="auto"/>
                <w:kern w:val="0"/>
                <w:sz w:val="20"/>
                <w:szCs w:val="20"/>
                <w:highlight w:val="none"/>
              </w:rPr>
              <w:t>.</w:t>
            </w:r>
            <w:r>
              <w:rPr>
                <w:rFonts w:hint="eastAsia"/>
                <w:color w:val="auto"/>
                <w:sz w:val="20"/>
                <w:szCs w:val="20"/>
                <w:highlight w:val="none"/>
              </w:rPr>
              <w:t>报告单内容：至少包含，但不限于以下内容：样本信息、检测方法、测序质量（总数据量、Q30比例等）、病原体检出结果（序列数、相对丰度、覆盖度等）、耐药/毒力基因结果、结果解读、检测局限性说明等。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98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0B3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C9CB90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3D43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color w:val="auto"/>
                <w:sz w:val="20"/>
                <w:szCs w:val="20"/>
                <w:highlight w:val="none"/>
                <w:lang w:val="en-GB"/>
              </w:rPr>
              <w:t>▲</w:t>
            </w:r>
            <w:r>
              <w:rPr>
                <w:rFonts w:hint="eastAsia" w:ascii="仿宋" w:hAnsi="仿宋" w:eastAsia="仿宋" w:cs="仿宋"/>
                <w:color w:val="auto"/>
                <w:sz w:val="24"/>
                <w:lang w:val="en-US" w:eastAsia="zh-CN"/>
              </w:rPr>
              <w:t>41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AFF5DF">
            <w:pPr>
              <w:numPr>
                <w:ilvl w:val="0"/>
                <w:numId w:val="0"/>
              </w:numPr>
              <w:spacing w:line="440" w:lineRule="exact"/>
              <w:ind w:leftChars="0"/>
              <w:rPr>
                <w:rFonts w:hint="eastAsia" w:ascii="宋体" w:hAnsi="宋体" w:eastAsia="宋体" w:cs="宋体"/>
                <w:color w:val="auto"/>
                <w:szCs w:val="21"/>
                <w:highlight w:val="none"/>
              </w:rPr>
            </w:pPr>
            <w:r>
              <w:rPr>
                <w:color w:val="auto"/>
                <w:sz w:val="20"/>
                <w:szCs w:val="20"/>
                <w:highlight w:val="none"/>
              </w:rPr>
              <w:t>3.11.</w:t>
            </w:r>
            <w:r>
              <w:rPr>
                <w:rFonts w:hint="default"/>
                <w:color w:val="auto"/>
                <w:sz w:val="20"/>
                <w:szCs w:val="20"/>
                <w:highlight w:val="none"/>
                <w:lang w:val="en-GB"/>
              </w:rPr>
              <w:t>▲</w:t>
            </w:r>
            <w:r>
              <w:rPr>
                <w:color w:val="auto"/>
                <w:sz w:val="20"/>
                <w:szCs w:val="20"/>
                <w:highlight w:val="none"/>
              </w:rPr>
              <w:t>病原微生物测序数据分析软件具有二类注册证，且病原种类＞500种，包含</w:t>
            </w:r>
            <w:r>
              <w:rPr>
                <w:rFonts w:hint="default"/>
                <w:color w:val="auto"/>
                <w:sz w:val="20"/>
                <w:szCs w:val="20"/>
                <w:highlight w:val="none"/>
              </w:rPr>
              <w:t>细菌、真菌、寄生虫</w:t>
            </w:r>
            <w:r>
              <w:rPr>
                <w:color w:val="auto"/>
                <w:sz w:val="20"/>
                <w:szCs w:val="20"/>
                <w:highlight w:val="none"/>
              </w:rPr>
              <w:t>、病毒</w:t>
            </w:r>
            <w:r>
              <w:rPr>
                <w:rFonts w:hint="default"/>
                <w:color w:val="auto"/>
                <w:sz w:val="20"/>
                <w:szCs w:val="20"/>
                <w:highlight w:val="none"/>
              </w:rPr>
              <w:t>等</w:t>
            </w:r>
            <w:r>
              <w:rPr>
                <w:color w:val="auto"/>
                <w:sz w:val="20"/>
                <w:szCs w:val="20"/>
                <w:highlight w:val="none"/>
              </w:rPr>
              <w:t>，同时注册证内容包含耐药基因、毒力基因等模版。</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CB6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F32C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F674B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A723B">
            <w:pPr>
              <w:pStyle w:val="23"/>
              <w:rPr>
                <w:rFonts w:hint="eastAsia" w:ascii="宋体" w:hAnsi="宋体" w:eastAsia="宋体" w:cs="宋体"/>
                <w:color w:val="auto"/>
                <w:szCs w:val="21"/>
                <w:highlight w:val="none"/>
              </w:rPr>
            </w:pPr>
            <w:r>
              <w:rPr>
                <w:rFonts w:hint="default"/>
                <w:color w:val="auto"/>
                <w:sz w:val="20"/>
                <w:szCs w:val="20"/>
                <w:highlight w:val="none"/>
              </w:rPr>
              <w:t>4、</w:t>
            </w:r>
            <w:r>
              <w:rPr>
                <w:rFonts w:hint="default"/>
                <w:color w:val="auto"/>
                <w:kern w:val="0"/>
                <w:highlight w:val="none"/>
                <w:lang w:bidi="ar"/>
              </w:rPr>
              <w:t>DNA+RNA-病原微生物核酸高通量测序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D5E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BB6E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8FE6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2135D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42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7072DF">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4.1</w:t>
            </w:r>
            <w:r>
              <w:rPr>
                <w:color w:val="auto"/>
                <w:sz w:val="20"/>
                <w:szCs w:val="20"/>
                <w:highlight w:val="none"/>
              </w:rPr>
              <w:t>.★检测内容：</w:t>
            </w:r>
            <w:r>
              <w:rPr>
                <w:rFonts w:hint="eastAsia"/>
                <w:color w:val="auto"/>
                <w:sz w:val="20"/>
                <w:szCs w:val="20"/>
                <w:highlight w:val="none"/>
              </w:rPr>
              <w:t>同时覆盖DNA类病原和RNA类病原≥2000项，包含细菌、真菌、寄生虫、DNA病毒、RNA病毒等全类别病原体；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C721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BCDA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E32F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425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2AA7DC">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rPr>
              <w:t>.2.</w:t>
            </w:r>
            <w:r>
              <w:rPr>
                <w:color w:val="auto"/>
                <w:sz w:val="20"/>
                <w:szCs w:val="20"/>
                <w:highlight w:val="none"/>
                <w:lang w:val="en-GB"/>
              </w:rPr>
              <w:t>▲</w:t>
            </w:r>
            <w:r>
              <w:rPr>
                <w:rFonts w:hint="eastAsia"/>
                <w:color w:val="auto"/>
                <w:sz w:val="20"/>
                <w:szCs w:val="20"/>
                <w:highlight w:val="none"/>
              </w:rPr>
              <w:t>同步检测靶标对应的耐药基因、毒力基因，覆盖细菌、结核、真菌耐药位点；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700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84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12CF5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4257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3C9C423">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lang w:val="en-GB"/>
              </w:rPr>
              <w:t>.</w:t>
            </w:r>
            <w:r>
              <w:rPr>
                <w:rFonts w:hint="eastAsia"/>
                <w:color w:val="auto"/>
                <w:sz w:val="20"/>
                <w:szCs w:val="20"/>
                <w:highlight w:val="none"/>
              </w:rPr>
              <w:t>3</w:t>
            </w:r>
            <w:r>
              <w:rPr>
                <w:color w:val="auto"/>
                <w:sz w:val="20"/>
                <w:szCs w:val="20"/>
                <w:highlight w:val="none"/>
                <w:lang w:val="en-GB"/>
              </w:rPr>
              <w:t>.▲检测性能：</w:t>
            </w:r>
            <w:r>
              <w:rPr>
                <w:rFonts w:hint="eastAsia"/>
                <w:color w:val="auto"/>
                <w:sz w:val="20"/>
                <w:szCs w:val="20"/>
                <w:highlight w:val="none"/>
              </w:rPr>
              <w:t>目标病原测序深度满足检出要求，特异性≥95%</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3775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2777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3A1C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16816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5BCD0E">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lang w:val="en-GB"/>
              </w:rPr>
              <w:t>.5.</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新鲜组织及石蜡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DCF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AF986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04AD0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815AB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lang w:val="en-GB"/>
              </w:rPr>
              <w:t>▲</w:t>
            </w:r>
            <w:r>
              <w:rPr>
                <w:rFonts w:hint="eastAsia" w:ascii="仿宋" w:hAnsi="仿宋" w:eastAsia="仿宋" w:cs="仿宋"/>
                <w:color w:val="auto"/>
                <w:sz w:val="24"/>
                <w:lang w:val="en-US" w:eastAsia="zh-CN"/>
              </w:rPr>
              <w:t>46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9889D1">
            <w:pPr>
              <w:numPr>
                <w:ilvl w:val="1"/>
                <w:numId w:val="0"/>
              </w:numPr>
              <w:rPr>
                <w:rFonts w:hint="eastAsia" w:ascii="宋体" w:hAnsi="宋体" w:eastAsia="宋体" w:cs="宋体"/>
                <w:color w:val="auto"/>
                <w:szCs w:val="21"/>
                <w:highlight w:val="none"/>
              </w:rPr>
            </w:pPr>
            <w:r>
              <w:rPr>
                <w:rFonts w:hint="eastAsia"/>
                <w:color w:val="auto"/>
                <w:sz w:val="20"/>
                <w:szCs w:val="20"/>
                <w:highlight w:val="none"/>
              </w:rPr>
              <w:t>4.6.</w:t>
            </w:r>
            <w:r>
              <w:rPr>
                <w:color w:val="auto"/>
                <w:sz w:val="20"/>
                <w:szCs w:val="20"/>
                <w:highlight w:val="none"/>
                <w:lang w:val="en-GB"/>
              </w:rPr>
              <w:t>▲</w:t>
            </w:r>
            <w:r>
              <w:rPr>
                <w:rFonts w:hint="eastAsia"/>
                <w:color w:val="auto"/>
                <w:sz w:val="20"/>
                <w:szCs w:val="20"/>
                <w:highlight w:val="none"/>
              </w:rPr>
              <w:t>血液、脑脊液等无菌体液样本，目标病原体的富集倍数需≥100倍，检测限低至10copies/ml，确保低浓度病原的有效检出；</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7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EF53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C11F8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ADC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sz w:val="20"/>
                <w:szCs w:val="20"/>
                <w:highlight w:val="none"/>
              </w:rPr>
              <w:t>★</w:t>
            </w:r>
            <w:r>
              <w:rPr>
                <w:rFonts w:hint="eastAsia" w:ascii="仿宋" w:hAnsi="仿宋" w:eastAsia="仿宋" w:cs="仿宋"/>
                <w:color w:val="auto"/>
                <w:sz w:val="24"/>
                <w:lang w:val="en-US" w:eastAsia="zh-CN"/>
              </w:rPr>
              <w:t>47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873C55">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4</w:t>
            </w:r>
            <w:r>
              <w:rPr>
                <w:color w:val="auto"/>
                <w:sz w:val="20"/>
                <w:szCs w:val="20"/>
                <w:highlight w:val="none"/>
              </w:rPr>
              <w:t>.</w:t>
            </w:r>
            <w:r>
              <w:rPr>
                <w:rFonts w:hint="eastAsia"/>
                <w:color w:val="auto"/>
                <w:sz w:val="20"/>
                <w:szCs w:val="20"/>
                <w:highlight w:val="none"/>
              </w:rPr>
              <w:t>7</w:t>
            </w:r>
            <w:r>
              <w:rPr>
                <w:color w:val="auto"/>
                <w:sz w:val="20"/>
                <w:szCs w:val="20"/>
                <w:highlight w:val="none"/>
              </w:rPr>
              <w:t>.★</w:t>
            </w:r>
            <w:r>
              <w:rPr>
                <w:rFonts w:hint="eastAsia"/>
                <w:color w:val="auto"/>
                <w:sz w:val="20"/>
                <w:szCs w:val="20"/>
                <w:highlight w:val="none"/>
              </w:rPr>
              <w:t>报告周期</w:t>
            </w:r>
            <w:r>
              <w:rPr>
                <w:color w:val="auto"/>
                <w:sz w:val="20"/>
                <w:szCs w:val="20"/>
                <w:highlight w:val="none"/>
              </w:rPr>
              <w:t>：</w:t>
            </w:r>
            <w:r>
              <w:rPr>
                <w:rFonts w:hint="eastAsia"/>
                <w:color w:val="auto"/>
                <w:sz w:val="20"/>
                <w:szCs w:val="20"/>
                <w:highlight w:val="none"/>
              </w:rPr>
              <w:t>＜24小时</w:t>
            </w:r>
            <w:r>
              <w:rPr>
                <w:color w:val="auto"/>
                <w:sz w:val="20"/>
                <w:szCs w:val="20"/>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675E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2071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13F203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5B29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F4D99C">
            <w:pPr>
              <w:numPr>
                <w:ilvl w:val="0"/>
                <w:numId w:val="0"/>
              </w:numPr>
              <w:spacing w:line="440" w:lineRule="exact"/>
              <w:ind w:leftChars="0"/>
              <w:rPr>
                <w:rFonts w:hint="eastAsia" w:ascii="宋体" w:hAnsi="宋体" w:eastAsia="宋体" w:cs="宋体"/>
                <w:color w:val="auto"/>
                <w:szCs w:val="21"/>
                <w:highlight w:val="none"/>
              </w:rPr>
            </w:pPr>
            <w:r>
              <w:rPr>
                <w:rFonts w:hint="eastAsia" w:eastAsiaTheme="minorEastAsia"/>
                <w:color w:val="auto"/>
                <w:kern w:val="0"/>
                <w:sz w:val="20"/>
                <w:szCs w:val="20"/>
                <w:highlight w:val="none"/>
              </w:rPr>
              <w:t>4</w:t>
            </w:r>
            <w:r>
              <w:rPr>
                <w:rFonts w:eastAsiaTheme="minorEastAsia"/>
                <w:color w:val="auto"/>
                <w:kern w:val="0"/>
                <w:sz w:val="20"/>
                <w:szCs w:val="20"/>
                <w:highlight w:val="none"/>
              </w:rPr>
              <w:t>.</w:t>
            </w:r>
            <w:r>
              <w:rPr>
                <w:rFonts w:hint="eastAsia" w:eastAsiaTheme="minorEastAsia"/>
                <w:color w:val="auto"/>
                <w:kern w:val="0"/>
                <w:sz w:val="20"/>
                <w:szCs w:val="20"/>
                <w:highlight w:val="none"/>
              </w:rPr>
              <w:t>8</w:t>
            </w:r>
            <w:r>
              <w:rPr>
                <w:rFonts w:eastAsiaTheme="minorEastAsia"/>
                <w:color w:val="auto"/>
                <w:kern w:val="0"/>
                <w:sz w:val="20"/>
                <w:szCs w:val="20"/>
                <w:highlight w:val="none"/>
              </w:rPr>
              <w:t>.</w:t>
            </w:r>
            <w:r>
              <w:rPr>
                <w:rFonts w:hint="eastAsia"/>
                <w:bCs/>
                <w:color w:val="auto"/>
                <w:sz w:val="20"/>
                <w:szCs w:val="20"/>
                <w:highlight w:val="none"/>
              </w:rPr>
              <w:t>报告单内容：样本信息、检测方法、测序质量（总数据量、Q30比例等）、病原体检出结果（序列数、相对丰度、覆盖度等）、耐药/毒力基因结果、结果解读、检测局限性说明。</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F6A1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CA84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9523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55F0E1">
            <w:pPr>
              <w:pStyle w:val="23"/>
              <w:rPr>
                <w:rFonts w:hint="eastAsia" w:ascii="宋体" w:hAnsi="宋体" w:eastAsia="宋体" w:cs="宋体"/>
                <w:color w:val="auto"/>
                <w:szCs w:val="21"/>
                <w:highlight w:val="none"/>
              </w:rPr>
            </w:pPr>
            <w:r>
              <w:rPr>
                <w:rFonts w:hint="default"/>
                <w:color w:val="auto"/>
                <w:sz w:val="20"/>
                <w:szCs w:val="20"/>
                <w:highlight w:val="none"/>
              </w:rPr>
              <w:t>5、</w:t>
            </w:r>
            <w:r>
              <w:rPr>
                <w:rFonts w:hint="default"/>
                <w:color w:val="auto"/>
                <w:kern w:val="0"/>
                <w:highlight w:val="none"/>
                <w:lang w:bidi="ar"/>
              </w:rPr>
              <w:t>病原微生物靶向高通量测序</w:t>
            </w:r>
            <w:r>
              <w:rPr>
                <w:color w:val="auto"/>
                <w:kern w:val="0"/>
                <w:highlight w:val="none"/>
                <w:lang w:bidi="ar"/>
              </w:rPr>
              <w:t>（泛感染）</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FE1A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EEB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BD5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81D77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49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2667BD">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检测内容：</w:t>
            </w:r>
            <w:r>
              <w:rPr>
                <w:rFonts w:ascii="Times New Roman" w:hAnsi="Times New Roman" w:eastAsia="宋体" w:cs="Times New Roman"/>
                <w:color w:val="auto"/>
                <w:highlight w:val="none"/>
                <w:lang w:eastAsia="zh-CN"/>
              </w:rPr>
              <w:t>涵盖临床常见的</w:t>
            </w:r>
            <w:r>
              <w:rPr>
                <w:rFonts w:hint="default" w:ascii="Times New Roman" w:hAnsi="Times New Roman" w:eastAsia="宋体" w:cs="Times New Roman"/>
                <w:color w:val="auto"/>
                <w:sz w:val="21"/>
                <w:szCs w:val="21"/>
                <w:highlight w:val="none"/>
                <w:lang w:eastAsia="zh-CN" w:bidi="ar"/>
              </w:rPr>
              <w:t>感染病原体160种以上</w:t>
            </w:r>
            <w:r>
              <w:rPr>
                <w:rFonts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163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8C2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91BD3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7792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499E28">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5.2同步检测靶标对应的耐药基因、毒力基因，覆盖细菌、结核耐药位点；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F6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DD97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039C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BAE6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8BB1D8">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5.3.具有自主研究研发的二聚体去除流程，在tNGS实验过程中二聚体比例降至10%以下，减少引物二聚体的污染。</w:t>
            </w:r>
            <w:r>
              <w:rPr>
                <w:rFonts w:hint="default" w:ascii="Times New Roman" w:hAnsi="Times New Roman" w:cs="Times New Roman"/>
                <w:color w:val="auto"/>
                <w:highlight w:val="none"/>
              </w:rPr>
              <w:t>（投标文件中需提供</w:t>
            </w:r>
            <w:r>
              <w:rPr>
                <w:rFonts w:cs="Times New Roman"/>
                <w:color w:val="auto"/>
                <w:highlight w:val="none"/>
                <w:lang w:eastAsia="zh-CN"/>
              </w:rPr>
              <w:t>佐证材料</w:t>
            </w:r>
            <w:r>
              <w:rPr>
                <w:rFonts w:hint="default" w:ascii="Times New Roman" w:hAnsi="Times New Roman" w:cs="Times New Roman"/>
                <w:color w:val="auto"/>
                <w:highlight w:val="none"/>
              </w:rPr>
              <w:t>，并加盖投标人公章）</w:t>
            </w:r>
            <w:r>
              <w:rPr>
                <w:rFonts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FE7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2565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EB57A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17F91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08ACB6">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5.4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检测性能</w:t>
            </w:r>
            <w:r>
              <w:rPr>
                <w:rFonts w:hint="default" w:ascii="Times New Roman" w:hAnsi="Times New Roman" w:eastAsia="宋体" w:cs="Times New Roman"/>
                <w:color w:val="auto"/>
                <w:highlight w:val="none"/>
              </w:rPr>
              <w:t>：</w:t>
            </w:r>
            <w:r>
              <w:rPr>
                <w:rFonts w:ascii="Times New Roman Regular" w:hAnsi="Times New Roman Regular" w:cs="Times New Roman Regular"/>
                <w:color w:val="auto"/>
                <w:highlight w:val="none"/>
              </w:rPr>
              <w:t>测序数据质量Q30≥85%</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B65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1A4F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0B89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66D8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008242">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5.5</w:t>
            </w:r>
            <w:r>
              <w:rPr>
                <w:color w:val="auto"/>
                <w:sz w:val="20"/>
                <w:szCs w:val="20"/>
                <w:highlight w:val="none"/>
                <w:lang w:eastAsia="zh-Hans"/>
              </w:rPr>
              <w:t>.</w:t>
            </w:r>
            <w:r>
              <w:rPr>
                <w:rFonts w:hint="eastAsia"/>
                <w:color w:val="auto"/>
                <w:sz w:val="20"/>
                <w:szCs w:val="20"/>
                <w:highlight w:val="none"/>
              </w:rPr>
              <w:t>数据量</w:t>
            </w:r>
            <w:r>
              <w:rPr>
                <w:color w:val="auto"/>
                <w:sz w:val="20"/>
                <w:szCs w:val="20"/>
                <w:highlight w:val="none"/>
              </w:rPr>
              <w:t>：</w:t>
            </w:r>
            <w:r>
              <w:rPr>
                <w:rFonts w:hint="eastAsia" w:ascii="Times New Roman Regular" w:hAnsi="Times New Roman Regular" w:cs="Times New Roman Regular"/>
                <w:color w:val="auto"/>
                <w:highlight w:val="none"/>
              </w:rPr>
              <w:t>测序总数据量不小于1M reads</w:t>
            </w:r>
            <w:r>
              <w:rPr>
                <w:color w:val="auto"/>
                <w:sz w:val="20"/>
                <w:szCs w:val="20"/>
                <w:highlight w:val="none"/>
                <w:lang w:val="en-GB"/>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B129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C661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06CD3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E6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5C033CB">
            <w:pPr>
              <w:numPr>
                <w:ilvl w:val="1"/>
                <w:numId w:val="0"/>
              </w:numPr>
              <w:ind w:left="525" w:hanging="525"/>
              <w:rPr>
                <w:rFonts w:hint="eastAsia" w:ascii="宋体" w:hAnsi="宋体" w:eastAsia="宋体" w:cs="宋体"/>
                <w:color w:val="auto"/>
                <w:szCs w:val="21"/>
                <w:highlight w:val="none"/>
              </w:rPr>
            </w:pPr>
            <w:r>
              <w:rPr>
                <w:rFonts w:hint="eastAsia"/>
                <w:color w:val="auto"/>
                <w:sz w:val="20"/>
                <w:szCs w:val="20"/>
                <w:highlight w:val="none"/>
              </w:rPr>
              <w:t>5.6</w:t>
            </w:r>
            <w:r>
              <w:rPr>
                <w:color w:val="auto"/>
                <w:sz w:val="20"/>
                <w:szCs w:val="20"/>
                <w:highlight w:val="none"/>
              </w:rPr>
              <w:t>.</w:t>
            </w:r>
            <w:r>
              <w:rPr>
                <w:rFonts w:hint="eastAsia"/>
                <w:color w:val="auto"/>
                <w:sz w:val="20"/>
                <w:szCs w:val="20"/>
                <w:highlight w:val="none"/>
              </w:rPr>
              <w:t>适用样本类型：血液、脑脊液、呼吸道标本（痰液、鼻/咽拭子、肺泡灌洗液、支气管刷刷头等）、尿液、拭子、其他无菌体液标本（胸腔积液、腹腔积液、眼内液、房水、关节液及穿刺液等）及组织等样本；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256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3ED3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65E3C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7127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D8B090">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5.8</w:t>
            </w:r>
            <w:r>
              <w:rPr>
                <w:color w:val="auto"/>
                <w:sz w:val="20"/>
                <w:szCs w:val="20"/>
                <w:highlight w:val="none"/>
              </w:rPr>
              <w:t>.</w:t>
            </w:r>
            <w:r>
              <w:rPr>
                <w:rFonts w:hint="eastAsia"/>
                <w:color w:val="auto"/>
                <w:sz w:val="20"/>
                <w:szCs w:val="20"/>
                <w:highlight w:val="none"/>
              </w:rPr>
              <w:t>报告周期：＜24小时。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25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4E2C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B36BC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86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2083D">
            <w:pPr>
              <w:pStyle w:val="23"/>
              <w:rPr>
                <w:rFonts w:hint="eastAsia" w:ascii="宋体" w:hAnsi="宋体" w:eastAsia="宋体" w:cs="宋体"/>
                <w:color w:val="auto"/>
                <w:szCs w:val="21"/>
                <w:highlight w:val="none"/>
              </w:rPr>
            </w:pPr>
            <w:r>
              <w:rPr>
                <w:color w:val="auto"/>
                <w:sz w:val="20"/>
                <w:szCs w:val="20"/>
                <w:highlight w:val="none"/>
              </w:rPr>
              <w:t>6</w:t>
            </w:r>
            <w:r>
              <w:rPr>
                <w:rFonts w:hint="default"/>
                <w:color w:val="auto"/>
                <w:sz w:val="20"/>
                <w:szCs w:val="20"/>
                <w:highlight w:val="none"/>
              </w:rPr>
              <w:t>、</w:t>
            </w:r>
            <w:r>
              <w:rPr>
                <w:rFonts w:hint="default"/>
                <w:color w:val="auto"/>
                <w:kern w:val="0"/>
                <w:highlight w:val="none"/>
                <w:lang w:bidi="ar"/>
              </w:rPr>
              <w:t>结核分枝杆菌复合群及</w:t>
            </w:r>
            <w:r>
              <w:rPr>
                <w:color w:val="auto"/>
                <w:kern w:val="0"/>
                <w:highlight w:val="none"/>
                <w:lang w:bidi="ar"/>
              </w:rPr>
              <w:t>非结核分枝杆菌</w:t>
            </w:r>
            <w:r>
              <w:rPr>
                <w:rFonts w:hint="default"/>
                <w:color w:val="auto"/>
                <w:kern w:val="0"/>
                <w:highlight w:val="none"/>
                <w:lang w:bidi="ar"/>
              </w:rPr>
              <w:t>测序</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FB6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83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16012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CD59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lang w:eastAsia="zh-CN"/>
              </w:rPr>
              <w:t>★</w:t>
            </w:r>
            <w:r>
              <w:rPr>
                <w:rFonts w:hint="eastAsia" w:ascii="仿宋" w:hAnsi="仿宋" w:eastAsia="仿宋" w:cs="仿宋"/>
                <w:color w:val="auto"/>
                <w:sz w:val="24"/>
                <w:lang w:val="en-US" w:eastAsia="zh-CN"/>
              </w:rPr>
              <w:t>56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3F5DFB">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检测内容：</w:t>
            </w:r>
            <w:r>
              <w:rPr>
                <w:rFonts w:ascii="Times New Roman" w:hAnsi="Times New Roman" w:eastAsia="宋体" w:cs="Times New Roman"/>
                <w:color w:val="auto"/>
                <w:highlight w:val="none"/>
                <w:lang w:eastAsia="zh-CN"/>
              </w:rPr>
              <w:t>涵盖≥70种结核及非结核分枝杆菌，覆盖结核分枝杆菌复合群（MTBC）及常见NTM；</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F13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892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11479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09C2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val="en-GB" w:eastAsia="zh-CN"/>
              </w:rPr>
              <w:t>▲</w:t>
            </w:r>
            <w:r>
              <w:rPr>
                <w:rFonts w:hint="eastAsia" w:ascii="仿宋" w:hAnsi="仿宋" w:eastAsia="仿宋" w:cs="仿宋"/>
                <w:color w:val="auto"/>
                <w:sz w:val="24"/>
                <w:lang w:val="en-US" w:eastAsia="zh-CN"/>
              </w:rPr>
              <w:t>57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F69B15">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6.2</w:t>
            </w:r>
            <w:r>
              <w:rPr>
                <w:rFonts w:hint="default" w:ascii="Times New Roman" w:hAnsi="Times New Roman" w:eastAsia="宋体" w:cs="Times New Roman"/>
                <w:color w:val="auto"/>
                <w:highlight w:val="none"/>
              </w:rPr>
              <w:t>.</w:t>
            </w:r>
            <w:r>
              <w:rPr>
                <w:rFonts w:hint="default" w:ascii="Times New Roman" w:hAnsi="Times New Roman" w:cs="Times New Roman"/>
                <w:color w:val="auto"/>
                <w:highlight w:val="none"/>
                <w:lang w:val="en-GB" w:eastAsia="zh-CN"/>
              </w:rPr>
              <w:t>▲</w:t>
            </w:r>
            <w:r>
              <w:rPr>
                <w:rFonts w:ascii="Times New Roman" w:hAnsi="Times New Roman" w:eastAsia="宋体" w:cs="Times New Roman"/>
                <w:color w:val="auto"/>
                <w:highlight w:val="none"/>
                <w:lang w:eastAsia="zh-CN"/>
              </w:rPr>
              <w:t>覆盖</w:t>
            </w:r>
            <w:r>
              <w:rPr>
                <w:rFonts w:hint="default" w:ascii="Times New Roman" w:hAnsi="Times New Roman" w:eastAsia="宋体" w:cs="Times New Roman"/>
                <w:color w:val="auto"/>
                <w:highlight w:val="none"/>
                <w:lang w:eastAsia="zh-CN"/>
              </w:rPr>
              <w:t>利福平、乙胺丁醇、异烟肼、吡嗪酰胺</w:t>
            </w:r>
            <w:r>
              <w:rPr>
                <w:rFonts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eastAsia="zh-CN"/>
              </w:rPr>
              <w:t>氟喹诺酮类、阿米卡星、卡那霉素、卷曲霉素、链霉素、利奈唑胺、乙硫异烟胺、丙硫异烟胺</w:t>
            </w:r>
            <w:r>
              <w:rPr>
                <w:rFonts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eastAsia="zh-CN"/>
              </w:rPr>
              <w:t>贝达喹啉、德拉马尼、氯法齐明</w:t>
            </w:r>
            <w:r>
              <w:rPr>
                <w:rFonts w:ascii="Times New Roman" w:hAnsi="Times New Roman" w:eastAsia="宋体" w:cs="Times New Roman"/>
                <w:color w:val="auto"/>
                <w:highlight w:val="none"/>
                <w:lang w:eastAsia="zh-CN"/>
              </w:rPr>
              <w:t>等抗结核药物耐药基因；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CE1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79DE0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7BF24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290A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EE5078">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6.3</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检测性能</w:t>
            </w:r>
            <w:r>
              <w:rPr>
                <w:rFonts w:hint="default" w:ascii="Times New Roman" w:hAnsi="Times New Roman" w:eastAsia="宋体" w:cs="Times New Roman"/>
                <w:color w:val="auto"/>
                <w:highlight w:val="none"/>
              </w:rPr>
              <w:t>：</w:t>
            </w:r>
            <w:r>
              <w:rPr>
                <w:rFonts w:ascii="Times New Roman Regular" w:hAnsi="Times New Roman Regular" w:cs="Times New Roman Regular"/>
                <w:color w:val="auto"/>
                <w:highlight w:val="none"/>
              </w:rPr>
              <w:t>测序数据质量Q30≥85%</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418C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A2DD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1F6726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601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A27AFE">
            <w:pPr>
              <w:pStyle w:val="24"/>
              <w:numPr>
                <w:ilvl w:val="1"/>
                <w:numId w:val="0"/>
              </w:numPr>
              <w:ind w:left="525" w:hanging="525"/>
              <w:jc w:val="both"/>
              <w:rPr>
                <w:rFonts w:hint="eastAsia" w:ascii="宋体" w:hAnsi="宋体" w:eastAsia="宋体" w:cs="宋体"/>
                <w:color w:val="auto"/>
                <w:szCs w:val="21"/>
                <w:highlight w:val="none"/>
              </w:rPr>
            </w:pPr>
            <w:r>
              <w:rPr>
                <w:rFonts w:ascii="Times New Roman" w:hAnsi="Times New Roman" w:eastAsia="宋体" w:cs="Times New Roman"/>
                <w:color w:val="auto"/>
                <w:highlight w:val="none"/>
                <w:lang w:eastAsia="zh-CN"/>
              </w:rPr>
              <w:t>6.4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数据量</w:t>
            </w:r>
            <w:r>
              <w:rPr>
                <w:rFonts w:hint="default" w:ascii="Times New Roman" w:hAnsi="Times New Roman" w:eastAsia="宋体" w:cs="Times New Roman"/>
                <w:color w:val="auto"/>
                <w:highlight w:val="none"/>
                <w:lang w:eastAsia="zh-CN"/>
              </w:rPr>
              <w:t>：</w:t>
            </w:r>
            <w:r>
              <w:rPr>
                <w:rFonts w:ascii="Times New Roman Regular" w:hAnsi="Times New Roman Regular" w:cs="Times New Roman Regular"/>
                <w:color w:val="auto"/>
                <w:highlight w:val="none"/>
              </w:rPr>
              <w:t>测序总数据量不小于 1M reads</w:t>
            </w:r>
            <w:r>
              <w:rPr>
                <w:rFonts w:hint="default" w:ascii="Times New Roman" w:hAnsi="Times New Roman" w:eastAsia="宋体" w:cs="Times New Roman"/>
                <w:color w:val="auto"/>
                <w:highlight w:val="none"/>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D62B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4539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14718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3C05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CF0F0B">
            <w:pPr>
              <w:pStyle w:val="24"/>
              <w:numPr>
                <w:ilvl w:val="1"/>
                <w:numId w:val="0"/>
              </w:numPr>
              <w:ind w:left="525" w:hanging="525"/>
              <w:jc w:val="both"/>
              <w:rPr>
                <w:rFonts w:hint="eastAsia" w:ascii="宋体" w:hAnsi="宋体" w:eastAsia="宋体" w:cs="宋体"/>
                <w:color w:val="auto"/>
                <w:szCs w:val="21"/>
                <w:highlight w:val="none"/>
              </w:rPr>
            </w:pPr>
            <w:r>
              <w:rPr>
                <w:rFonts w:ascii="Times New Roman Regular" w:hAnsi="Times New Roman Regular" w:cs="Times New Roman Regular"/>
                <w:color w:val="auto"/>
                <w:highlight w:val="none"/>
                <w:lang w:eastAsia="zh-CN"/>
              </w:rPr>
              <w:t>6.5</w:t>
            </w:r>
            <w:r>
              <w:rPr>
                <w:rFonts w:hint="default" w:ascii="Times New Roman Regular" w:hAnsi="Times New Roman Regular" w:cs="Times New Roman Regular"/>
                <w:color w:val="auto"/>
                <w:highlight w:val="none"/>
                <w:lang w:eastAsia="zh-CN"/>
              </w:rPr>
              <w:t>.</w:t>
            </w:r>
            <w:r>
              <w:rPr>
                <w:rFonts w:ascii="Times New Roman Regular" w:hAnsi="Times New Roman Regular" w:cs="Times New Roman Regular"/>
                <w:color w:val="auto"/>
                <w:highlight w:val="none"/>
                <w:lang w:eastAsia="zh-CN"/>
              </w:rPr>
              <w:t>适用样本类型：</w:t>
            </w:r>
            <w:r>
              <w:rPr>
                <w:rFonts w:ascii="Times New Roman Regular" w:hAnsi="Times New Roman Regular" w:cs="Times New Roman Regular"/>
                <w:color w:val="auto"/>
                <w:highlight w:val="none"/>
              </w:rPr>
              <w:t>痰液、肺泡灌洗液、脑脊液、胸腹水、中段尿、新鲜组织、脓液、支气管刷刷头等</w:t>
            </w:r>
            <w:r>
              <w:rPr>
                <w:rFonts w:ascii="Times New Roman Regular" w:hAnsi="Times New Roman Regular" w:cs="Times New Roman Regular"/>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D703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0C4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6892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9C22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6F7E44F">
            <w:pPr>
              <w:numPr>
                <w:ilvl w:val="0"/>
                <w:numId w:val="0"/>
              </w:numPr>
              <w:spacing w:line="440" w:lineRule="exact"/>
              <w:ind w:leftChars="0"/>
              <w:rPr>
                <w:rFonts w:hint="eastAsia" w:ascii="宋体" w:hAnsi="宋体" w:eastAsia="宋体" w:cs="宋体"/>
                <w:color w:val="auto"/>
                <w:szCs w:val="21"/>
                <w:highlight w:val="none"/>
              </w:rPr>
            </w:pPr>
            <w:r>
              <w:rPr>
                <w:rFonts w:hint="eastAsia"/>
                <w:color w:val="auto"/>
                <w:sz w:val="20"/>
                <w:szCs w:val="20"/>
                <w:highlight w:val="none"/>
              </w:rPr>
              <w:t>6.6</w:t>
            </w:r>
            <w:r>
              <w:rPr>
                <w:color w:val="auto"/>
                <w:sz w:val="20"/>
                <w:szCs w:val="20"/>
                <w:highlight w:val="none"/>
              </w:rPr>
              <w:t>.</w:t>
            </w:r>
            <w:r>
              <w:rPr>
                <w:rFonts w:hint="eastAsia"/>
                <w:color w:val="auto"/>
                <w:sz w:val="20"/>
                <w:szCs w:val="20"/>
                <w:highlight w:val="none"/>
              </w:rPr>
              <w:t>报告周期：＜24小时。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74E4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B56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05DB2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CD5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default"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四、服务要求</w:t>
            </w:r>
          </w:p>
        </w:tc>
      </w:tr>
      <w:tr w14:paraId="05F520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70A26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color w:val="auto"/>
                <w:highlight w:val="none"/>
              </w:rPr>
              <w:t>★</w:t>
            </w:r>
            <w:r>
              <w:rPr>
                <w:rFonts w:hint="eastAsia" w:ascii="仿宋" w:hAnsi="仿宋" w:eastAsia="仿宋" w:cs="仿宋"/>
                <w:color w:val="auto"/>
                <w:sz w:val="24"/>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10BF63">
            <w:pPr>
              <w:pStyle w:val="5"/>
              <w:rPr>
                <w:rFonts w:hint="eastAsia"/>
                <w:color w:val="auto"/>
                <w:sz w:val="20"/>
                <w:szCs w:val="20"/>
                <w:highlight w:val="none"/>
              </w:rPr>
            </w:pPr>
            <w:r>
              <w:rPr>
                <w:color w:val="auto"/>
                <w:highlight w:val="none"/>
              </w:rPr>
              <w:t>（1）★投标机构为符合要求的医学检验所或其他医疗机构，符合《中华人民共和国生物安全法》、《病原微生物实验室生物安全管理条例》（国务院令第424号）、《医疗机构临床基因扩增检验实验室管理办法》（卫办医政发〔2010〕194号）有关规定，临床基因扩增检验实验室技术合格证处于核验效期内，还应当符合《医学检验实验室基本标准（试行）》、《医学检验实验室管理规范（试行）》等要求（</w:t>
            </w:r>
            <w:r>
              <w:rPr>
                <w:color w:val="auto"/>
                <w:kern w:val="0"/>
                <w:highlight w:val="none"/>
                <w:lang w:bidi="ar"/>
              </w:rPr>
              <w:t>提供承诺函加盖投标人公章，承诺符合以上内容及有效的临床基因扩增检验实验室技术合格证</w:t>
            </w:r>
            <w:r>
              <w:rPr>
                <w:color w:val="auto"/>
                <w:highlight w:val="none"/>
              </w:rPr>
              <w:t>）</w:t>
            </w:r>
            <w:r>
              <w:rPr>
                <w:color w:val="auto"/>
                <w:kern w:val="0"/>
                <w:highlight w:val="none"/>
              </w:rPr>
              <w:t>提供承诺函并</w:t>
            </w:r>
            <w:r>
              <w:rPr>
                <w:color w:val="auto"/>
                <w:kern w:val="0"/>
                <w:highlight w:val="none"/>
                <w:lang w:bidi="ar"/>
              </w:rPr>
              <w:t>加盖投标人公章，</w:t>
            </w:r>
            <w:r>
              <w:rPr>
                <w:color w:val="auto"/>
                <w:kern w:val="0"/>
                <w:highlight w:val="none"/>
              </w:rPr>
              <w:t>承诺符合以上内容及有效的</w:t>
            </w:r>
            <w:r>
              <w:rPr>
                <w:color w:val="auto"/>
                <w:highlight w:val="none"/>
              </w:rPr>
              <w:t>临床基因扩增检验实验室技术合格证。</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7EFF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9D34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4E82F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2028C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rPr>
              <w:t>★</w:t>
            </w:r>
            <w:r>
              <w:rPr>
                <w:rFonts w:hint="eastAsia" w:ascii="仿宋" w:hAnsi="仿宋" w:eastAsia="仿宋" w:cs="仿宋"/>
                <w:color w:val="auto"/>
                <w:sz w:val="24"/>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A08DEB">
            <w:pPr>
              <w:pStyle w:val="24"/>
              <w:rPr>
                <w:rFonts w:hint="eastAsia"/>
                <w:color w:val="auto"/>
                <w:sz w:val="20"/>
                <w:szCs w:val="20"/>
                <w:highlight w:val="none"/>
              </w:rPr>
            </w:pPr>
            <w:r>
              <w:rPr>
                <w:rFonts w:hint="default" w:ascii="Times New Roman" w:hAnsi="Times New Roman" w:cs="Times New Roman"/>
                <w:color w:val="auto"/>
                <w:highlight w:val="none"/>
                <w:lang w:eastAsia="zh-CN"/>
              </w:rPr>
              <w:t>（2）</w:t>
            </w:r>
            <w:r>
              <w:rPr>
                <w:rFonts w:hint="default" w:ascii="Times New Roman" w:hAnsi="Times New Roman" w:cs="Times New Roman"/>
                <w:color w:val="auto"/>
                <w:highlight w:val="none"/>
              </w:rPr>
              <w:t>★投标人实验室需具备有临床基因扩增资质的专业检验技术人员</w:t>
            </w:r>
            <w:r>
              <w:rPr>
                <w:rFonts w:hint="default" w:ascii="Times New Roman" w:hAnsi="Times New Roman" w:cs="Times New Roman"/>
                <w:color w:val="auto"/>
                <w:highlight w:val="none"/>
                <w:lang w:eastAsia="zh-CN"/>
              </w:rPr>
              <w:t>（不少于2</w:t>
            </w:r>
            <w:r>
              <w:rPr>
                <w:rFonts w:hint="default" w:ascii="Times New Roman" w:hAnsi="Times New Roman" w:cs="Times New Roman"/>
                <w:color w:val="auto"/>
                <w:highlight w:val="none"/>
              </w:rPr>
              <w:t>人）和资质符合国家相关要求，可提供专业的医学检验服务（投标文件中需提供检验技师资格证及临床基因扩增检验实验室技术员培训证书的复印件，并加盖投标人公章）。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2CE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C38D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4C688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F83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B1BB4F3">
            <w:pPr>
              <w:pStyle w:val="24"/>
              <w:rPr>
                <w:rFonts w:hint="eastAsia"/>
                <w:color w:val="auto"/>
                <w:sz w:val="20"/>
                <w:szCs w:val="20"/>
                <w:highlight w:val="none"/>
              </w:rPr>
            </w:pPr>
            <w:r>
              <w:rPr>
                <w:rFonts w:hint="default" w:ascii="Times New Roman" w:hAnsi="Times New Roman" w:cs="Times New Roman"/>
                <w:color w:val="auto"/>
                <w:highlight w:val="none"/>
                <w:lang w:eastAsia="zh-CN"/>
              </w:rPr>
              <w:t>（3）★本项目检测系统所用的高通量基因测序仪</w:t>
            </w:r>
            <w:r>
              <w:rPr>
                <w:rFonts w:ascii="Times New Roman" w:hAnsi="Times New Roman" w:cs="Times New Roman"/>
                <w:color w:val="auto"/>
                <w:highlight w:val="none"/>
                <w:lang w:eastAsia="zh-CN"/>
              </w:rPr>
              <w:t>及</w:t>
            </w:r>
            <w:r>
              <w:rPr>
                <w:rFonts w:hint="default" w:ascii="Times New Roman" w:hAnsi="Times New Roman" w:cs="Times New Roman"/>
                <w:color w:val="auto"/>
                <w:highlight w:val="none"/>
                <w:lang w:eastAsia="zh-CN"/>
              </w:rPr>
              <w:t>配套检测试剂盒</w:t>
            </w:r>
            <w:r>
              <w:rPr>
                <w:rFonts w:ascii="Times New Roman" w:hAnsi="Times New Roman" w:cs="Times New Roman"/>
                <w:color w:val="auto"/>
                <w:highlight w:val="none"/>
                <w:lang w:eastAsia="zh-CN"/>
              </w:rPr>
              <w:t>等</w:t>
            </w:r>
            <w:r>
              <w:rPr>
                <w:rFonts w:hint="default" w:ascii="Times New Roman" w:hAnsi="Times New Roman" w:cs="Times New Roman"/>
                <w:color w:val="auto"/>
                <w:highlight w:val="none"/>
                <w:lang w:eastAsia="zh-CN"/>
              </w:rPr>
              <w:t>须取得国家药品监督管理局批准</w:t>
            </w:r>
            <w:r>
              <w:rPr>
                <w:rFonts w:ascii="Times New Roman" w:hAnsi="Times New Roman" w:cs="Times New Roman"/>
                <w:color w:val="auto"/>
                <w:highlight w:val="none"/>
                <w:lang w:eastAsia="zh-CN"/>
              </w:rPr>
              <w:t>或备案，</w:t>
            </w:r>
            <w:r>
              <w:rPr>
                <w:rFonts w:hint="default" w:ascii="Times New Roman" w:hAnsi="Times New Roman" w:cs="Times New Roman"/>
                <w:color w:val="auto"/>
                <w:highlight w:val="none"/>
                <w:lang w:eastAsia="zh-CN"/>
              </w:rPr>
              <w:t>可用于临床检测与临床应用的有效医疗器械注册证；具备齐全且在有效期内的医疗器械生产企业许可证、医疗器械经营许可证，完全符合国家医保核查相关规定；（投标文件中已提供上述全部医疗器械注册</w:t>
            </w:r>
            <w:r>
              <w:rPr>
                <w:rFonts w:ascii="Times New Roman" w:hAnsi="Times New Roman" w:cs="Times New Roman"/>
                <w:color w:val="auto"/>
                <w:highlight w:val="none"/>
                <w:lang w:eastAsia="zh-CN"/>
              </w:rPr>
              <w:t>/备案</w:t>
            </w:r>
            <w:r>
              <w:rPr>
                <w:rFonts w:hint="default" w:ascii="Times New Roman" w:hAnsi="Times New Roman" w:cs="Times New Roman"/>
                <w:color w:val="auto"/>
                <w:highlight w:val="none"/>
                <w:lang w:eastAsia="zh-CN"/>
              </w:rPr>
              <w:t>证、生产许可证、经营许可证复印件，所有证明材料均加盖投标人公章；）。</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1FD6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E34E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74992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4E3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C2BFE22">
            <w:pPr>
              <w:pStyle w:val="24"/>
              <w:rPr>
                <w:rFonts w:hint="eastAsia"/>
                <w:color w:val="auto"/>
                <w:sz w:val="20"/>
                <w:szCs w:val="20"/>
                <w:highlight w:val="none"/>
              </w:rPr>
            </w:pPr>
            <w:r>
              <w:rPr>
                <w:rFonts w:hint="default" w:ascii="Times New Roman" w:hAnsi="Times New Roman" w:cs="Times New Roman"/>
                <w:color w:val="auto"/>
                <w:highlight w:val="none"/>
                <w:lang w:eastAsia="zh-CN"/>
              </w:rPr>
              <w:t>（4）★投标人须具备自有实验室，独立完成本项目全部检测工作，严禁检测服务转包、分包；</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7638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F2A9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C5076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39D2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cs="Times New Roman"/>
                <w:color w:val="auto"/>
                <w:highlight w:val="none"/>
                <w:lang w:eastAsia="zh-CN"/>
              </w:rPr>
              <w:t>★</w:t>
            </w:r>
            <w:r>
              <w:rPr>
                <w:rFonts w:hint="eastAsia" w:ascii="仿宋" w:hAnsi="仿宋" w:eastAsia="仿宋" w:cs="仿宋"/>
                <w:color w:val="auto"/>
                <w:sz w:val="24"/>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A65DC91">
            <w:pPr>
              <w:pStyle w:val="24"/>
              <w:rPr>
                <w:rFonts w:hint="eastAsia"/>
                <w:color w:val="auto"/>
                <w:sz w:val="20"/>
                <w:szCs w:val="20"/>
                <w:highlight w:val="none"/>
              </w:rPr>
            </w:pPr>
            <w:r>
              <w:rPr>
                <w:rFonts w:hint="default" w:ascii="Times New Roman" w:hAnsi="Times New Roman" w:cs="Times New Roman"/>
                <w:color w:val="auto"/>
                <w:highlight w:val="none"/>
                <w:lang w:eastAsia="zh-CN"/>
              </w:rPr>
              <w:t>（5）★投标人须按照国家现行检测规范开展检测操作，并对所出具的标本检测报告承担全部相应责任。</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B76B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3273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AE649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1AA86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278BA36">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（6）</w:t>
            </w:r>
            <w:r>
              <w:rPr>
                <w:rFonts w:hint="default" w:ascii="Times New Roman" w:hAnsi="Times New Roman" w:eastAsia="宋体" w:cs="Times New Roman"/>
                <w:color w:val="auto"/>
                <w:highlight w:val="none"/>
              </w:rPr>
              <w:t>★投标人实验室制定并执行严禁非医学需要性别鉴定的管理制度。</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A5460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D87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84D2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090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6F5E84">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投标人配备完善的信息系统，可与医院信息系统对接，使医务人员可以随时调阅，可实现检验项目的多终端查询，包括网页端、手机端等，对紧急报告可提供口头报告或邮件报告等形式，信息系统对接产生的费用由投标人承担。</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F1E9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49C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1AFC15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CE80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71196C">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（8）</w:t>
            </w:r>
            <w:r>
              <w:rPr>
                <w:rFonts w:hint="default" w:ascii="Times New Roman" w:hAnsi="Times New Roman" w:eastAsia="宋体" w:cs="Times New Roman"/>
                <w:color w:val="auto"/>
                <w:highlight w:val="none"/>
              </w:rPr>
              <w:t>投标人可以配合采购人通过信息化平台、远程会诊等形式，开展联合病例讨论。</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42D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C288B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08CCE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28EEB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77EB97">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（9）</w:t>
            </w:r>
            <w:r>
              <w:rPr>
                <w:rFonts w:hint="default" w:ascii="Times New Roman" w:hAnsi="Times New Roman" w:eastAsia="宋体" w:cs="Times New Roman"/>
                <w:color w:val="auto"/>
                <w:highlight w:val="none"/>
              </w:rPr>
              <w:t>★未经采购人同意，不得将采购人标本用于他用。</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5A8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710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7656F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2731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B2994A9">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（10）</w:t>
            </w:r>
            <w:r>
              <w:rPr>
                <w:rFonts w:hint="default" w:ascii="Times New Roman" w:hAnsi="Times New Roman" w:eastAsia="宋体" w:cs="Times New Roman"/>
                <w:color w:val="auto"/>
                <w:highlight w:val="none"/>
              </w:rPr>
              <w:t>★有为用户保密的义务，未经同意不得向第三方泄露委托检验的项目、检验的内容、检验的结果。</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1687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00153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0367A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5B6E1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64693A">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（11）</w:t>
            </w:r>
            <w:r>
              <w:rPr>
                <w:rFonts w:hint="default" w:ascii="Times New Roman" w:hAnsi="Times New Roman" w:eastAsia="宋体" w:cs="Times New Roman"/>
                <w:color w:val="auto"/>
                <w:highlight w:val="none"/>
              </w:rPr>
              <w:t>★检测样本、检测数据的所有权、使用权为用户所有，未经许可不得</w:t>
            </w:r>
            <w:r>
              <w:rPr>
                <w:rFonts w:ascii="Times New Roman" w:hAnsi="Times New Roman" w:eastAsia="宋体" w:cs="Times New Roman"/>
                <w:color w:val="auto"/>
                <w:highlight w:val="none"/>
                <w:lang w:eastAsia="zh-CN"/>
              </w:rPr>
              <w:t>挪作他用</w:t>
            </w:r>
            <w:r>
              <w:rPr>
                <w:rFonts w:hint="default" w:ascii="Times New Roman" w:hAnsi="Times New Roman" w:eastAsia="宋体" w:cs="Times New Roman"/>
                <w:color w:val="auto"/>
                <w:highlight w:val="none"/>
              </w:rPr>
              <w:t>。能够按照国家、按用户要求妥善保存及销毁检验后样本。</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2EAC4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EE30B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35C81D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1F5D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F2BA6F2">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（12）</w:t>
            </w:r>
            <w:r>
              <w:rPr>
                <w:rFonts w:hint="default" w:ascii="Times New Roman" w:hAnsi="Times New Roman" w:eastAsia="宋体" w:cs="Times New Roman"/>
                <w:color w:val="auto"/>
                <w:highlight w:val="none"/>
              </w:rPr>
              <w:t>规定时间内，有追加检测项目的途径、方法。</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673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ACDE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353A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F06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942C7F">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（13）</w:t>
            </w:r>
            <w:r>
              <w:rPr>
                <w:rFonts w:hint="default" w:ascii="Times New Roman" w:hAnsi="Times New Roman" w:eastAsia="宋体" w:cs="Times New Roman"/>
                <w:color w:val="auto"/>
                <w:highlight w:val="none"/>
              </w:rPr>
              <w:t>★所有原始数据bam/fastq、原始图片等文件</w:t>
            </w:r>
            <w:r>
              <w:rPr>
                <w:rFonts w:hint="default" w:ascii="Times New Roman" w:hAnsi="Times New Roman" w:eastAsia="宋体" w:cs="Times New Roman"/>
                <w:color w:val="auto"/>
                <w:highlight w:val="none"/>
                <w:lang w:eastAsia="zh-CN"/>
              </w:rPr>
              <w:t>可传输至医院本地实验室进行二次分析，以备结果复核。</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028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83C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7EDF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846C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70277E9">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（14）</w:t>
            </w:r>
            <w:r>
              <w:rPr>
                <w:rFonts w:hint="default" w:ascii="Times New Roman" w:hAnsi="Times New Roman" w:eastAsia="宋体" w:cs="Times New Roman"/>
                <w:color w:val="auto"/>
                <w:highlight w:val="none"/>
              </w:rPr>
              <w:t>★</w:t>
            </w:r>
            <w:r>
              <w:rPr>
                <w:rFonts w:ascii="Times New Roman" w:hAnsi="Times New Roman" w:eastAsia="宋体" w:cs="Times New Roman"/>
                <w:color w:val="auto"/>
                <w:highlight w:val="none"/>
                <w:lang w:eastAsia="zh-CN"/>
              </w:rPr>
              <w:t>提供本地化分析实验结果所需的分析平台，并提供技术培训服务，所需费用包含在本次采购包内</w:t>
            </w:r>
            <w:r>
              <w:rPr>
                <w:rFonts w:hint="default" w:ascii="Times New Roman" w:hAnsi="Times New Roman" w:eastAsia="宋体" w:cs="Times New Roman"/>
                <w:color w:val="auto"/>
                <w:highlight w:val="none"/>
                <w:lang w:eastAsia="zh-CN"/>
              </w:rPr>
              <w:t>。</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AF6F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AA9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C60B0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204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DA3A625">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（15）</w:t>
            </w:r>
            <w:r>
              <w:rPr>
                <w:rFonts w:hint="default" w:ascii="Times New Roman" w:hAnsi="Times New Roman" w:eastAsia="宋体" w:cs="Times New Roman"/>
                <w:color w:val="auto"/>
                <w:highlight w:val="none"/>
              </w:rPr>
              <w:t>★投标人必须保证检验结果的公正性，不受任何诱使或压力的对检验结果进行修正及更改。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5E87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409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C7887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0C58E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4306A2">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（16）</w:t>
            </w:r>
            <w:r>
              <w:rPr>
                <w:rFonts w:hint="default" w:ascii="Times New Roman" w:hAnsi="Times New Roman" w:eastAsia="宋体" w:cs="Times New Roman"/>
                <w:color w:val="auto"/>
                <w:highlight w:val="none"/>
              </w:rPr>
              <w:t>★采集样本后，由投标人派专人到指定时间和地点接收并保证物流运输。遇特殊标本可机动收取。</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4BA27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293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20089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AD428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default" w:ascii="Times New Roman" w:hAnsi="Times New Roman" w:eastAsia="宋体" w:cs="Times New Roman"/>
                <w:color w:val="auto"/>
                <w:highlight w:val="none"/>
              </w:rPr>
              <w:t>★</w:t>
            </w:r>
            <w:r>
              <w:rPr>
                <w:rFonts w:hint="eastAsia" w:ascii="仿宋" w:hAnsi="仿宋" w:eastAsia="仿宋" w:cs="仿宋"/>
                <w:color w:val="auto"/>
                <w:sz w:val="24"/>
                <w:lang w:val="en-US" w:eastAsia="zh-CN"/>
              </w:rPr>
              <w:t>17</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CD100D">
            <w:pPr>
              <w:pStyle w:val="24"/>
              <w:rPr>
                <w:rFonts w:hint="eastAsia"/>
                <w:color w:val="auto"/>
                <w:sz w:val="20"/>
                <w:szCs w:val="20"/>
                <w:highlight w:val="none"/>
              </w:rPr>
            </w:pPr>
            <w:r>
              <w:rPr>
                <w:rFonts w:hint="default" w:ascii="Times New Roman" w:hAnsi="Times New Roman" w:eastAsia="宋体" w:cs="Times New Roman"/>
                <w:color w:val="auto"/>
                <w:highlight w:val="none"/>
                <w:lang w:eastAsia="zh-CN"/>
              </w:rPr>
              <w:t>（17）</w:t>
            </w:r>
            <w:r>
              <w:rPr>
                <w:rFonts w:hint="default" w:ascii="Times New Roman" w:hAnsi="Times New Roman" w:eastAsia="宋体" w:cs="Times New Roman"/>
                <w:color w:val="auto"/>
                <w:highlight w:val="none"/>
              </w:rPr>
              <w:t>★投标人提供特殊检查项目所需要的相关耗材、知情同意书、专用申请单等。</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B238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BA35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34C08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0EDF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18</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0B16BCC">
            <w:pPr>
              <w:pStyle w:val="24"/>
              <w:rPr>
                <w:rFonts w:hint="eastAsia"/>
                <w:color w:val="auto"/>
                <w:sz w:val="20"/>
                <w:szCs w:val="20"/>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eastAsia="zh-CN"/>
              </w:rPr>
              <w:t>8</w:t>
            </w:r>
            <w:r>
              <w:rPr>
                <w:rFonts w:hint="default" w:ascii="Times New Roman" w:hAnsi="Times New Roman" w:eastAsia="宋体" w:cs="Times New Roman"/>
                <w:color w:val="auto"/>
                <w:highlight w:val="none"/>
              </w:rPr>
              <w:t>)投标方须配合并协助采购人价格调整。</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3E2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89C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5D4A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42BE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19</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86373C9">
            <w:pPr>
              <w:pStyle w:val="24"/>
              <w:rPr>
                <w:rFonts w:hint="eastAsia"/>
                <w:color w:val="auto"/>
                <w:sz w:val="20"/>
                <w:szCs w:val="20"/>
                <w:highlight w:val="none"/>
              </w:rPr>
            </w:pP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lang w:eastAsia="zh-CN"/>
              </w:rPr>
              <w:t>9</w:t>
            </w:r>
            <w:r>
              <w:rPr>
                <w:rFonts w:hint="default" w:ascii="Times New Roman" w:hAnsi="Times New Roman" w:eastAsia="宋体" w:cs="Times New Roman"/>
                <w:color w:val="auto"/>
                <w:highlight w:val="none"/>
              </w:rPr>
              <w:t>)投标人建立快速的客户服务反应机制，如有针对投标人或采购人与投标人双方的投诉或需处理的情况，投标人应派代表在</w:t>
            </w:r>
            <w:r>
              <w:rPr>
                <w:rFonts w:hint="default" w:ascii="Times New Roman" w:hAnsi="Times New Roman" w:eastAsia="宋体" w:cs="Times New Roman"/>
                <w:color w:val="auto"/>
                <w:highlight w:val="none"/>
                <w:lang w:eastAsia="zh-CN"/>
              </w:rPr>
              <w:t>12个小时</w:t>
            </w:r>
            <w:r>
              <w:rPr>
                <w:rFonts w:hint="default" w:ascii="Times New Roman" w:hAnsi="Times New Roman" w:eastAsia="宋体" w:cs="Times New Roman"/>
                <w:color w:val="auto"/>
                <w:highlight w:val="none"/>
              </w:rPr>
              <w:t>内到达医院及时沟通处理；若主要针对采购人的投诉或需处理的情况，投标人有义务协助采购人及时沟通处理。</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92352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CD6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BFF55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F7EE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20</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5C36039">
            <w:pPr>
              <w:spacing w:line="240" w:lineRule="auto"/>
              <w:ind w:left="5" w:hanging="5"/>
              <w:rPr>
                <w:rFonts w:hint="eastAsia"/>
                <w:color w:val="auto"/>
                <w:sz w:val="20"/>
                <w:szCs w:val="20"/>
                <w:highlight w:val="none"/>
              </w:rPr>
            </w:pPr>
            <w:r>
              <w:rPr>
                <w:color w:val="auto"/>
                <w:kern w:val="0"/>
                <w:sz w:val="20"/>
                <w:szCs w:val="20"/>
                <w:highlight w:val="none"/>
              </w:rPr>
              <w:t>（2</w:t>
            </w:r>
            <w:r>
              <w:rPr>
                <w:rFonts w:hint="eastAsia"/>
                <w:color w:val="auto"/>
                <w:kern w:val="0"/>
                <w:sz w:val="20"/>
                <w:szCs w:val="20"/>
                <w:highlight w:val="none"/>
              </w:rPr>
              <w:t>0</w:t>
            </w:r>
            <w:r>
              <w:rPr>
                <w:color w:val="auto"/>
                <w:kern w:val="0"/>
                <w:sz w:val="20"/>
                <w:szCs w:val="20"/>
                <w:highlight w:val="none"/>
              </w:rPr>
              <w:t>）</w:t>
            </w:r>
            <w:r>
              <w:rPr>
                <w:color w:val="auto"/>
                <w:kern w:val="0"/>
                <w:sz w:val="20"/>
                <w:szCs w:val="20"/>
                <w:highlight w:val="none"/>
                <w:lang w:eastAsia="zh-Hans"/>
              </w:rPr>
              <w:t>投标人一</w:t>
            </w:r>
            <w:r>
              <w:rPr>
                <w:color w:val="auto"/>
                <w:kern w:val="0"/>
                <w:sz w:val="20"/>
                <w:szCs w:val="20"/>
                <w:highlight w:val="none"/>
              </w:rPr>
              <w:t>旦</w:t>
            </w:r>
            <w:r>
              <w:rPr>
                <w:color w:val="auto"/>
                <w:kern w:val="0"/>
                <w:sz w:val="20"/>
                <w:szCs w:val="20"/>
                <w:highlight w:val="none"/>
                <w:lang w:eastAsia="zh-Hans"/>
              </w:rPr>
              <w:t>在本项目中获得中标资格，投标时的折扣率在服务期内不作调整。</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2C95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1D644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D58CB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296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C9AF11F">
            <w:pPr>
              <w:spacing w:line="240" w:lineRule="auto"/>
              <w:ind w:left="5" w:hanging="5"/>
              <w:rPr>
                <w:color w:val="auto"/>
                <w:kern w:val="0"/>
                <w:sz w:val="20"/>
                <w:szCs w:val="20"/>
                <w:highlight w:val="none"/>
              </w:rPr>
            </w:pPr>
            <w:r>
              <w:rPr>
                <w:color w:val="auto"/>
                <w:kern w:val="0"/>
                <w:sz w:val="20"/>
                <w:szCs w:val="20"/>
                <w:highlight w:val="none"/>
              </w:rPr>
              <w:t>（2</w:t>
            </w:r>
            <w:r>
              <w:rPr>
                <w:rFonts w:hint="eastAsia"/>
                <w:color w:val="auto"/>
                <w:kern w:val="0"/>
                <w:sz w:val="20"/>
                <w:szCs w:val="20"/>
                <w:highlight w:val="none"/>
              </w:rPr>
              <w:t>1</w:t>
            </w:r>
            <w:r>
              <w:rPr>
                <w:color w:val="auto"/>
                <w:kern w:val="0"/>
                <w:sz w:val="20"/>
                <w:szCs w:val="20"/>
                <w:highlight w:val="none"/>
              </w:rPr>
              <w:t>）</w:t>
            </w:r>
            <w:r>
              <w:rPr>
                <w:color w:val="auto"/>
                <w:kern w:val="0"/>
                <w:sz w:val="20"/>
                <w:szCs w:val="20"/>
                <w:highlight w:val="none"/>
                <w:lang w:eastAsia="zh-Hans"/>
              </w:rPr>
              <w:t>投标人实验室服务能力满足采购人需求。</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7337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6D72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5627DC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52DC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4AB9EB3">
            <w:pPr>
              <w:spacing w:line="240" w:lineRule="auto"/>
              <w:ind w:left="5" w:hanging="5"/>
              <w:rPr>
                <w:color w:val="auto"/>
                <w:kern w:val="0"/>
                <w:sz w:val="20"/>
                <w:szCs w:val="20"/>
                <w:highlight w:val="none"/>
              </w:rPr>
            </w:pPr>
            <w:r>
              <w:rPr>
                <w:color w:val="auto"/>
                <w:kern w:val="0"/>
                <w:sz w:val="20"/>
                <w:szCs w:val="20"/>
                <w:highlight w:val="none"/>
              </w:rPr>
              <w:t>（2</w:t>
            </w:r>
            <w:r>
              <w:rPr>
                <w:rFonts w:hint="eastAsia"/>
                <w:color w:val="auto"/>
                <w:kern w:val="0"/>
                <w:sz w:val="20"/>
                <w:szCs w:val="20"/>
                <w:highlight w:val="none"/>
              </w:rPr>
              <w:t>2</w:t>
            </w:r>
            <w:r>
              <w:rPr>
                <w:color w:val="auto"/>
                <w:kern w:val="0"/>
                <w:sz w:val="20"/>
                <w:szCs w:val="20"/>
                <w:highlight w:val="none"/>
              </w:rPr>
              <w:t>）</w:t>
            </w:r>
            <w:r>
              <w:rPr>
                <w:color w:val="auto"/>
                <w:kern w:val="0"/>
                <w:sz w:val="20"/>
                <w:szCs w:val="20"/>
                <w:highlight w:val="none"/>
                <w:lang w:eastAsia="zh-Hans"/>
              </w:rPr>
              <w:t>为保障医院</w:t>
            </w:r>
            <w:r>
              <w:rPr>
                <w:color w:val="auto"/>
                <w:kern w:val="0"/>
                <w:sz w:val="20"/>
                <w:szCs w:val="20"/>
                <w:highlight w:val="none"/>
              </w:rPr>
              <w:t>学科建设</w:t>
            </w:r>
            <w:r>
              <w:rPr>
                <w:color w:val="auto"/>
                <w:kern w:val="0"/>
                <w:sz w:val="20"/>
                <w:szCs w:val="20"/>
                <w:highlight w:val="none"/>
                <w:lang w:eastAsia="zh-Hans"/>
              </w:rPr>
              <w:t>的先进性与可持续性，投标人应具备持续跟踪行业技术发展、适时引进临床适用的前沿检测项目的能力。建议建立新技术与新项目定期更新机制，原则上每半年组织一次新项目推荐与评审，经医院评估确认后，可通过</w:t>
            </w:r>
            <w:r>
              <w:rPr>
                <w:color w:val="auto"/>
                <w:kern w:val="0"/>
                <w:sz w:val="20"/>
                <w:szCs w:val="20"/>
                <w:highlight w:val="none"/>
              </w:rPr>
              <w:t>补充</w:t>
            </w:r>
            <w:r>
              <w:rPr>
                <w:color w:val="auto"/>
                <w:kern w:val="0"/>
                <w:sz w:val="20"/>
                <w:szCs w:val="20"/>
                <w:highlight w:val="none"/>
                <w:lang w:eastAsia="zh-Hans"/>
              </w:rPr>
              <w:t>协议等方式予以采购，且该等新增项目不改变原合同主体条款及核心服务内容。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AC69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04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FAA51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37B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r>
              <w:rPr>
                <w:rStyle w:val="20"/>
                <w:rFonts w:hint="eastAsia" w:ascii="宋体" w:hAnsi="宋体" w:eastAsia="宋体" w:cs="宋体"/>
                <w:b w:val="0"/>
                <w:bCs w:val="0"/>
                <w:color w:val="auto"/>
                <w:kern w:val="2"/>
                <w:sz w:val="21"/>
                <w:szCs w:val="21"/>
                <w:lang w:val="en-US" w:eastAsia="zh-CN"/>
              </w:rPr>
              <w:t>五、</w:t>
            </w:r>
            <w:r>
              <w:rPr>
                <w:rStyle w:val="20"/>
                <w:rFonts w:hint="default" w:ascii="宋体" w:hAnsi="宋体" w:eastAsia="宋体" w:cs="宋体"/>
                <w:b w:val="0"/>
                <w:bCs w:val="0"/>
                <w:color w:val="auto"/>
                <w:kern w:val="2"/>
                <w:sz w:val="21"/>
                <w:szCs w:val="21"/>
                <w:lang w:val="en-US" w:eastAsia="zh-CN"/>
              </w:rPr>
              <w:t>商务要求</w:t>
            </w:r>
          </w:p>
        </w:tc>
      </w:tr>
      <w:tr w14:paraId="788F7A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DE8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498A40">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标的提供的时间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即自合同签订日起2年。当服务期满2年或合同金额累计达到预算金额993,753.60元时（以先到为准），该合同自动终⽌。在合同服务期内，采购人对中标人定期进行季度考核，如采购人对中标人所提供的服务不满意（即当季度考核结果低于80分时），采购人有权单方终止合同重新组织招标。</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A38E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3F0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0AA6A2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80B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2EF0E3">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标的提供的地点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采购人指定的地点。</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B05F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9F99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677D9A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BC398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6D1C8B">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付款方式</w:t>
            </w:r>
            <w:r>
              <w:rPr>
                <w:rFonts w:hint="eastAsia" w:ascii="宋体" w:hAnsi="宋体" w:eastAsia="宋体" w:cs="宋体"/>
                <w:color w:val="auto"/>
                <w:szCs w:val="21"/>
                <w:highlight w:val="none"/>
                <w:lang w:eastAsia="zh-CN"/>
              </w:rPr>
              <w:t>：</w:t>
            </w:r>
          </w:p>
          <w:p w14:paraId="10EFB7CA">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1、按季度结算。按照医院收费标准（《中⼭市公⽴医疗机构基本医疗服务价格项⽬》（最新版）三级）乘以折扣率后向采购⼈收取委托检验服务费⽤。</w:t>
            </w:r>
          </w:p>
          <w:p w14:paraId="45F83BAF">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2、中标结算价=各项目收费标准×对应中标折扣率。</w:t>
            </w:r>
          </w:p>
          <w:p w14:paraId="644C923B">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3、每季度的结算金额=Σ（采购服务数量×对应项目的单项目中标结算价）,中标人于每季度5 日前提供上月送检数量结算明细清单交到采购人处, 采购人收到资料审核无误后通知中标人开具增值税普通发票，采购人收到发票后90个工作日内转账支付服务费用。</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89D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085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A6E2A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DC9C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123495">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验收要求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由采购人根据合同和采购文件、投标文件组织验收。</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5F7A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B6E0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7D9FDB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AF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5</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2B12CD">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报价要求</w:t>
            </w:r>
            <w:r>
              <w:rPr>
                <w:rFonts w:hint="eastAsia" w:ascii="宋体" w:hAnsi="宋体" w:eastAsia="宋体" w:cs="宋体"/>
                <w:color w:val="auto"/>
                <w:szCs w:val="21"/>
                <w:highlight w:val="none"/>
                <w:lang w:eastAsia="zh-CN"/>
              </w:rPr>
              <w:t>：</w:t>
            </w:r>
          </w:p>
          <w:p w14:paraId="16D3FAD1">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1、投标人应按照《中山市公立医疗机构基本医疗服务价格》（最新版）三级规定的单价为准，对本项目所有检验内容提供统一的比率报价折扣，折扣率＝（采购人实际支付单价÷按收费标准的应付费用）×100％。</w:t>
            </w:r>
          </w:p>
          <w:p w14:paraId="2B600FBE">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所报的价格已包括本服务项目相关的各种人力成本、货物成本、资料费、服务费、税费、物流服务、保存装置及合同实施过程中所需的其它费用等所有成本、费用、相关税费和合理利润（以人民币为结算单位）。</w:t>
            </w:r>
          </w:p>
          <w:p w14:paraId="4316A57F">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投标人以投标折扣率进行报价，投标折扣率必须为固定报价，不能为区间值。投标报价按《中山市公立医疗机构基本医疗服务价格》（最新版）三级不高于40％投标折扣率进行报价，高于40％的投标折扣率报价将其作为无效投标处理。评标委员会认为投标人的报价明显低于其他通过资格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7B53E07">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定价依据：本次招标项目价格依据《中山市公立医疗机构基本医疗服务价格项目（最新版）》三级收费标准执行。项目清单范围涵盖并不限于已列明的具体项目，投标人须具备清单内全部项目的检测能力，并在投标文件中附《诊断项目总汇》以供核查。如中山市物价政策后续发生更新或调整，则自政策生效起相应执行新颁布的价格标准。</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E56C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7A3C3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2977D9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10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87F63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6</w:t>
            </w:r>
          </w:p>
        </w:tc>
        <w:tc>
          <w:tcPr>
            <w:tcW w:w="985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235D52">
            <w:pPr>
              <w:numPr>
                <w:ilvl w:val="0"/>
                <w:numId w:val="0"/>
              </w:numPr>
              <w:spacing w:line="440" w:lineRule="exact"/>
              <w:ind w:leftChars="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考核标准</w:t>
            </w:r>
            <w:r>
              <w:rPr>
                <w:rFonts w:hint="eastAsia" w:ascii="宋体" w:hAnsi="宋体" w:eastAsia="宋体" w:cs="宋体"/>
                <w:color w:val="auto"/>
                <w:szCs w:val="21"/>
                <w:highlight w:val="none"/>
                <w:lang w:eastAsia="zh-CN"/>
              </w:rPr>
              <w:t>：</w:t>
            </w:r>
          </w:p>
          <w:p w14:paraId="2E3AEDE9">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(1)服务期内服务项目参加国家级临床检验中心组织的室间质评并成绩合格，每年提供室间质评报告。</w:t>
            </w:r>
          </w:p>
          <w:p w14:paraId="69611CA0">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(2)服务期内服务项目按相关要求规范开展室内质控，每半年提供室内质量控制报表，质控结果满意。</w:t>
            </w:r>
          </w:p>
          <w:p w14:paraId="438765C6">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(3)服务期内可随时提供质量和技术资料，如更换试剂批号、仪器维修后、检验系统更换后的质控记录和性能验证报告等。</w:t>
            </w:r>
          </w:p>
          <w:p w14:paraId="061580ED">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(4)服务期内满足约定的质量要求和服务要求。</w:t>
            </w:r>
          </w:p>
          <w:p w14:paraId="0AAB8FAC">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(5)服务期内样本周转时间（TAT）符合要求。</w:t>
            </w:r>
          </w:p>
          <w:p w14:paraId="153E10A1">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(6)服务期内采购人每年度对投标人就约定的质量要求和服务要求进行考核，具体考核标准详见附件。</w:t>
            </w:r>
          </w:p>
          <w:p w14:paraId="6DE7FB74">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(7)服务期内采购人每季度对投标人进行一次质量考核，考核方式包括但不仅限于盲样检测、第三方比对、现场飞行检测考核等。</w:t>
            </w:r>
          </w:p>
          <w:p w14:paraId="532BB895">
            <w:pPr>
              <w:numPr>
                <w:ilvl w:val="0"/>
                <w:numId w:val="0"/>
              </w:numPr>
              <w:spacing w:line="440" w:lineRule="exact"/>
              <w:ind w:lef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★(8)服务期内中标人每年度至少向采购人提交一次质量安全报告。</w:t>
            </w:r>
          </w:p>
        </w:tc>
        <w:tc>
          <w:tcPr>
            <w:tcW w:w="183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52C3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c>
          <w:tcPr>
            <w:tcW w:w="195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282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p>
        </w:tc>
      </w:tr>
      <w:tr w14:paraId="4B6668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1365DC">
            <w:pPr>
              <w:pStyle w:val="24"/>
              <w:rPr>
                <w:rFonts w:hint="default" w:ascii="Times New Roman" w:hAnsi="Times New Roman" w:cs="Times New Roman"/>
                <w:color w:val="auto"/>
                <w:highlight w:val="none"/>
              </w:rPr>
            </w:pPr>
            <w:r>
              <w:rPr>
                <w:rFonts w:hint="eastAsia" w:ascii="Times New Roman" w:hAnsi="Times New Roman" w:cs="Times New Roman"/>
                <w:b/>
                <w:color w:val="auto"/>
                <w:sz w:val="24"/>
                <w:szCs w:val="24"/>
                <w:highlight w:val="none"/>
                <w:lang w:val="en-US" w:eastAsia="zh-CN"/>
              </w:rPr>
              <w:t xml:space="preserve">附件一 </w:t>
            </w:r>
            <w:r>
              <w:rPr>
                <w:rFonts w:hint="default" w:ascii="Times New Roman" w:hAnsi="Times New Roman" w:cs="Times New Roman"/>
                <w:b/>
                <w:color w:val="auto"/>
                <w:sz w:val="24"/>
                <w:szCs w:val="24"/>
                <w:highlight w:val="none"/>
                <w:lang w:eastAsia="zh-Hans"/>
              </w:rPr>
              <w:t>受委托实验室质量检查表</w:t>
            </w:r>
            <w:r>
              <w:rPr>
                <w:rFonts w:hint="eastAsia" w:ascii="Times New Roman" w:hAnsi="Times New Roman" w:cs="Times New Roman"/>
                <w:b/>
                <w:color w:val="auto"/>
                <w:sz w:val="24"/>
                <w:szCs w:val="24"/>
                <w:highlight w:val="none"/>
                <w:lang w:val="en-US" w:eastAsia="zh-CN"/>
              </w:rPr>
              <w:t>季度</w:t>
            </w:r>
            <w:r>
              <w:rPr>
                <w:rFonts w:hint="default" w:ascii="Times New Roman" w:hAnsi="Times New Roman" w:cs="Times New Roman"/>
                <w:b/>
                <w:color w:val="auto"/>
                <w:sz w:val="24"/>
                <w:szCs w:val="24"/>
                <w:highlight w:val="none"/>
                <w:lang w:eastAsia="zh-Hans"/>
              </w:rPr>
              <w:t>考核表</w:t>
            </w:r>
            <w:r>
              <w:rPr>
                <w:rFonts w:hint="default" w:ascii="Times New Roman" w:hAnsi="Times New Roman" w:cs="Times New Roman"/>
                <w:b/>
                <w:color w:val="auto"/>
                <w:sz w:val="24"/>
                <w:szCs w:val="24"/>
                <w:highlight w:val="none"/>
                <w:lang w:eastAsia="zh-CN"/>
              </w:rPr>
              <w:t>（     年    月）</w:t>
            </w:r>
          </w:p>
          <w:tbl>
            <w:tblPr>
              <w:tblStyle w:val="15"/>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10"/>
              <w:gridCol w:w="1810"/>
              <w:gridCol w:w="5627"/>
              <w:gridCol w:w="1210"/>
              <w:gridCol w:w="610"/>
              <w:gridCol w:w="610"/>
            </w:tblGrid>
            <w:tr w14:paraId="51ECB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E0A4A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序号</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04A2D5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考核指标</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D65F9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考核标准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0A611C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分值（分）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635E8A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得分</w:t>
                  </w:r>
                </w:p>
              </w:tc>
              <w:tc>
                <w:tcPr>
                  <w:tcW w:w="0" w:type="auto"/>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B2B941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备注</w:t>
                  </w:r>
                </w:p>
              </w:tc>
            </w:tr>
            <w:tr w14:paraId="10CC3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0E83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20C3AF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标本接收及时率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C26E19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以100%为基准，每下降1%（不足1%的按1%算），扣</w:t>
                  </w:r>
                  <w:r>
                    <w:rPr>
                      <w:rFonts w:hint="eastAsia" w:ascii="Times New Roman" w:hAnsi="Times New Roman" w:cs="Times New Roman"/>
                      <w:color w:val="auto"/>
                      <w:highlight w:val="none"/>
                      <w:lang w:val="en-US" w:eastAsia="zh-CN"/>
                    </w:rPr>
                    <w:t>2.5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0F631C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991579E">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A798DB3">
                  <w:pPr>
                    <w:pStyle w:val="24"/>
                    <w:rPr>
                      <w:rFonts w:hint="default" w:ascii="Times New Roman" w:hAnsi="Times New Roman" w:cs="Times New Roman"/>
                      <w:color w:val="auto"/>
                      <w:highlight w:val="none"/>
                    </w:rPr>
                  </w:pPr>
                </w:p>
              </w:tc>
            </w:tr>
            <w:tr w14:paraId="3666A0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DFE1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B2DBFA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报告及时率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9C66D6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以100%为基准，每下降1%（不足1%的按1%算），扣</w:t>
                  </w:r>
                  <w:r>
                    <w:rPr>
                      <w:rFonts w:hint="eastAsia" w:ascii="Times New Roman" w:hAnsi="Times New Roman" w:cs="Times New Roman"/>
                      <w:color w:val="auto"/>
                      <w:highlight w:val="none"/>
                      <w:lang w:val="en-US" w:eastAsia="zh-CN"/>
                    </w:rPr>
                    <w:t>2.5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975320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8832285">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F9A1042">
                  <w:pPr>
                    <w:pStyle w:val="24"/>
                    <w:rPr>
                      <w:rFonts w:hint="default" w:ascii="Times New Roman" w:hAnsi="Times New Roman" w:cs="Times New Roman"/>
                      <w:color w:val="auto"/>
                      <w:highlight w:val="none"/>
                    </w:rPr>
                  </w:pPr>
                </w:p>
              </w:tc>
            </w:tr>
            <w:tr w14:paraId="006251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28541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3</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BA006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报告准确率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53D82B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出现报告不准确、漏检或错检，每例扣2.5分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A9554B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A4567AF">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222A91">
                  <w:pPr>
                    <w:pStyle w:val="24"/>
                    <w:rPr>
                      <w:rFonts w:hint="default" w:ascii="Times New Roman" w:hAnsi="Times New Roman" w:cs="Times New Roman"/>
                      <w:color w:val="auto"/>
                      <w:highlight w:val="none"/>
                    </w:rPr>
                  </w:pPr>
                </w:p>
              </w:tc>
            </w:tr>
            <w:tr w14:paraId="6F0123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6BFE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4</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5C4A50">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标本丢失率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5011C5">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出现标本丢失，每例扣</w:t>
                  </w:r>
                  <w:r>
                    <w:rPr>
                      <w:rFonts w:hint="eastAsia" w:ascii="Times New Roman" w:hAnsi="Times New Roman" w:cs="Times New Roman"/>
                      <w:color w:val="auto"/>
                      <w:highlight w:val="none"/>
                      <w:lang w:val="en-US" w:eastAsia="zh-CN"/>
                    </w:rPr>
                    <w:t>5</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4BA4B720">
                  <w:pPr>
                    <w:pStyle w:val="24"/>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11F4854">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BB808F8">
                  <w:pPr>
                    <w:pStyle w:val="24"/>
                    <w:rPr>
                      <w:rFonts w:hint="default" w:ascii="Times New Roman" w:hAnsi="Times New Roman" w:cs="Times New Roman"/>
                      <w:color w:val="auto"/>
                      <w:highlight w:val="none"/>
                    </w:rPr>
                  </w:pPr>
                </w:p>
              </w:tc>
            </w:tr>
            <w:tr w14:paraId="6B046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D427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5</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8FC4868">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危急值报告及时率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671ACE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出现危急值报告不及时、漏报或错报，每例扣</w:t>
                  </w:r>
                  <w:r>
                    <w:rPr>
                      <w:rFonts w:hint="eastAsia" w:ascii="Times New Roman" w:hAnsi="Times New Roman" w:cs="Times New Roman"/>
                      <w:color w:val="auto"/>
                      <w:highlight w:val="none"/>
                      <w:lang w:val="en-US" w:eastAsia="zh-CN"/>
                    </w:rPr>
                    <w:t>10</w:t>
                  </w:r>
                  <w:r>
                    <w:rPr>
                      <w:rFonts w:hint="default" w:ascii="Times New Roman" w:hAnsi="Times New Roman" w:cs="Times New Roman"/>
                      <w:color w:val="auto"/>
                      <w:highlight w:val="none"/>
                    </w:rPr>
                    <w:t>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CB7859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DB966C8">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78B2794F">
                  <w:pPr>
                    <w:pStyle w:val="24"/>
                    <w:rPr>
                      <w:rFonts w:hint="default" w:ascii="Times New Roman" w:hAnsi="Times New Roman" w:cs="Times New Roman"/>
                      <w:color w:val="auto"/>
                      <w:highlight w:val="none"/>
                    </w:rPr>
                  </w:pPr>
                </w:p>
              </w:tc>
            </w:tr>
            <w:tr w14:paraId="4929D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EADAE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6</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4FA810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质量控制资料</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74D8759">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及时提供室内室间质量控制资料，不及时每次扣2.5分。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E9C068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0CB8BB3">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527873C6">
                  <w:pPr>
                    <w:pStyle w:val="24"/>
                    <w:rPr>
                      <w:rFonts w:hint="default" w:ascii="Times New Roman" w:hAnsi="Times New Roman" w:cs="Times New Roman"/>
                      <w:color w:val="auto"/>
                      <w:highlight w:val="none"/>
                    </w:rPr>
                  </w:pPr>
                </w:p>
              </w:tc>
            </w:tr>
            <w:tr w14:paraId="409103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E9D7D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7</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5062BA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耗材提供及时率</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98D2AC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出现耗材提供不及时,每次扣2.5分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9718B4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E90BF54">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5927722">
                  <w:pPr>
                    <w:pStyle w:val="24"/>
                    <w:rPr>
                      <w:rFonts w:hint="default" w:ascii="Times New Roman" w:hAnsi="Times New Roman" w:cs="Times New Roman"/>
                      <w:color w:val="auto"/>
                      <w:highlight w:val="none"/>
                    </w:rPr>
                  </w:pPr>
                </w:p>
              </w:tc>
            </w:tr>
            <w:tr w14:paraId="21E381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105" w:hRule="atLeast"/>
              </w:trPr>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F7D5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8</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6817D1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临床服务</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272A1F4">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及时响应客户需求，解决客户问题，不及时每次扣2.5分</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27A92D0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317B557E">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723F300">
                  <w:pPr>
                    <w:pStyle w:val="24"/>
                    <w:rPr>
                      <w:rFonts w:hint="default" w:ascii="Times New Roman" w:hAnsi="Times New Roman" w:cs="Times New Roman"/>
                      <w:color w:val="auto"/>
                      <w:highlight w:val="none"/>
                    </w:rPr>
                  </w:pPr>
                </w:p>
              </w:tc>
            </w:tr>
            <w:tr w14:paraId="58DEF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0" w:type="auto"/>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006A0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合计</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0EDB5F3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100</w:t>
                  </w: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69041955">
                  <w:pPr>
                    <w:pStyle w:val="24"/>
                    <w:rPr>
                      <w:rFonts w:hint="default" w:ascii="Times New Roman" w:hAnsi="Times New Roman" w:cs="Times New Roman"/>
                      <w:color w:val="auto"/>
                      <w:highlight w:val="none"/>
                    </w:rPr>
                  </w:pPr>
                </w:p>
              </w:tc>
              <w:tc>
                <w:tcPr>
                  <w:tcW w:w="0" w:type="auto"/>
                  <w:tcBorders>
                    <w:top w:val="nil"/>
                    <w:left w:val="nil"/>
                    <w:bottom w:val="single" w:color="000000" w:sz="4" w:space="0"/>
                    <w:right w:val="single" w:color="000000" w:sz="4" w:space="0"/>
                  </w:tcBorders>
                  <w:tcMar>
                    <w:top w:w="0" w:type="dxa"/>
                    <w:left w:w="105" w:type="dxa"/>
                    <w:bottom w:w="0" w:type="dxa"/>
                    <w:right w:w="105" w:type="dxa"/>
                  </w:tcMar>
                  <w:vAlign w:val="top"/>
                </w:tcPr>
                <w:p w14:paraId="17204CFA">
                  <w:pPr>
                    <w:pStyle w:val="24"/>
                    <w:rPr>
                      <w:rFonts w:hint="default" w:ascii="Times New Roman" w:hAnsi="Times New Roman" w:cs="Times New Roman"/>
                      <w:color w:val="auto"/>
                      <w:highlight w:val="none"/>
                    </w:rPr>
                  </w:pPr>
                </w:p>
              </w:tc>
            </w:tr>
          </w:tbl>
          <w:p w14:paraId="10699160">
            <w:pPr>
              <w:pStyle w:val="24"/>
              <w:rPr>
                <w:rFonts w:hint="default" w:ascii="Times New Roman" w:hAnsi="Times New Roman" w:cs="Times New Roman"/>
                <w:color w:val="auto"/>
                <w:highlight w:val="none"/>
              </w:rPr>
            </w:pPr>
          </w:p>
          <w:p w14:paraId="33127198">
            <w:pPr>
              <w:pStyle w:val="24"/>
              <w:rPr>
                <w:rFonts w:hint="default" w:ascii="Times New Roman" w:hAnsi="Times New Roman" w:cs="Times New Roman"/>
                <w:color w:val="auto"/>
                <w:highlight w:val="none"/>
              </w:rPr>
            </w:pPr>
          </w:p>
          <w:p w14:paraId="169B66D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被考核单位：              被考核单位陪同考核人员：</w:t>
            </w:r>
          </w:p>
          <w:p w14:paraId="4A6649D0">
            <w:pPr>
              <w:pStyle w:val="24"/>
              <w:rPr>
                <w:rFonts w:hint="default" w:ascii="Times New Roman" w:hAnsi="Times New Roman" w:cs="Times New Roman"/>
                <w:color w:val="auto"/>
                <w:highlight w:val="none"/>
              </w:rPr>
            </w:pPr>
          </w:p>
          <w:p w14:paraId="1B87C135">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考核人：        </w:t>
            </w:r>
            <w:r>
              <w:rPr>
                <w:rFonts w:hint="eastAsia"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审核人：           考核日期：</w:t>
            </w:r>
          </w:p>
          <w:p w14:paraId="3E96F76B">
            <w:pPr>
              <w:pStyle w:val="24"/>
              <w:rPr>
                <w:rFonts w:hint="default" w:ascii="Times New Roman" w:hAnsi="Times New Roman" w:cs="Times New Roman"/>
                <w:color w:val="auto"/>
                <w:highlight w:val="none"/>
              </w:rPr>
            </w:pPr>
          </w:p>
          <w:p w14:paraId="11B7E33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备注：1、本考核表满分100分。</w:t>
            </w:r>
          </w:p>
          <w:p w14:paraId="4FB2CB20">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2、</w:t>
            </w:r>
            <w:r>
              <w:rPr>
                <w:rFonts w:hint="eastAsia" w:ascii="Times New Roman" w:hAnsi="Times New Roman" w:cs="Times New Roman"/>
                <w:color w:val="auto"/>
                <w:highlight w:val="none"/>
              </w:rPr>
              <w:t>考核评分90分及以上时，不扣罚；</w:t>
            </w:r>
            <w:r>
              <w:rPr>
                <w:rFonts w:hint="eastAsia" w:ascii="Times New Roman" w:hAnsi="Times New Roman" w:cs="Times New Roman"/>
                <w:color w:val="auto"/>
                <w:highlight w:val="none"/>
                <w:lang w:val="en-US" w:eastAsia="zh-CN"/>
              </w:rPr>
              <w:t>评分≥80，且＜90分时</w:t>
            </w:r>
            <w:r>
              <w:rPr>
                <w:rFonts w:hint="eastAsia" w:ascii="Times New Roman" w:hAnsi="Times New Roman" w:cs="Times New Roman"/>
                <w:color w:val="auto"/>
                <w:highlight w:val="none"/>
              </w:rPr>
              <w:t>，</w:t>
            </w:r>
            <w:r>
              <w:rPr>
                <w:rFonts w:hint="default" w:ascii="Times New Roman" w:hAnsi="Times New Roman" w:cs="Times New Roman"/>
                <w:color w:val="auto"/>
                <w:highlight w:val="none"/>
              </w:rPr>
              <w:t>扣罚中标人次季度5％的服务费</w:t>
            </w:r>
            <w:r>
              <w:rPr>
                <w:rFonts w:hint="eastAsia" w:ascii="Times New Roman" w:hAnsi="Times New Roman" w:cs="Times New Roman"/>
                <w:color w:val="auto"/>
                <w:highlight w:val="none"/>
              </w:rPr>
              <w:t>；评分＜80分时，</w:t>
            </w:r>
            <w:r>
              <w:rPr>
                <w:rFonts w:hint="default" w:ascii="Times New Roman" w:hAnsi="Times New Roman" w:cs="Times New Roman"/>
                <w:color w:val="auto"/>
                <w:highlight w:val="none"/>
              </w:rPr>
              <w:t>采购人有权单方终止合同</w:t>
            </w:r>
            <w:r>
              <w:rPr>
                <w:rFonts w:hint="eastAsia" w:ascii="Times New Roman" w:hAnsi="Times New Roman" w:cs="Times New Roman"/>
                <w:color w:val="auto"/>
                <w:highlight w:val="none"/>
              </w:rPr>
              <w:t>并重新组织招标</w:t>
            </w:r>
            <w:r>
              <w:rPr>
                <w:rFonts w:hint="default" w:ascii="Times New Roman" w:hAnsi="Times New Roman" w:cs="Times New Roman"/>
                <w:color w:val="auto"/>
                <w:highlight w:val="none"/>
              </w:rPr>
              <w:t>。</w:t>
            </w:r>
          </w:p>
          <w:p w14:paraId="791C41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20"/>
                <w:rFonts w:hint="eastAsia" w:ascii="宋体" w:hAnsi="宋体" w:eastAsia="宋体" w:cs="宋体"/>
                <w:b w:val="0"/>
                <w:bCs w:val="0"/>
                <w:color w:val="auto"/>
                <w:kern w:val="2"/>
                <w:sz w:val="21"/>
                <w:szCs w:val="21"/>
                <w:lang w:val="en-US" w:eastAsia="zh-CN"/>
              </w:rPr>
            </w:pPr>
            <w:r>
              <w:rPr>
                <w:b/>
                <w:color w:val="auto"/>
                <w:sz w:val="24"/>
                <w:highlight w:val="none"/>
              </w:rPr>
              <w:t xml:space="preserve">考核人员：                              考核日期：  </w:t>
            </w:r>
          </w:p>
        </w:tc>
      </w:tr>
      <w:tr w14:paraId="5A558A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1465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D7A83C">
            <w:pPr>
              <w:pStyle w:val="24"/>
              <w:jc w:val="both"/>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附件二：</w:t>
            </w:r>
          </w:p>
          <w:p w14:paraId="29121673">
            <w:pPr>
              <w:pStyle w:val="24"/>
              <w:jc w:val="center"/>
              <w:rPr>
                <w:rFonts w:hint="eastAsia"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受委托实验室质量检查表</w:t>
            </w:r>
          </w:p>
          <w:p w14:paraId="7180BD21">
            <w:pPr>
              <w:jc w:val="center"/>
              <w:rPr>
                <w:rFonts w:hint="eastAsia"/>
                <w:color w:val="auto"/>
                <w:sz w:val="28"/>
                <w:szCs w:val="28"/>
                <w:highlight w:val="none"/>
              </w:rPr>
            </w:pPr>
            <w:r>
              <w:rPr>
                <w:rFonts w:hint="eastAsia"/>
                <w:color w:val="auto"/>
                <w:highlight w:val="none"/>
              </w:rPr>
              <w:t>受委托实验室：         检查日期：     年   月    日</w:t>
            </w:r>
          </w:p>
          <w:tbl>
            <w:tblPr>
              <w:tblStyle w:val="15"/>
              <w:tblW w:w="9173" w:type="dxa"/>
              <w:jc w:val="center"/>
              <w:tblLayout w:type="autofit"/>
              <w:tblCellMar>
                <w:top w:w="0" w:type="dxa"/>
                <w:left w:w="108" w:type="dxa"/>
                <w:bottom w:w="0" w:type="dxa"/>
                <w:right w:w="108" w:type="dxa"/>
              </w:tblCellMar>
            </w:tblPr>
            <w:tblGrid>
              <w:gridCol w:w="6968"/>
              <w:gridCol w:w="240"/>
              <w:gridCol w:w="934"/>
              <w:gridCol w:w="1031"/>
            </w:tblGrid>
            <w:tr w14:paraId="1004D038">
              <w:tblPrEx>
                <w:tblCellMar>
                  <w:top w:w="0" w:type="dxa"/>
                  <w:left w:w="108" w:type="dxa"/>
                  <w:bottom w:w="0" w:type="dxa"/>
                  <w:right w:w="108" w:type="dxa"/>
                </w:tblCellMar>
              </w:tblPrEx>
              <w:trPr>
                <w:trHeight w:val="152"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EF3B177">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一、实验室资质</w:t>
                  </w:r>
                </w:p>
              </w:tc>
              <w:tc>
                <w:tcPr>
                  <w:tcW w:w="1174" w:type="dxa"/>
                  <w:gridSpan w:val="2"/>
                  <w:tcBorders>
                    <w:top w:val="single" w:color="000000" w:sz="4" w:space="0"/>
                    <w:bottom w:val="single" w:color="000000" w:sz="4" w:space="0"/>
                    <w:tl2br w:val="nil"/>
                    <w:tr2bl w:val="nil"/>
                  </w:tcBorders>
                </w:tcPr>
                <w:p w14:paraId="48E56FDE">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CC93DE9">
                  <w:pPr>
                    <w:jc w:val="center"/>
                    <w:rPr>
                      <w:rFonts w:hint="eastAsia" w:ascii="宋体" w:hAnsi="宋体" w:eastAsia="宋体" w:cs="宋体"/>
                      <w:color w:val="auto"/>
                      <w:sz w:val="21"/>
                      <w:szCs w:val="21"/>
                      <w:highlight w:val="none"/>
                    </w:rPr>
                  </w:pPr>
                </w:p>
              </w:tc>
            </w:tr>
            <w:tr w14:paraId="3AD977E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DEB7D4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医疗机构执业许可证书编号及有效期：</w:t>
                  </w:r>
                </w:p>
                <w:p w14:paraId="5FE50064">
                  <w:pPr>
                    <w:ind w:firstLine="840" w:firstLineChars="400"/>
                    <w:rPr>
                      <w:rFonts w:hint="eastAsia" w:ascii="宋体" w:hAnsi="宋体" w:eastAsia="宋体" w:cs="宋体"/>
                      <w:color w:val="auto"/>
                      <w:sz w:val="21"/>
                      <w:szCs w:val="21"/>
                      <w:highlight w:val="none"/>
                    </w:rPr>
                  </w:pPr>
                </w:p>
                <w:p w14:paraId="02297B68">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7A4A4E2">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88043BC">
                  <w:pPr>
                    <w:jc w:val="center"/>
                    <w:rPr>
                      <w:rFonts w:hint="eastAsia" w:ascii="宋体" w:hAnsi="宋体" w:eastAsia="宋体" w:cs="宋体"/>
                      <w:color w:val="auto"/>
                      <w:sz w:val="21"/>
                      <w:szCs w:val="21"/>
                      <w:highlight w:val="none"/>
                    </w:rPr>
                  </w:pPr>
                </w:p>
              </w:tc>
            </w:tr>
            <w:tr w14:paraId="5B6F872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B8AF3D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医学或微生物实验室备案证书编号及有效期：</w:t>
                  </w:r>
                </w:p>
                <w:p w14:paraId="036342E6">
                  <w:pPr>
                    <w:ind w:firstLine="840" w:firstLineChars="400"/>
                    <w:rPr>
                      <w:rFonts w:hint="eastAsia" w:ascii="宋体" w:hAnsi="宋体" w:eastAsia="宋体" w:cs="宋体"/>
                      <w:color w:val="auto"/>
                      <w:sz w:val="21"/>
                      <w:szCs w:val="21"/>
                      <w:highlight w:val="none"/>
                    </w:rPr>
                  </w:pPr>
                </w:p>
                <w:p w14:paraId="038E5A2F">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653974D">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4CE96624">
                  <w:pPr>
                    <w:jc w:val="center"/>
                    <w:rPr>
                      <w:rFonts w:hint="eastAsia" w:ascii="宋体" w:hAnsi="宋体" w:eastAsia="宋体" w:cs="宋体"/>
                      <w:color w:val="auto"/>
                      <w:sz w:val="21"/>
                      <w:szCs w:val="21"/>
                      <w:highlight w:val="none"/>
                    </w:rPr>
                  </w:pPr>
                </w:p>
              </w:tc>
            </w:tr>
            <w:tr w14:paraId="336AF12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14296C5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HIV实验室备案证书编号及有效期：</w:t>
                  </w:r>
                </w:p>
                <w:p w14:paraId="01ECD36B">
                  <w:pPr>
                    <w:ind w:firstLine="840" w:firstLineChars="400"/>
                    <w:rPr>
                      <w:rFonts w:hint="eastAsia" w:ascii="宋体" w:hAnsi="宋体" w:eastAsia="宋体" w:cs="宋体"/>
                      <w:color w:val="auto"/>
                      <w:sz w:val="21"/>
                      <w:szCs w:val="21"/>
                      <w:highlight w:val="none"/>
                    </w:rPr>
                  </w:pPr>
                </w:p>
                <w:p w14:paraId="16B9ABEA">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4742CFA1">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02FB4CA">
                  <w:pPr>
                    <w:jc w:val="center"/>
                    <w:rPr>
                      <w:rFonts w:hint="eastAsia" w:ascii="宋体" w:hAnsi="宋体" w:eastAsia="宋体" w:cs="宋体"/>
                      <w:color w:val="auto"/>
                      <w:sz w:val="21"/>
                      <w:szCs w:val="21"/>
                      <w:highlight w:val="none"/>
                    </w:rPr>
                  </w:pPr>
                </w:p>
              </w:tc>
            </w:tr>
            <w:tr w14:paraId="2C42127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2B77E5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临床基因扩增检验实验室技术审核和备案证书编号及有效期：</w:t>
                  </w:r>
                </w:p>
                <w:p w14:paraId="2008F64D">
                  <w:pPr>
                    <w:ind w:firstLine="840" w:firstLineChars="400"/>
                    <w:rPr>
                      <w:rFonts w:hint="eastAsia" w:ascii="宋体" w:hAnsi="宋体" w:eastAsia="宋体" w:cs="宋体"/>
                      <w:color w:val="auto"/>
                      <w:sz w:val="21"/>
                      <w:szCs w:val="21"/>
                      <w:highlight w:val="none"/>
                    </w:rPr>
                  </w:pPr>
                </w:p>
                <w:p w14:paraId="08F6A38E">
                  <w:pPr>
                    <w:ind w:firstLine="840" w:firstLineChars="400"/>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00461C7E">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494BFF7">
                  <w:pPr>
                    <w:jc w:val="center"/>
                    <w:rPr>
                      <w:rFonts w:hint="eastAsia" w:ascii="宋体" w:hAnsi="宋体" w:eastAsia="宋体" w:cs="宋体"/>
                      <w:color w:val="auto"/>
                      <w:sz w:val="21"/>
                      <w:szCs w:val="21"/>
                      <w:highlight w:val="none"/>
                    </w:rPr>
                  </w:pPr>
                </w:p>
              </w:tc>
            </w:tr>
            <w:tr w14:paraId="174B92E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02C9DF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其他认可或认证证书编号及有效期：</w:t>
                  </w:r>
                </w:p>
              </w:tc>
              <w:tc>
                <w:tcPr>
                  <w:tcW w:w="1174" w:type="dxa"/>
                  <w:gridSpan w:val="2"/>
                  <w:tcBorders>
                    <w:top w:val="single" w:color="000000" w:sz="4" w:space="0"/>
                    <w:bottom w:val="single" w:color="000000" w:sz="4" w:space="0"/>
                    <w:tl2br w:val="nil"/>
                    <w:tr2bl w:val="nil"/>
                  </w:tcBorders>
                </w:tcPr>
                <w:p w14:paraId="6E175A3C">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BAF529E">
                  <w:pPr>
                    <w:jc w:val="center"/>
                    <w:rPr>
                      <w:rFonts w:hint="eastAsia" w:ascii="宋体" w:hAnsi="宋体" w:eastAsia="宋体" w:cs="宋体"/>
                      <w:color w:val="auto"/>
                      <w:sz w:val="21"/>
                      <w:szCs w:val="21"/>
                      <w:highlight w:val="none"/>
                    </w:rPr>
                  </w:pPr>
                </w:p>
              </w:tc>
            </w:tr>
            <w:tr w14:paraId="04C7C18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3EE5BC3">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二、实验室负责人（主任）</w:t>
                  </w:r>
                </w:p>
              </w:tc>
              <w:tc>
                <w:tcPr>
                  <w:tcW w:w="1174" w:type="dxa"/>
                  <w:gridSpan w:val="2"/>
                  <w:tcBorders>
                    <w:top w:val="single" w:color="000000" w:sz="4" w:space="0"/>
                    <w:bottom w:val="single" w:color="000000" w:sz="4" w:space="0"/>
                    <w:tl2br w:val="nil"/>
                    <w:tr2bl w:val="nil"/>
                  </w:tcBorders>
                </w:tcPr>
                <w:p w14:paraId="50703C73">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5800B31F">
                  <w:pPr>
                    <w:jc w:val="center"/>
                    <w:rPr>
                      <w:rFonts w:hint="eastAsia" w:ascii="宋体" w:hAnsi="宋体" w:eastAsia="宋体" w:cs="宋体"/>
                      <w:color w:val="auto"/>
                      <w:sz w:val="21"/>
                      <w:szCs w:val="21"/>
                      <w:highlight w:val="none"/>
                    </w:rPr>
                  </w:pPr>
                </w:p>
              </w:tc>
            </w:tr>
            <w:tr w14:paraId="0063FB7D">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1567D7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40" w:type="dxa"/>
                  <w:tcBorders>
                    <w:top w:val="single" w:color="000000" w:sz="4" w:space="0"/>
                    <w:left w:val="single" w:color="000000" w:sz="4" w:space="0"/>
                    <w:bottom w:val="single" w:color="000000" w:sz="4" w:space="0"/>
                    <w:tl2br w:val="nil"/>
                    <w:tr2bl w:val="nil"/>
                  </w:tcBorders>
                </w:tcPr>
                <w:p w14:paraId="08E492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0C330EE7">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49B0E261">
                  <w:pPr>
                    <w:jc w:val="center"/>
                    <w:rPr>
                      <w:rFonts w:hint="eastAsia" w:ascii="宋体" w:hAnsi="宋体" w:eastAsia="宋体" w:cs="宋体"/>
                      <w:color w:val="auto"/>
                      <w:sz w:val="21"/>
                      <w:szCs w:val="21"/>
                      <w:highlight w:val="none"/>
                    </w:rPr>
                  </w:pPr>
                </w:p>
              </w:tc>
            </w:tr>
            <w:tr w14:paraId="0756D079">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FE6274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任职证书或证明：</w:t>
                  </w:r>
                </w:p>
              </w:tc>
              <w:tc>
                <w:tcPr>
                  <w:tcW w:w="240" w:type="dxa"/>
                  <w:tcBorders>
                    <w:top w:val="single" w:color="000000" w:sz="4" w:space="0"/>
                    <w:left w:val="single" w:color="000000" w:sz="4" w:space="0"/>
                    <w:bottom w:val="single" w:color="000000" w:sz="4" w:space="0"/>
                    <w:tl2br w:val="nil"/>
                    <w:tr2bl w:val="nil"/>
                  </w:tcBorders>
                </w:tcPr>
                <w:p w14:paraId="582B0EF6">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70D86FB8">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46D533BA">
                  <w:pPr>
                    <w:jc w:val="center"/>
                    <w:rPr>
                      <w:rFonts w:hint="eastAsia" w:ascii="宋体" w:hAnsi="宋体" w:eastAsia="宋体" w:cs="宋体"/>
                      <w:color w:val="auto"/>
                      <w:sz w:val="21"/>
                      <w:szCs w:val="21"/>
                      <w:highlight w:val="none"/>
                    </w:rPr>
                  </w:pPr>
                </w:p>
              </w:tc>
            </w:tr>
            <w:tr w14:paraId="72ADD22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EFD1DD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   本科/博士             职称：技师/副主任技师</w:t>
                  </w:r>
                </w:p>
              </w:tc>
              <w:tc>
                <w:tcPr>
                  <w:tcW w:w="240" w:type="dxa"/>
                  <w:tcBorders>
                    <w:top w:val="single" w:color="000000" w:sz="4" w:space="0"/>
                    <w:left w:val="single" w:color="000000" w:sz="4" w:space="0"/>
                    <w:bottom w:val="single" w:color="000000" w:sz="4" w:space="0"/>
                    <w:tl2br w:val="nil"/>
                    <w:tr2bl w:val="nil"/>
                  </w:tcBorders>
                </w:tcPr>
                <w:p w14:paraId="726F13E8">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0D33D75A">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3793307D">
                  <w:pPr>
                    <w:jc w:val="center"/>
                    <w:rPr>
                      <w:rFonts w:hint="eastAsia" w:ascii="宋体" w:hAnsi="宋体" w:eastAsia="宋体" w:cs="宋体"/>
                      <w:color w:val="auto"/>
                      <w:sz w:val="21"/>
                      <w:szCs w:val="21"/>
                      <w:highlight w:val="none"/>
                    </w:rPr>
                  </w:pPr>
                </w:p>
              </w:tc>
            </w:tr>
            <w:tr w14:paraId="7120FA6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A844E4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工作性质：□全职； □兼职； □顾问</w:t>
                  </w:r>
                </w:p>
              </w:tc>
              <w:tc>
                <w:tcPr>
                  <w:tcW w:w="240" w:type="dxa"/>
                  <w:tcBorders>
                    <w:top w:val="single" w:color="000000" w:sz="4" w:space="0"/>
                    <w:left w:val="single" w:color="000000" w:sz="4" w:space="0"/>
                    <w:bottom w:val="single" w:color="000000" w:sz="4" w:space="0"/>
                    <w:tl2br w:val="nil"/>
                    <w:tr2bl w:val="nil"/>
                  </w:tcBorders>
                </w:tcPr>
                <w:p w14:paraId="7E32E1DA">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117DC03A">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5C8F2AFF">
                  <w:pPr>
                    <w:jc w:val="center"/>
                    <w:rPr>
                      <w:rFonts w:hint="eastAsia" w:ascii="宋体" w:hAnsi="宋体" w:eastAsia="宋体" w:cs="宋体"/>
                      <w:color w:val="auto"/>
                      <w:sz w:val="21"/>
                      <w:szCs w:val="21"/>
                      <w:highlight w:val="none"/>
                    </w:rPr>
                  </w:pPr>
                </w:p>
              </w:tc>
            </w:tr>
            <w:tr w14:paraId="7845F4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1DE80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三、实验室工作人员</w:t>
                  </w:r>
                </w:p>
              </w:tc>
              <w:tc>
                <w:tcPr>
                  <w:tcW w:w="1174" w:type="dxa"/>
                  <w:gridSpan w:val="2"/>
                  <w:tcBorders>
                    <w:top w:val="single" w:color="000000" w:sz="4" w:space="0"/>
                    <w:bottom w:val="single" w:color="000000" w:sz="4" w:space="0"/>
                    <w:tl2br w:val="nil"/>
                    <w:tr2bl w:val="nil"/>
                  </w:tcBorders>
                </w:tcPr>
                <w:p w14:paraId="06B14D38">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8FA0471">
                  <w:pPr>
                    <w:jc w:val="center"/>
                    <w:rPr>
                      <w:rFonts w:hint="eastAsia" w:ascii="宋体" w:hAnsi="宋体" w:eastAsia="宋体" w:cs="宋体"/>
                      <w:color w:val="auto"/>
                      <w:sz w:val="21"/>
                      <w:szCs w:val="21"/>
                      <w:highlight w:val="none"/>
                    </w:rPr>
                  </w:pPr>
                </w:p>
              </w:tc>
            </w:tr>
            <w:tr w14:paraId="6F7E1F16">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31D38D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有无主要技术负责人的简历</w:t>
                  </w:r>
                </w:p>
              </w:tc>
              <w:tc>
                <w:tcPr>
                  <w:tcW w:w="240" w:type="dxa"/>
                  <w:tcBorders>
                    <w:top w:val="single" w:color="000000" w:sz="4" w:space="0"/>
                    <w:left w:val="single" w:color="000000" w:sz="4" w:space="0"/>
                    <w:bottom w:val="single" w:color="000000" w:sz="4" w:space="0"/>
                    <w:tl2br w:val="nil"/>
                    <w:tr2bl w:val="nil"/>
                  </w:tcBorders>
                </w:tcPr>
                <w:p w14:paraId="6B90C9D5">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74BBF0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4955E3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186CC97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0243B2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高级技术人员： ；中级技术人员： 名；初级技术人员： 名</w:t>
                  </w:r>
                </w:p>
              </w:tc>
              <w:tc>
                <w:tcPr>
                  <w:tcW w:w="1174" w:type="dxa"/>
                  <w:gridSpan w:val="2"/>
                  <w:tcBorders>
                    <w:top w:val="single" w:color="000000" w:sz="4" w:space="0"/>
                    <w:bottom w:val="single" w:color="000000" w:sz="4" w:space="0"/>
                    <w:tl2br w:val="nil"/>
                    <w:tr2bl w:val="nil"/>
                  </w:tcBorders>
                  <w:vAlign w:val="center"/>
                </w:tcPr>
                <w:p w14:paraId="09BE9D97">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0CB5B374">
                  <w:pPr>
                    <w:jc w:val="center"/>
                    <w:rPr>
                      <w:rFonts w:hint="eastAsia" w:ascii="宋体" w:hAnsi="宋体" w:eastAsia="宋体" w:cs="宋体"/>
                      <w:color w:val="auto"/>
                      <w:sz w:val="21"/>
                      <w:szCs w:val="21"/>
                      <w:highlight w:val="none"/>
                    </w:rPr>
                  </w:pPr>
                </w:p>
              </w:tc>
            </w:tr>
            <w:tr w14:paraId="4407E14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003DE1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全职技术人员总数： 名；</w:t>
                  </w:r>
                </w:p>
              </w:tc>
              <w:tc>
                <w:tcPr>
                  <w:tcW w:w="240" w:type="dxa"/>
                  <w:tcBorders>
                    <w:top w:val="single" w:color="000000" w:sz="4" w:space="0"/>
                    <w:left w:val="single" w:color="000000" w:sz="4" w:space="0"/>
                    <w:bottom w:val="single" w:color="000000" w:sz="4" w:space="0"/>
                    <w:tl2br w:val="nil"/>
                    <w:tr2bl w:val="nil"/>
                  </w:tcBorders>
                </w:tcPr>
                <w:p w14:paraId="46B1617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tcPr>
                <w:p w14:paraId="37201195">
                  <w:pPr>
                    <w:jc w:val="center"/>
                    <w:rPr>
                      <w:rFonts w:hint="eastAsia" w:ascii="宋体" w:hAnsi="宋体" w:eastAsia="宋体" w:cs="宋体"/>
                      <w:color w:val="auto"/>
                      <w:sz w:val="21"/>
                      <w:szCs w:val="21"/>
                      <w:highlight w:val="none"/>
                    </w:rPr>
                  </w:pPr>
                </w:p>
              </w:tc>
              <w:tc>
                <w:tcPr>
                  <w:tcW w:w="1031" w:type="dxa"/>
                  <w:tcBorders>
                    <w:top w:val="single" w:color="000000" w:sz="4" w:space="0"/>
                    <w:left w:val="single" w:color="000000" w:sz="4" w:space="0"/>
                    <w:bottom w:val="single" w:color="000000" w:sz="4" w:space="0"/>
                    <w:right w:val="single" w:color="000000" w:sz="4" w:space="0"/>
                    <w:tl2br w:val="nil"/>
                    <w:tr2bl w:val="nil"/>
                  </w:tcBorders>
                </w:tcPr>
                <w:p w14:paraId="3549ECAB">
                  <w:pPr>
                    <w:jc w:val="center"/>
                    <w:rPr>
                      <w:rFonts w:hint="eastAsia" w:ascii="宋体" w:hAnsi="宋体" w:eastAsia="宋体" w:cs="宋体"/>
                      <w:color w:val="auto"/>
                      <w:sz w:val="21"/>
                      <w:szCs w:val="21"/>
                      <w:highlight w:val="none"/>
                    </w:rPr>
                  </w:pPr>
                </w:p>
              </w:tc>
            </w:tr>
            <w:tr w14:paraId="371C69F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EF7A53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实验室在工作时间内是否有高级技术人员指导工作</w:t>
                  </w:r>
                </w:p>
              </w:tc>
              <w:tc>
                <w:tcPr>
                  <w:tcW w:w="240" w:type="dxa"/>
                  <w:tcBorders>
                    <w:top w:val="single" w:color="000000" w:sz="4" w:space="0"/>
                    <w:left w:val="single" w:color="000000" w:sz="4" w:space="0"/>
                    <w:bottom w:val="single" w:color="000000" w:sz="4" w:space="0"/>
                    <w:tl2br w:val="nil"/>
                    <w:tr2bl w:val="nil"/>
                  </w:tcBorders>
                </w:tcPr>
                <w:p w14:paraId="25B5878A">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16DBEE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6617CA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AC025B1">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237C0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现场检查时，实验室有否指定人员陪同检查</w:t>
                  </w:r>
                </w:p>
              </w:tc>
              <w:tc>
                <w:tcPr>
                  <w:tcW w:w="240" w:type="dxa"/>
                  <w:tcBorders>
                    <w:top w:val="single" w:color="000000" w:sz="4" w:space="0"/>
                    <w:left w:val="single" w:color="000000" w:sz="4" w:space="0"/>
                    <w:bottom w:val="single" w:color="000000" w:sz="4" w:space="0"/>
                    <w:tl2br w:val="nil"/>
                    <w:tr2bl w:val="nil"/>
                  </w:tcBorders>
                </w:tcPr>
                <w:p w14:paraId="09959A35">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F49DA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51705E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8323DF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C5A402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技术人员是否具有相应的专业知识，并有相关证明</w:t>
                  </w:r>
                </w:p>
              </w:tc>
              <w:tc>
                <w:tcPr>
                  <w:tcW w:w="240" w:type="dxa"/>
                  <w:tcBorders>
                    <w:top w:val="single" w:color="000000" w:sz="4" w:space="0"/>
                    <w:left w:val="single" w:color="000000" w:sz="4" w:space="0"/>
                    <w:bottom w:val="single" w:color="000000" w:sz="4" w:space="0"/>
                    <w:tl2br w:val="nil"/>
                    <w:tr2bl w:val="nil"/>
                  </w:tcBorders>
                </w:tcPr>
                <w:p w14:paraId="255A4B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ED640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B4D23E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1BBE3C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7BA1D86">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技术人员是否接受继续医学教育并有相应文件规定</w:t>
                  </w:r>
                </w:p>
              </w:tc>
              <w:tc>
                <w:tcPr>
                  <w:tcW w:w="240" w:type="dxa"/>
                  <w:tcBorders>
                    <w:top w:val="single" w:color="000000" w:sz="4" w:space="0"/>
                    <w:left w:val="single" w:color="000000" w:sz="4" w:space="0"/>
                    <w:bottom w:val="single" w:color="000000" w:sz="4" w:space="0"/>
                    <w:tl2br w:val="nil"/>
                    <w:tr2bl w:val="nil"/>
                  </w:tcBorders>
                </w:tcPr>
                <w:p w14:paraId="0E7F2A48">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E511F8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7897C2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0A2899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00C62D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四、实验室环境与设备、试剂、耗材</w:t>
                  </w:r>
                </w:p>
              </w:tc>
              <w:tc>
                <w:tcPr>
                  <w:tcW w:w="1174" w:type="dxa"/>
                  <w:gridSpan w:val="2"/>
                  <w:tcBorders>
                    <w:top w:val="single" w:color="000000" w:sz="4" w:space="0"/>
                    <w:bottom w:val="single" w:color="000000" w:sz="4" w:space="0"/>
                    <w:tl2br w:val="nil"/>
                    <w:tr2bl w:val="nil"/>
                  </w:tcBorders>
                </w:tcPr>
                <w:p w14:paraId="7CDD8087">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13DEE021">
                  <w:pPr>
                    <w:jc w:val="center"/>
                    <w:rPr>
                      <w:rFonts w:hint="eastAsia" w:ascii="宋体" w:hAnsi="宋体" w:eastAsia="宋体" w:cs="宋体"/>
                      <w:color w:val="auto"/>
                      <w:sz w:val="21"/>
                      <w:szCs w:val="21"/>
                      <w:highlight w:val="none"/>
                    </w:rPr>
                  </w:pPr>
                </w:p>
              </w:tc>
            </w:tr>
            <w:tr w14:paraId="41C7C08D">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0FBB3C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实验室是否具备开展工作的环境与设施</w:t>
                  </w:r>
                </w:p>
              </w:tc>
              <w:tc>
                <w:tcPr>
                  <w:tcW w:w="240" w:type="dxa"/>
                  <w:tcBorders>
                    <w:top w:val="single" w:color="000000" w:sz="4" w:space="0"/>
                    <w:left w:val="single" w:color="000000" w:sz="4" w:space="0"/>
                    <w:bottom w:val="single" w:color="000000" w:sz="4" w:space="0"/>
                    <w:tl2br w:val="nil"/>
                    <w:tr2bl w:val="nil"/>
                  </w:tcBorders>
                </w:tcPr>
                <w:p w14:paraId="4082D27C">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47AE80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90A38F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F74AC8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26885A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实验室是否定期开展安全风险评估</w:t>
                  </w:r>
                </w:p>
              </w:tc>
              <w:tc>
                <w:tcPr>
                  <w:tcW w:w="240" w:type="dxa"/>
                  <w:tcBorders>
                    <w:top w:val="single" w:color="000000" w:sz="4" w:space="0"/>
                    <w:left w:val="single" w:color="000000" w:sz="4" w:space="0"/>
                    <w:bottom w:val="single" w:color="000000" w:sz="4" w:space="0"/>
                    <w:tl2br w:val="nil"/>
                    <w:tr2bl w:val="nil"/>
                  </w:tcBorders>
                </w:tcPr>
                <w:p w14:paraId="46A3D477">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C08AF4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33EA2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5410ED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95DE57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实验室的清洁卫生、安全防护是否达标</w:t>
                  </w:r>
                </w:p>
              </w:tc>
              <w:tc>
                <w:tcPr>
                  <w:tcW w:w="240" w:type="dxa"/>
                  <w:tcBorders>
                    <w:top w:val="single" w:color="000000" w:sz="4" w:space="0"/>
                    <w:left w:val="single" w:color="000000" w:sz="4" w:space="0"/>
                    <w:bottom w:val="single" w:color="000000" w:sz="4" w:space="0"/>
                    <w:tl2br w:val="nil"/>
                    <w:tr2bl w:val="nil"/>
                  </w:tcBorders>
                </w:tcPr>
                <w:p w14:paraId="6473001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F9CB9A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BFC8A6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F8657D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963F35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实验室是否具备完整的设备、试剂与耗材管理程序</w:t>
                  </w:r>
                </w:p>
              </w:tc>
              <w:tc>
                <w:tcPr>
                  <w:tcW w:w="240" w:type="dxa"/>
                  <w:tcBorders>
                    <w:top w:val="single" w:color="000000" w:sz="4" w:space="0"/>
                    <w:left w:val="single" w:color="000000" w:sz="4" w:space="0"/>
                    <w:bottom w:val="single" w:color="000000" w:sz="4" w:space="0"/>
                    <w:tl2br w:val="nil"/>
                    <w:tr2bl w:val="nil"/>
                  </w:tcBorders>
                </w:tcPr>
                <w:p w14:paraId="249EA32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590BE7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CD42AC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B34AAA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22D8B4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五、室内质量控制活动</w:t>
                  </w:r>
                </w:p>
              </w:tc>
              <w:tc>
                <w:tcPr>
                  <w:tcW w:w="1174" w:type="dxa"/>
                  <w:gridSpan w:val="2"/>
                  <w:tcBorders>
                    <w:top w:val="single" w:color="000000" w:sz="4" w:space="0"/>
                    <w:bottom w:val="single" w:color="000000" w:sz="4" w:space="0"/>
                    <w:tl2br w:val="nil"/>
                    <w:tr2bl w:val="nil"/>
                  </w:tcBorders>
                </w:tcPr>
                <w:p w14:paraId="2156842A">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E6C2B38">
                  <w:pPr>
                    <w:jc w:val="center"/>
                    <w:rPr>
                      <w:rFonts w:hint="eastAsia" w:ascii="宋体" w:hAnsi="宋体" w:eastAsia="宋体" w:cs="宋体"/>
                      <w:color w:val="auto"/>
                      <w:sz w:val="21"/>
                      <w:szCs w:val="21"/>
                      <w:highlight w:val="none"/>
                    </w:rPr>
                  </w:pPr>
                </w:p>
              </w:tc>
            </w:tr>
            <w:tr w14:paraId="3D40340B">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69D313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实验室是否有完整的室内质量控制文件体系</w:t>
                  </w:r>
                </w:p>
              </w:tc>
              <w:tc>
                <w:tcPr>
                  <w:tcW w:w="240" w:type="dxa"/>
                  <w:tcBorders>
                    <w:top w:val="single" w:color="000000" w:sz="4" w:space="0"/>
                    <w:left w:val="single" w:color="000000" w:sz="4" w:space="0"/>
                    <w:bottom w:val="single" w:color="000000" w:sz="4" w:space="0"/>
                    <w:tl2br w:val="nil"/>
                    <w:tr2bl w:val="nil"/>
                  </w:tcBorders>
                </w:tcPr>
                <w:p w14:paraId="76220357">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ACE1E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F72471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E4CB59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14E087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实验室检验操作的作业指导书（ SOP）是否规范</w:t>
                  </w:r>
                </w:p>
              </w:tc>
              <w:tc>
                <w:tcPr>
                  <w:tcW w:w="240" w:type="dxa"/>
                  <w:tcBorders>
                    <w:top w:val="single" w:color="000000" w:sz="4" w:space="0"/>
                    <w:left w:val="single" w:color="000000" w:sz="4" w:space="0"/>
                    <w:bottom w:val="single" w:color="000000" w:sz="4" w:space="0"/>
                    <w:tl2br w:val="nil"/>
                    <w:tr2bl w:val="nil"/>
                  </w:tcBorders>
                </w:tcPr>
                <w:p w14:paraId="1D0621E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D1543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53BAD2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51D7099">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4572C5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分析系统（试剂、校准物、质控物、仪器和方法）是否符合标本检测的需要</w:t>
                  </w:r>
                </w:p>
              </w:tc>
              <w:tc>
                <w:tcPr>
                  <w:tcW w:w="240" w:type="dxa"/>
                  <w:tcBorders>
                    <w:top w:val="single" w:color="000000" w:sz="4" w:space="0"/>
                    <w:left w:val="single" w:color="000000" w:sz="4" w:space="0"/>
                    <w:bottom w:val="single" w:color="000000" w:sz="4" w:space="0"/>
                    <w:tl2br w:val="nil"/>
                    <w:tr2bl w:val="nil"/>
                  </w:tcBorders>
                </w:tcPr>
                <w:p w14:paraId="0C7D62F2">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3624B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62BC8F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45E2DEC">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FEEBBD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校准物和质控物使用的频率是否合理，并有文件规定</w:t>
                  </w:r>
                </w:p>
              </w:tc>
              <w:tc>
                <w:tcPr>
                  <w:tcW w:w="240" w:type="dxa"/>
                  <w:tcBorders>
                    <w:top w:val="single" w:color="000000" w:sz="4" w:space="0"/>
                    <w:left w:val="single" w:color="000000" w:sz="4" w:space="0"/>
                    <w:bottom w:val="single" w:color="000000" w:sz="4" w:space="0"/>
                    <w:tl2br w:val="nil"/>
                    <w:tr2bl w:val="nil"/>
                  </w:tcBorders>
                </w:tcPr>
                <w:p w14:paraId="7ED16AA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136A888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3CD5AF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5C40CA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FE237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检验项目是否建立了失控规则</w:t>
                  </w:r>
                </w:p>
              </w:tc>
              <w:tc>
                <w:tcPr>
                  <w:tcW w:w="240" w:type="dxa"/>
                  <w:tcBorders>
                    <w:top w:val="single" w:color="000000" w:sz="4" w:space="0"/>
                    <w:left w:val="single" w:color="000000" w:sz="4" w:space="0"/>
                    <w:bottom w:val="single" w:color="000000" w:sz="4" w:space="0"/>
                    <w:tl2br w:val="nil"/>
                    <w:tr2bl w:val="nil"/>
                  </w:tcBorders>
                </w:tcPr>
                <w:p w14:paraId="5279568E">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396A97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979C48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CCC27C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AF660E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实验室是否有失控时的处理程序</w:t>
                  </w:r>
                </w:p>
              </w:tc>
              <w:tc>
                <w:tcPr>
                  <w:tcW w:w="240" w:type="dxa"/>
                  <w:tcBorders>
                    <w:top w:val="single" w:color="000000" w:sz="4" w:space="0"/>
                    <w:left w:val="single" w:color="000000" w:sz="4" w:space="0"/>
                    <w:bottom w:val="single" w:color="000000" w:sz="4" w:space="0"/>
                    <w:tl2br w:val="nil"/>
                    <w:tr2bl w:val="nil"/>
                  </w:tcBorders>
                </w:tcPr>
                <w:p w14:paraId="3DF8C2ED">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60143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B137C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958267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4D4E4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是否对质控结果或数据进行统计分析</w:t>
                  </w:r>
                </w:p>
              </w:tc>
              <w:tc>
                <w:tcPr>
                  <w:tcW w:w="240" w:type="dxa"/>
                  <w:tcBorders>
                    <w:top w:val="single" w:color="000000" w:sz="4" w:space="0"/>
                    <w:left w:val="single" w:color="000000" w:sz="4" w:space="0"/>
                    <w:bottom w:val="single" w:color="000000" w:sz="4" w:space="0"/>
                    <w:tl2br w:val="nil"/>
                    <w:tr2bl w:val="nil"/>
                  </w:tcBorders>
                </w:tcPr>
                <w:p w14:paraId="4F3A24C0">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087801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976A23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E257B3C">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032C547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分析设备是否有定期维护并有相应记录</w:t>
                  </w:r>
                </w:p>
              </w:tc>
              <w:tc>
                <w:tcPr>
                  <w:tcW w:w="240" w:type="dxa"/>
                  <w:tcBorders>
                    <w:top w:val="single" w:color="000000" w:sz="4" w:space="0"/>
                    <w:left w:val="single" w:color="000000" w:sz="4" w:space="0"/>
                    <w:bottom w:val="single" w:color="000000" w:sz="4" w:space="0"/>
                    <w:tl2br w:val="nil"/>
                    <w:tr2bl w:val="nil"/>
                  </w:tcBorders>
                </w:tcPr>
                <w:p w14:paraId="2F4DE21E">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2621E5F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84E07B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645784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A75F2E0">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六、室间质量评价</w:t>
                  </w:r>
                </w:p>
              </w:tc>
              <w:tc>
                <w:tcPr>
                  <w:tcW w:w="1174" w:type="dxa"/>
                  <w:gridSpan w:val="2"/>
                  <w:tcBorders>
                    <w:top w:val="single" w:color="000000" w:sz="4" w:space="0"/>
                    <w:bottom w:val="single" w:color="000000" w:sz="4" w:space="0"/>
                    <w:tl2br w:val="nil"/>
                    <w:tr2bl w:val="nil"/>
                  </w:tcBorders>
                </w:tcPr>
                <w:p w14:paraId="7E3E4A09">
                  <w:pP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DC3212A">
                  <w:pPr>
                    <w:jc w:val="center"/>
                    <w:rPr>
                      <w:rFonts w:hint="eastAsia" w:ascii="宋体" w:hAnsi="宋体" w:eastAsia="宋体" w:cs="宋体"/>
                      <w:color w:val="auto"/>
                      <w:sz w:val="21"/>
                      <w:szCs w:val="21"/>
                      <w:highlight w:val="none"/>
                    </w:rPr>
                  </w:pPr>
                </w:p>
              </w:tc>
            </w:tr>
            <w:tr w14:paraId="01C60F7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D0DC35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室间质评结果是否有审核</w:t>
                  </w:r>
                </w:p>
              </w:tc>
              <w:tc>
                <w:tcPr>
                  <w:tcW w:w="240" w:type="dxa"/>
                  <w:tcBorders>
                    <w:top w:val="single" w:color="000000" w:sz="4" w:space="0"/>
                    <w:left w:val="single" w:color="000000" w:sz="4" w:space="0"/>
                    <w:bottom w:val="single" w:color="000000" w:sz="4" w:space="0"/>
                    <w:tl2br w:val="nil"/>
                    <w:tr2bl w:val="nil"/>
                  </w:tcBorders>
                </w:tcPr>
                <w:p w14:paraId="6E59ECC4">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74F1FB0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E07D88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B9EA5A9">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2135D0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室间质评结果 “不满意 ”或 “不及格 ”时，是否有适当的纠正措施并限期改进</w:t>
                  </w:r>
                </w:p>
              </w:tc>
              <w:tc>
                <w:tcPr>
                  <w:tcW w:w="240" w:type="dxa"/>
                  <w:tcBorders>
                    <w:top w:val="single" w:color="000000" w:sz="4" w:space="0"/>
                    <w:left w:val="single" w:color="000000" w:sz="4" w:space="0"/>
                    <w:bottom w:val="single" w:color="000000" w:sz="4" w:space="0"/>
                    <w:tl2br w:val="nil"/>
                    <w:tr2bl w:val="nil"/>
                  </w:tcBorders>
                </w:tcPr>
                <w:p w14:paraId="1CCC0B1B">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0F9115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287AA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3699DD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6F9947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实验室是否同意将标本送其他实验室进行比对</w:t>
                  </w:r>
                </w:p>
              </w:tc>
              <w:tc>
                <w:tcPr>
                  <w:tcW w:w="240" w:type="dxa"/>
                  <w:tcBorders>
                    <w:top w:val="single" w:color="000000" w:sz="4" w:space="0"/>
                    <w:left w:val="single" w:color="000000" w:sz="4" w:space="0"/>
                    <w:bottom w:val="single" w:color="000000" w:sz="4" w:space="0"/>
                    <w:tl2br w:val="nil"/>
                    <w:tr2bl w:val="nil"/>
                  </w:tcBorders>
                </w:tcPr>
                <w:p w14:paraId="51C0D8E6">
                  <w:pPr>
                    <w:rPr>
                      <w:rFonts w:hint="eastAsia" w:ascii="宋体" w:hAnsi="宋体" w:eastAsia="宋体" w:cs="宋体"/>
                      <w:color w:val="auto"/>
                      <w:sz w:val="21"/>
                      <w:szCs w:val="21"/>
                      <w:highlight w:val="none"/>
                    </w:rPr>
                  </w:pPr>
                </w:p>
              </w:tc>
              <w:tc>
                <w:tcPr>
                  <w:tcW w:w="934" w:type="dxa"/>
                  <w:tcBorders>
                    <w:top w:val="single" w:color="000000" w:sz="4" w:space="0"/>
                    <w:bottom w:val="single" w:color="000000" w:sz="4" w:space="0"/>
                    <w:right w:val="single" w:color="000000" w:sz="4" w:space="0"/>
                    <w:tl2br w:val="nil"/>
                    <w:tr2bl w:val="nil"/>
                  </w:tcBorders>
                  <w:vAlign w:val="center"/>
                </w:tcPr>
                <w:p w14:paraId="4C0B29D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4DCBE8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B3135B5">
              <w:tblPrEx>
                <w:tblCellMar>
                  <w:top w:w="0" w:type="dxa"/>
                  <w:left w:w="108" w:type="dxa"/>
                  <w:bottom w:w="0" w:type="dxa"/>
                  <w:right w:w="108" w:type="dxa"/>
                </w:tblCellMar>
              </w:tblPrEx>
              <w:trPr>
                <w:trHeight w:val="152"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B23D08">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七、诚信度</w:t>
                  </w:r>
                </w:p>
              </w:tc>
              <w:tc>
                <w:tcPr>
                  <w:tcW w:w="1174" w:type="dxa"/>
                  <w:gridSpan w:val="2"/>
                  <w:tcBorders>
                    <w:top w:val="single" w:color="000000" w:sz="4" w:space="0"/>
                    <w:bottom w:val="single" w:color="000000" w:sz="4" w:space="0"/>
                    <w:tl2br w:val="nil"/>
                    <w:tr2bl w:val="nil"/>
                  </w:tcBorders>
                </w:tcPr>
                <w:p w14:paraId="352A0471">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8668B38">
                  <w:pPr>
                    <w:jc w:val="center"/>
                    <w:rPr>
                      <w:rFonts w:hint="eastAsia" w:ascii="宋体" w:hAnsi="宋体" w:eastAsia="宋体" w:cs="宋体"/>
                      <w:color w:val="auto"/>
                      <w:sz w:val="21"/>
                      <w:szCs w:val="21"/>
                      <w:highlight w:val="none"/>
                    </w:rPr>
                  </w:pPr>
                </w:p>
              </w:tc>
            </w:tr>
            <w:tr w14:paraId="57CE26C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41FA0C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实验室是否提供其客户名单供联络或咨询</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BFFE16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AF759D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3FA7A45">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B4D520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实验室已提供服务的年限：     年</w:t>
                  </w:r>
                </w:p>
              </w:tc>
              <w:tc>
                <w:tcPr>
                  <w:tcW w:w="1174" w:type="dxa"/>
                  <w:gridSpan w:val="2"/>
                  <w:tcBorders>
                    <w:top w:val="single" w:color="000000" w:sz="4" w:space="0"/>
                    <w:bottom w:val="single" w:color="000000" w:sz="4" w:space="0"/>
                    <w:tl2br w:val="nil"/>
                    <w:tr2bl w:val="nil"/>
                  </w:tcBorders>
                </w:tcPr>
                <w:p w14:paraId="0AEC8BBD">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21E86E87">
                  <w:pPr>
                    <w:jc w:val="center"/>
                    <w:rPr>
                      <w:rFonts w:hint="eastAsia" w:ascii="宋体" w:hAnsi="宋体" w:eastAsia="宋体" w:cs="宋体"/>
                      <w:color w:val="auto"/>
                      <w:sz w:val="21"/>
                      <w:szCs w:val="21"/>
                      <w:highlight w:val="none"/>
                    </w:rPr>
                  </w:pPr>
                </w:p>
              </w:tc>
            </w:tr>
            <w:tr w14:paraId="2EB9FD5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5D399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客户类型（如：医院、诊所、体检中心等）：</w:t>
                  </w:r>
                </w:p>
              </w:tc>
              <w:tc>
                <w:tcPr>
                  <w:tcW w:w="1174" w:type="dxa"/>
                  <w:gridSpan w:val="2"/>
                  <w:tcBorders>
                    <w:top w:val="single" w:color="000000" w:sz="4" w:space="0"/>
                    <w:bottom w:val="single" w:color="000000" w:sz="4" w:space="0"/>
                    <w:tl2br w:val="nil"/>
                    <w:tr2bl w:val="nil"/>
                  </w:tcBorders>
                </w:tcPr>
                <w:p w14:paraId="6AE16610">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7D544CA">
                  <w:pPr>
                    <w:jc w:val="center"/>
                    <w:rPr>
                      <w:rFonts w:hint="eastAsia" w:ascii="宋体" w:hAnsi="宋体" w:eastAsia="宋体" w:cs="宋体"/>
                      <w:color w:val="auto"/>
                      <w:sz w:val="21"/>
                      <w:szCs w:val="21"/>
                      <w:highlight w:val="none"/>
                    </w:rPr>
                  </w:pPr>
                </w:p>
              </w:tc>
            </w:tr>
            <w:tr w14:paraId="71B2027E">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7700DF1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客户满意度： □差； □中； □良； □优</w:t>
                  </w:r>
                </w:p>
              </w:tc>
              <w:tc>
                <w:tcPr>
                  <w:tcW w:w="1174" w:type="dxa"/>
                  <w:gridSpan w:val="2"/>
                  <w:tcBorders>
                    <w:top w:val="single" w:color="000000" w:sz="4" w:space="0"/>
                    <w:bottom w:val="single" w:color="000000" w:sz="4" w:space="0"/>
                    <w:tl2br w:val="nil"/>
                    <w:tr2bl w:val="nil"/>
                  </w:tcBorders>
                </w:tcPr>
                <w:p w14:paraId="0B94FF0A">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66A3C271">
                  <w:pPr>
                    <w:jc w:val="center"/>
                    <w:rPr>
                      <w:rFonts w:hint="eastAsia" w:ascii="宋体" w:hAnsi="宋体" w:eastAsia="宋体" w:cs="宋体"/>
                      <w:color w:val="auto"/>
                      <w:sz w:val="21"/>
                      <w:szCs w:val="21"/>
                      <w:highlight w:val="none"/>
                    </w:rPr>
                  </w:pPr>
                </w:p>
              </w:tc>
            </w:tr>
            <w:tr w14:paraId="44D4DB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FCEC02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实验室是否有措施保证客户满意度</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E7461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1E50EB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6307A47">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5FE94E7E">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八、受委托服务效率</w:t>
                  </w:r>
                </w:p>
              </w:tc>
              <w:tc>
                <w:tcPr>
                  <w:tcW w:w="1174" w:type="dxa"/>
                  <w:gridSpan w:val="2"/>
                  <w:tcBorders>
                    <w:top w:val="single" w:color="000000" w:sz="4" w:space="0"/>
                    <w:bottom w:val="single" w:color="000000" w:sz="4" w:space="0"/>
                    <w:tl2br w:val="nil"/>
                    <w:tr2bl w:val="nil"/>
                  </w:tcBorders>
                </w:tcPr>
                <w:p w14:paraId="2789A660">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001F677">
                  <w:pPr>
                    <w:jc w:val="center"/>
                    <w:rPr>
                      <w:rFonts w:hint="eastAsia" w:ascii="宋体" w:hAnsi="宋体" w:eastAsia="宋体" w:cs="宋体"/>
                      <w:color w:val="auto"/>
                      <w:sz w:val="21"/>
                      <w:szCs w:val="21"/>
                      <w:highlight w:val="none"/>
                    </w:rPr>
                  </w:pPr>
                </w:p>
              </w:tc>
            </w:tr>
            <w:tr w14:paraId="0C2E25D2">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506A50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实验室是否能提供客户满意的检验项目范围 </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FF5BB6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B54940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237E60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325FDF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实验室检测的标本量是否能满足客户要求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EE1E03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FDD605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49E4FD0">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C6D8AE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实验室是否有书面材料说明采样前的准备、标本采集和不合格标本的拒收标准</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5AF3EA0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62796F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F2F2CE3">
              <w:tblPrEx>
                <w:tblCellMar>
                  <w:top w:w="0" w:type="dxa"/>
                  <w:left w:w="108" w:type="dxa"/>
                  <w:bottom w:w="0" w:type="dxa"/>
                  <w:right w:w="108" w:type="dxa"/>
                </w:tblCellMar>
              </w:tblPrEx>
              <w:trPr>
                <w:trHeight w:val="238"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8E7DA74">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实验室是否有书面材料说明标本的转运或运输要求，包括：准备、包装、标识、储存、标本采集时间、运输时限等</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E8D58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4CAA0D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A7E310A">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C36997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实验室是否有书面材料说明标本的储存、保留和处置程序，以及生物安全要求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987FC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E67857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B6E293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717B1D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实验室是否可提供 /保存检测原始数据，并规定其保存期限</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B9F252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9D20E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196C1C4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1DF247E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实验室在客户有急需时，是否有特殊程序应对</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B0E2CB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6CB739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E4FC0AA">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21C04F42">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实验室是否提供每项检验服务的出报告时间的书面承诺</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2D2494D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DC739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993782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528742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实验室是否使用标准化的检验申请或结果报告的通信协议或系统</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D5790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721A817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4ECC0B3">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DAFE3CC">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实验室是否具备完备的针对数据和信息的信息系统，并符合有关安全要求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7BFC6F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F3AB04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36027081">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4D96568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是否有危急值报告制度（包括危急值定义、报告机制和报告时限）</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5A5ACF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E18CD9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DB8D94D">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A9E5B4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实验室对检验报告是否有审核制度</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7077644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358648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9E965F6">
              <w:tblPrEx>
                <w:tblCellMar>
                  <w:top w:w="0" w:type="dxa"/>
                  <w:left w:w="108" w:type="dxa"/>
                  <w:bottom w:w="0" w:type="dxa"/>
                  <w:right w:w="108" w:type="dxa"/>
                </w:tblCellMar>
              </w:tblPrEx>
              <w:trPr>
                <w:trHeight w:val="23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1200CC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实验室对有关检验结果的询问或咨询是否反应适当，必要时是否能提供专家咨询服务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A5961D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0107B7E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D9D5045">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9E2B82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实验室是否有书面文件规定对不适当标本的处理要求</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6BF64EF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235932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84A6649">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7CDC111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实验室是否有改正和改进检验报告的策略</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A3687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1819B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2E12CDB">
              <w:tblPrEx>
                <w:tblCellMar>
                  <w:top w:w="0" w:type="dxa"/>
                  <w:left w:w="108" w:type="dxa"/>
                  <w:bottom w:w="0" w:type="dxa"/>
                  <w:right w:w="108" w:type="dxa"/>
                </w:tblCellMar>
              </w:tblPrEx>
              <w:trPr>
                <w:trHeight w:val="147"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CC2BE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实验室是否有将检验结果直接通知患者的规定</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412042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AF179B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B98D574">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1B639E3">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九、咨询</w:t>
                  </w:r>
                </w:p>
              </w:tc>
              <w:tc>
                <w:tcPr>
                  <w:tcW w:w="1174" w:type="dxa"/>
                  <w:gridSpan w:val="2"/>
                  <w:tcBorders>
                    <w:top w:val="single" w:color="000000" w:sz="4" w:space="0"/>
                    <w:bottom w:val="single" w:color="000000" w:sz="4" w:space="0"/>
                    <w:tl2br w:val="nil"/>
                    <w:tr2bl w:val="nil"/>
                  </w:tcBorders>
                </w:tcPr>
                <w:p w14:paraId="4EB9E56A">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7C9063D7">
                  <w:pPr>
                    <w:jc w:val="center"/>
                    <w:rPr>
                      <w:rFonts w:hint="eastAsia" w:ascii="宋体" w:hAnsi="宋体" w:eastAsia="宋体" w:cs="宋体"/>
                      <w:color w:val="auto"/>
                      <w:sz w:val="21"/>
                      <w:szCs w:val="21"/>
                      <w:highlight w:val="none"/>
                    </w:rPr>
                  </w:pPr>
                </w:p>
              </w:tc>
            </w:tr>
            <w:tr w14:paraId="72C2B3D8">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501D42A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实验室是否向客户提供咨询服务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1F3B8FC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5BC660E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0AF2256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75BE6E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7AF59B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532BE5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43CC0EB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7F7435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技术服务</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0969F1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245324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5BFAC21A">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3E3E236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医学咨询</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3C80761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4222238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7120962F">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right w:val="single" w:color="000000" w:sz="4" w:space="0"/>
                    <w:tl2br w:val="nil"/>
                    <w:tr2bl w:val="nil"/>
                  </w:tcBorders>
                  <w:vAlign w:val="center"/>
                </w:tcPr>
                <w:p w14:paraId="6BC53DFA">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咨询服务是否在 24小时内均可获得</w:t>
                  </w:r>
                </w:p>
              </w:tc>
              <w:tc>
                <w:tcPr>
                  <w:tcW w:w="1174" w:type="dxa"/>
                  <w:gridSpan w:val="2"/>
                  <w:tcBorders>
                    <w:top w:val="single" w:color="000000" w:sz="4" w:space="0"/>
                    <w:left w:val="single" w:color="000000" w:sz="4" w:space="0"/>
                    <w:bottom w:val="single" w:color="000000" w:sz="4" w:space="0"/>
                    <w:right w:val="single" w:color="000000" w:sz="4" w:space="0"/>
                    <w:tl2br w:val="nil"/>
                    <w:tr2bl w:val="nil"/>
                  </w:tcBorders>
                  <w:vAlign w:val="center"/>
                </w:tcPr>
                <w:p w14:paraId="4D06B2C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w:t>
                  </w:r>
                </w:p>
              </w:tc>
              <w:tc>
                <w:tcPr>
                  <w:tcW w:w="1031" w:type="dxa"/>
                  <w:tcBorders>
                    <w:top w:val="single" w:color="000000" w:sz="4" w:space="0"/>
                    <w:left w:val="single" w:color="000000" w:sz="4" w:space="0"/>
                    <w:bottom w:val="single" w:color="000000" w:sz="4" w:space="0"/>
                    <w:right w:val="single" w:color="000000" w:sz="4" w:space="0"/>
                    <w:tl2br w:val="nil"/>
                    <w:tr2bl w:val="nil"/>
                  </w:tcBorders>
                  <w:vAlign w:val="center"/>
                </w:tcPr>
                <w:p w14:paraId="6A156C4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□否 </w:t>
                  </w:r>
                </w:p>
              </w:tc>
            </w:tr>
            <w:tr w14:paraId="2CD8DC10">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6CC5D0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评分标准：检查项为否定结果时，每项扣2.3分。</w:t>
                  </w:r>
                </w:p>
              </w:tc>
              <w:tc>
                <w:tcPr>
                  <w:tcW w:w="1174" w:type="dxa"/>
                  <w:gridSpan w:val="2"/>
                  <w:tcBorders>
                    <w:top w:val="single" w:color="000000" w:sz="4" w:space="0"/>
                    <w:bottom w:val="single" w:color="000000" w:sz="4" w:space="0"/>
                    <w:tl2br w:val="nil"/>
                    <w:tr2bl w:val="nil"/>
                  </w:tcBorders>
                </w:tcPr>
                <w:p w14:paraId="095AD70C">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3302295D">
                  <w:pPr>
                    <w:jc w:val="center"/>
                    <w:rPr>
                      <w:rFonts w:hint="eastAsia" w:ascii="宋体" w:hAnsi="宋体" w:eastAsia="宋体" w:cs="宋体"/>
                      <w:color w:val="auto"/>
                      <w:sz w:val="21"/>
                      <w:szCs w:val="21"/>
                      <w:highlight w:val="none"/>
                    </w:rPr>
                  </w:pPr>
                </w:p>
              </w:tc>
            </w:tr>
            <w:tr w14:paraId="3E509FEB">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4E399E8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检查项评为否定结果的原因：</w:t>
                  </w:r>
                </w:p>
                <w:p w14:paraId="6ED97992">
                  <w:pPr>
                    <w:rPr>
                      <w:rFonts w:hint="eastAsia" w:ascii="宋体" w:hAnsi="宋体" w:eastAsia="宋体" w:cs="宋体"/>
                      <w:color w:val="auto"/>
                      <w:sz w:val="21"/>
                      <w:szCs w:val="21"/>
                      <w:highlight w:val="none"/>
                    </w:rPr>
                  </w:pPr>
                </w:p>
                <w:p w14:paraId="46950FB2">
                  <w:pPr>
                    <w:rPr>
                      <w:rFonts w:hint="eastAsia" w:ascii="宋体" w:hAnsi="宋体" w:eastAsia="宋体" w:cs="宋体"/>
                      <w:color w:val="auto"/>
                      <w:sz w:val="21"/>
                      <w:szCs w:val="21"/>
                      <w:highlight w:val="none"/>
                    </w:rPr>
                  </w:pPr>
                </w:p>
                <w:p w14:paraId="55BA0007">
                  <w:pPr>
                    <w:rPr>
                      <w:rFonts w:hint="eastAsia" w:ascii="宋体" w:hAnsi="宋体" w:eastAsia="宋体" w:cs="宋体"/>
                      <w:color w:val="auto"/>
                      <w:sz w:val="21"/>
                      <w:szCs w:val="21"/>
                      <w:highlight w:val="none"/>
                    </w:rPr>
                  </w:pPr>
                </w:p>
              </w:tc>
              <w:tc>
                <w:tcPr>
                  <w:tcW w:w="1174" w:type="dxa"/>
                  <w:gridSpan w:val="2"/>
                  <w:tcBorders>
                    <w:top w:val="single" w:color="000000" w:sz="4" w:space="0"/>
                    <w:bottom w:val="single" w:color="000000" w:sz="4" w:space="0"/>
                    <w:tl2br w:val="nil"/>
                    <w:tr2bl w:val="nil"/>
                  </w:tcBorders>
                </w:tcPr>
                <w:p w14:paraId="28135EC6">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0BEEE394">
                  <w:pPr>
                    <w:jc w:val="center"/>
                    <w:rPr>
                      <w:rFonts w:hint="eastAsia" w:ascii="宋体" w:hAnsi="宋体" w:eastAsia="宋体" w:cs="宋体"/>
                      <w:color w:val="auto"/>
                      <w:sz w:val="21"/>
                      <w:szCs w:val="21"/>
                      <w:highlight w:val="none"/>
                    </w:rPr>
                  </w:pPr>
                </w:p>
              </w:tc>
            </w:tr>
            <w:tr w14:paraId="7AC39003">
              <w:tblPrEx>
                <w:tblCellMar>
                  <w:top w:w="0" w:type="dxa"/>
                  <w:left w:w="108" w:type="dxa"/>
                  <w:bottom w:w="0" w:type="dxa"/>
                  <w:right w:w="108" w:type="dxa"/>
                </w:tblCellMar>
              </w:tblPrEx>
              <w:trPr>
                <w:trHeight w:val="146" w:hRule="atLeast"/>
                <w:jc w:val="center"/>
              </w:trPr>
              <w:tc>
                <w:tcPr>
                  <w:tcW w:w="6968" w:type="dxa"/>
                  <w:tcBorders>
                    <w:top w:val="single" w:color="000000" w:sz="4" w:space="0"/>
                    <w:left w:val="single" w:color="000000" w:sz="4" w:space="0"/>
                    <w:bottom w:val="single" w:color="000000" w:sz="4" w:space="0"/>
                    <w:tl2br w:val="nil"/>
                    <w:tr2bl w:val="nil"/>
                  </w:tcBorders>
                  <w:vAlign w:val="center"/>
                </w:tcPr>
                <w:p w14:paraId="01ADD45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总得分：</w:t>
                  </w:r>
                </w:p>
              </w:tc>
              <w:tc>
                <w:tcPr>
                  <w:tcW w:w="1174" w:type="dxa"/>
                  <w:gridSpan w:val="2"/>
                  <w:tcBorders>
                    <w:top w:val="single" w:color="000000" w:sz="4" w:space="0"/>
                    <w:bottom w:val="single" w:color="000000" w:sz="4" w:space="0"/>
                    <w:tl2br w:val="nil"/>
                    <w:tr2bl w:val="nil"/>
                  </w:tcBorders>
                </w:tcPr>
                <w:p w14:paraId="36B23526">
                  <w:pPr>
                    <w:jc w:val="center"/>
                    <w:rPr>
                      <w:rFonts w:hint="eastAsia" w:ascii="宋体" w:hAnsi="宋体" w:eastAsia="宋体" w:cs="宋体"/>
                      <w:color w:val="auto"/>
                      <w:sz w:val="21"/>
                      <w:szCs w:val="21"/>
                      <w:highlight w:val="none"/>
                    </w:rPr>
                  </w:pPr>
                </w:p>
              </w:tc>
              <w:tc>
                <w:tcPr>
                  <w:tcW w:w="1031" w:type="dxa"/>
                  <w:tcBorders>
                    <w:top w:val="single" w:color="000000" w:sz="4" w:space="0"/>
                    <w:bottom w:val="single" w:color="000000" w:sz="4" w:space="0"/>
                    <w:right w:val="single" w:color="000000" w:sz="4" w:space="0"/>
                    <w:tl2br w:val="nil"/>
                    <w:tr2bl w:val="nil"/>
                  </w:tcBorders>
                </w:tcPr>
                <w:p w14:paraId="5FE7396A">
                  <w:pPr>
                    <w:jc w:val="center"/>
                    <w:rPr>
                      <w:rFonts w:hint="eastAsia" w:ascii="宋体" w:hAnsi="宋体" w:eastAsia="宋体" w:cs="宋体"/>
                      <w:color w:val="auto"/>
                      <w:sz w:val="21"/>
                      <w:szCs w:val="21"/>
                      <w:highlight w:val="none"/>
                    </w:rPr>
                  </w:pPr>
                </w:p>
              </w:tc>
            </w:tr>
          </w:tbl>
          <w:p w14:paraId="19EAF495">
            <w:pPr>
              <w:rPr>
                <w:rFonts w:hint="eastAsia" w:ascii="宋体" w:hAnsi="宋体" w:eastAsia="宋体" w:cs="宋体"/>
                <w:color w:val="auto"/>
                <w:sz w:val="24"/>
                <w:highlight w:val="none"/>
              </w:rPr>
            </w:pPr>
            <w:r>
              <w:rPr>
                <w:rFonts w:hint="eastAsia" w:ascii="宋体" w:hAnsi="宋体" w:eastAsia="宋体" w:cs="宋体"/>
                <w:color w:val="auto"/>
                <w:sz w:val="24"/>
                <w:highlight w:val="none"/>
              </w:rPr>
              <w:t>检查人员签名：</w:t>
            </w:r>
          </w:p>
          <w:p w14:paraId="50B80D55">
            <w:pPr>
              <w:rPr>
                <w:rFonts w:hint="eastAsia" w:ascii="宋体" w:hAnsi="宋体" w:eastAsia="宋体" w:cs="宋体"/>
                <w:color w:val="auto"/>
                <w:sz w:val="24"/>
                <w:highlight w:val="none"/>
              </w:rPr>
            </w:pPr>
            <w:r>
              <w:rPr>
                <w:rFonts w:hint="eastAsia" w:ascii="宋体" w:hAnsi="宋体" w:eastAsia="宋体" w:cs="宋体"/>
                <w:color w:val="auto"/>
                <w:sz w:val="24"/>
                <w:highlight w:val="none"/>
              </w:rPr>
              <w:t>受委托实验室人员签名：</w:t>
            </w:r>
          </w:p>
          <w:p w14:paraId="21784C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b/>
                <w:color w:val="auto"/>
                <w:sz w:val="24"/>
                <w:highlight w:val="none"/>
              </w:rPr>
            </w:pPr>
          </w:p>
        </w:tc>
      </w:tr>
    </w:tbl>
    <w:p w14:paraId="020A0BB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7B8B29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382D41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default" w:hAnsi="宋体" w:cs="宋体"/>
          <w:b/>
          <w:bCs/>
          <w:color w:val="auto"/>
          <w:kern w:val="2"/>
          <w:sz w:val="21"/>
          <w:szCs w:val="21"/>
          <w:lang w:val="en-US" w:eastAsia="zh-CN"/>
        </w:rPr>
      </w:pPr>
      <w:bookmarkStart w:id="17" w:name="_GoBack"/>
      <w:bookmarkEnd w:id="17"/>
      <w:r>
        <w:rPr>
          <w:rStyle w:val="20"/>
          <w:rFonts w:hint="eastAsia" w:hAnsi="宋体" w:cs="宋体"/>
          <w:b/>
          <w:bCs/>
          <w:color w:val="auto"/>
          <w:kern w:val="2"/>
          <w:sz w:val="21"/>
          <w:szCs w:val="21"/>
          <w:lang w:val="en-US" w:eastAsia="zh-CN"/>
        </w:rPr>
        <w:t>十、同类项目业绩相关证明文件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36D9202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6D95EED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20"/>
          <w:rFonts w:hint="eastAsia" w:hAnsi="宋体" w:cs="宋体"/>
          <w:b/>
          <w:bCs/>
          <w:color w:val="auto"/>
          <w:kern w:val="2"/>
          <w:sz w:val="21"/>
          <w:szCs w:val="21"/>
          <w:lang w:val="en-US" w:eastAsia="zh-CN"/>
        </w:rPr>
      </w:pPr>
    </w:p>
    <w:p w14:paraId="00809DBD">
      <w:pPr>
        <w:pStyle w:val="19"/>
        <w:numPr>
          <w:ilvl w:val="0"/>
          <w:numId w:val="0"/>
        </w:numPr>
        <w:ind w:leftChars="0"/>
        <w:rPr>
          <w:rStyle w:val="20"/>
          <w:rFonts w:hint="eastAsia" w:hAnsi="宋体" w:cs="宋体" w:asciiTheme="minorHAnsi"/>
          <w:b/>
          <w:bCs/>
          <w:color w:val="auto"/>
          <w:kern w:val="2"/>
          <w:sz w:val="21"/>
          <w:szCs w:val="21"/>
          <w:lang w:val="en-US" w:eastAsia="zh-CN"/>
        </w:rPr>
      </w:pPr>
    </w:p>
    <w:p w14:paraId="69B8376E">
      <w:pPr>
        <w:pStyle w:val="19"/>
        <w:numPr>
          <w:ilvl w:val="0"/>
          <w:numId w:val="0"/>
        </w:numPr>
        <w:ind w:leftChars="0"/>
        <w:rPr>
          <w:rStyle w:val="20"/>
          <w:rFonts w:hint="eastAsia" w:hAnsi="宋体" w:cs="宋体" w:asciiTheme="minorHAnsi"/>
          <w:b/>
          <w:bCs/>
          <w:color w:val="auto"/>
          <w:kern w:val="2"/>
          <w:sz w:val="21"/>
          <w:szCs w:val="21"/>
          <w:lang w:val="en-US" w:eastAsia="zh-CN"/>
        </w:rPr>
      </w:pPr>
    </w:p>
    <w:p w14:paraId="57B3868D">
      <w:pPr>
        <w:pStyle w:val="19"/>
        <w:numPr>
          <w:ilvl w:val="0"/>
          <w:numId w:val="0"/>
        </w:numPr>
        <w:ind w:leftChars="0"/>
        <w:rPr>
          <w:rStyle w:val="20"/>
          <w:rFonts w:hint="eastAsia" w:hAnsi="宋体" w:cs="宋体" w:asciiTheme="minorHAnsi"/>
          <w:b/>
          <w:bCs/>
          <w:color w:val="auto"/>
          <w:kern w:val="2"/>
          <w:sz w:val="21"/>
          <w:szCs w:val="21"/>
          <w:lang w:val="en-US" w:eastAsia="zh-CN"/>
        </w:rPr>
      </w:pPr>
      <w:r>
        <w:rPr>
          <w:rStyle w:val="20"/>
          <w:rFonts w:hint="eastAsia" w:hAnsi="宋体" w:cs="宋体" w:asciiTheme="minorHAnsi"/>
          <w:b/>
          <w:bCs/>
          <w:color w:val="auto"/>
          <w:kern w:val="2"/>
          <w:sz w:val="21"/>
          <w:szCs w:val="21"/>
          <w:lang w:val="en-US" w:eastAsia="zh-CN"/>
        </w:rPr>
        <w:t>十一、供应商认为需要提供的其他材料（参考评分表）</w:t>
      </w:r>
    </w:p>
    <w:p w14:paraId="1EDCDE29">
      <w:pPr>
        <w:pStyle w:val="6"/>
        <w:spacing w:line="360" w:lineRule="auto"/>
        <w:jc w:val="center"/>
        <w:rPr>
          <w:rFonts w:hint="eastAsia" w:ascii="宋体" w:hAnsi="宋体" w:eastAsia="宋体" w:cs="宋体"/>
        </w:rPr>
      </w:pPr>
    </w:p>
    <w:p w14:paraId="10B18D41">
      <w:pPr>
        <w:pStyle w:val="6"/>
        <w:spacing w:line="360" w:lineRule="auto"/>
        <w:jc w:val="center"/>
        <w:rPr>
          <w:rFonts w:hint="eastAsia" w:ascii="宋体" w:hAnsi="宋体" w:eastAsia="宋体" w:cs="宋体"/>
        </w:rPr>
      </w:pPr>
    </w:p>
    <w:p w14:paraId="0CC13FA1">
      <w:pPr>
        <w:pStyle w:val="6"/>
        <w:spacing w:line="360" w:lineRule="auto"/>
        <w:jc w:val="center"/>
        <w:rPr>
          <w:rFonts w:hint="eastAsia" w:ascii="宋体" w:hAnsi="宋体" w:eastAsia="宋体" w:cs="宋体"/>
        </w:rPr>
      </w:pPr>
    </w:p>
    <w:p w14:paraId="09EE7C41">
      <w:pPr>
        <w:pStyle w:val="6"/>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20"/>
          <w:rFonts w:hint="eastAsia" w:ascii="宋体" w:hAnsi="宋体" w:eastAsia="宋体" w:cs="宋体"/>
          <w:b/>
          <w:bCs/>
          <w:sz w:val="21"/>
          <w:szCs w:val="21"/>
          <w:lang w:val="en-US" w:eastAsia="zh-CN"/>
        </w:rPr>
      </w:pPr>
    </w:p>
    <w:p w14:paraId="04E19955">
      <w:pPr>
        <w:pStyle w:val="19"/>
        <w:numPr>
          <w:ilvl w:val="0"/>
          <w:numId w:val="0"/>
        </w:numPr>
        <w:ind w:leftChars="0"/>
        <w:rPr>
          <w:rStyle w:val="20"/>
          <w:rFonts w:hint="eastAsia" w:hAnsi="宋体" w:eastAsia="宋体" w:cs="宋体" w:asciiTheme="minorHAnsi"/>
          <w:b/>
          <w:bCs/>
          <w:color w:val="auto"/>
          <w:kern w:val="2"/>
          <w:sz w:val="21"/>
          <w:szCs w:val="21"/>
          <w:lang w:val="zh-TW" w:eastAsia="zh-TW"/>
        </w:rPr>
      </w:pPr>
      <w:r>
        <w:rPr>
          <w:rStyle w:val="20"/>
          <w:rFonts w:hint="eastAsia" w:hAnsi="宋体" w:eastAsia="宋体" w:cs="宋体" w:asciiTheme="minorHAnsi"/>
          <w:b/>
          <w:bCs/>
          <w:color w:val="auto"/>
          <w:kern w:val="2"/>
          <w:sz w:val="21"/>
          <w:szCs w:val="21"/>
          <w:lang w:val="zh-TW" w:eastAsia="zh-TW"/>
        </w:rPr>
        <w:t>十</w:t>
      </w:r>
      <w:r>
        <w:rPr>
          <w:rStyle w:val="20"/>
          <w:rFonts w:hint="eastAsia" w:hAnsi="宋体" w:eastAsia="宋体" w:cs="宋体" w:asciiTheme="minorHAnsi"/>
          <w:b/>
          <w:bCs/>
          <w:color w:val="auto"/>
          <w:kern w:val="2"/>
          <w:sz w:val="21"/>
          <w:szCs w:val="21"/>
          <w:lang w:val="en-US" w:eastAsia="zh-CN"/>
        </w:rPr>
        <w:t>二</w:t>
      </w:r>
      <w:r>
        <w:rPr>
          <w:rStyle w:val="20"/>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6"/>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3922"/>
        <w:gridCol w:w="3978"/>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3922"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3978"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折扣率（%）</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3922"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p>
        </w:tc>
        <w:tc>
          <w:tcPr>
            <w:tcW w:w="3978" w:type="dxa"/>
            <w:vAlign w:val="center"/>
          </w:tcPr>
          <w:p w14:paraId="529A14DE">
            <w:pPr>
              <w:spacing w:line="240" w:lineRule="auto"/>
              <w:jc w:val="center"/>
              <w:rPr>
                <w:rFonts w:hint="eastAsia" w:ascii="仿宋" w:hAnsi="仿宋" w:eastAsia="仿宋" w:cs="仿宋"/>
                <w:b/>
                <w:bCs/>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6"/>
        <w:rPr>
          <w:rFonts w:hint="eastAsia" w:ascii="宋体" w:hAnsi="宋体" w:eastAsia="宋体" w:cs="宋体"/>
          <w:sz w:val="24"/>
          <w:szCs w:val="24"/>
          <w:u w:val="none"/>
          <w:lang w:val="en-US" w:eastAsia="zh-CN"/>
        </w:rPr>
      </w:pPr>
    </w:p>
    <w:p w14:paraId="7781B777">
      <w:pPr>
        <w:pStyle w:val="19"/>
        <w:numPr>
          <w:ilvl w:val="0"/>
          <w:numId w:val="0"/>
        </w:numPr>
        <w:ind w:leftChars="0"/>
        <w:rPr>
          <w:rStyle w:val="20"/>
          <w:rFonts w:hint="default" w:hAnsi="宋体" w:eastAsia="宋体" w:cs="宋体" w:asciiTheme="minorHAnsi"/>
          <w:b/>
          <w:bCs/>
          <w:color w:val="auto"/>
          <w:kern w:val="2"/>
          <w:sz w:val="21"/>
          <w:szCs w:val="21"/>
          <w:lang w:val="en-US" w:eastAsia="zh-CN"/>
        </w:rPr>
      </w:pPr>
    </w:p>
    <w:p w14:paraId="655C25F8">
      <w:pPr>
        <w:pStyle w:val="6"/>
        <w:rPr>
          <w:rFonts w:hint="eastAsia" w:ascii="宋体" w:hAnsi="宋体" w:eastAsia="宋体" w:cs="宋体"/>
          <w:sz w:val="24"/>
          <w:szCs w:val="24"/>
          <w:u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E6B2433">
      <w:pPr>
        <w:pStyle w:val="19"/>
        <w:numPr>
          <w:ilvl w:val="0"/>
          <w:numId w:val="0"/>
        </w:numPr>
        <w:ind w:leftChars="0"/>
        <w:rPr>
          <w:rStyle w:val="20"/>
          <w:rFonts w:hint="eastAsia" w:hAnsi="宋体" w:eastAsia="宋体" w:cs="宋体" w:asciiTheme="minorHAnsi"/>
          <w:b/>
          <w:bCs/>
          <w:color w:val="auto"/>
          <w:kern w:val="2"/>
          <w:sz w:val="21"/>
          <w:szCs w:val="21"/>
          <w:lang w:val="en-US" w:eastAsia="zh-CN"/>
        </w:rPr>
      </w:pPr>
      <w:r>
        <w:rPr>
          <w:rStyle w:val="20"/>
          <w:rFonts w:hint="eastAsia" w:hAnsi="宋体" w:eastAsia="宋体" w:cs="宋体" w:asciiTheme="minorHAnsi"/>
          <w:b/>
          <w:bCs/>
          <w:color w:val="auto"/>
          <w:kern w:val="2"/>
          <w:sz w:val="21"/>
          <w:szCs w:val="21"/>
          <w:lang w:val="en-US" w:eastAsia="zh-CN"/>
        </w:rPr>
        <w:t>十三、评分表</w:t>
      </w:r>
    </w:p>
    <w:p w14:paraId="772A03A2">
      <w:pPr>
        <w:spacing w:line="440" w:lineRule="exact"/>
        <w:jc w:val="center"/>
      </w:pPr>
      <w:r>
        <w:rPr>
          <w:rFonts w:hint="eastAsia" w:ascii="仿宋" w:hAnsi="仿宋" w:eastAsia="仿宋" w:cs="仿宋"/>
          <w:b/>
          <w:bCs/>
          <w:color w:val="auto"/>
          <w:sz w:val="44"/>
          <w:szCs w:val="44"/>
          <w:highlight w:val="none"/>
        </w:rPr>
        <w:t>评分表</w:t>
      </w:r>
    </w:p>
    <w:tbl>
      <w:tblPr>
        <w:tblStyle w:val="15"/>
        <w:tblW w:w="10100" w:type="dxa"/>
        <w:tblInd w:w="-822"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67"/>
        <w:gridCol w:w="1114"/>
        <w:gridCol w:w="4986"/>
        <w:gridCol w:w="1216"/>
        <w:gridCol w:w="1717"/>
      </w:tblGrid>
      <w:tr w14:paraId="5E6E91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tcPr>
          <w:p w14:paraId="002EDF62">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评审因素</w:t>
            </w:r>
          </w:p>
        </w:tc>
        <w:tc>
          <w:tcPr>
            <w:tcW w:w="6100" w:type="dxa"/>
            <w:gridSpan w:val="2"/>
          </w:tcPr>
          <w:p w14:paraId="213C72D1">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评审标准</w:t>
            </w:r>
          </w:p>
        </w:tc>
        <w:tc>
          <w:tcPr>
            <w:tcW w:w="1216" w:type="dxa"/>
            <w:vMerge w:val="restart"/>
            <w:vAlign w:val="center"/>
          </w:tcPr>
          <w:p w14:paraId="535DE684">
            <w:pPr>
              <w:pStyle w:val="24"/>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自评分</w:t>
            </w:r>
          </w:p>
        </w:tc>
        <w:tc>
          <w:tcPr>
            <w:tcW w:w="1717" w:type="dxa"/>
            <w:vMerge w:val="restart"/>
            <w:vAlign w:val="center"/>
          </w:tcPr>
          <w:p w14:paraId="15BA2D19">
            <w:pPr>
              <w:pStyle w:val="24"/>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证明材料对应页码</w:t>
            </w:r>
          </w:p>
        </w:tc>
      </w:tr>
      <w:tr w14:paraId="11AC23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67" w:type="dxa"/>
          </w:tcPr>
          <w:p w14:paraId="4D4BD660">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分值构成</w:t>
            </w:r>
          </w:p>
        </w:tc>
        <w:tc>
          <w:tcPr>
            <w:tcW w:w="6100" w:type="dxa"/>
            <w:gridSpan w:val="2"/>
          </w:tcPr>
          <w:p w14:paraId="716C03A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商务部分</w:t>
            </w:r>
            <w:r>
              <w:rPr>
                <w:rFonts w:hint="eastAsia" w:ascii="Times New Roman" w:hAnsi="Times New Roman" w:cs="Times New Roman"/>
                <w:color w:val="auto"/>
                <w:highlight w:val="none"/>
                <w:lang w:val="en-US" w:eastAsia="zh-CN"/>
              </w:rPr>
              <w:t>18</w:t>
            </w:r>
            <w:r>
              <w:rPr>
                <w:rFonts w:hint="default" w:ascii="Times New Roman" w:hAnsi="Times New Roman" w:cs="Times New Roman"/>
                <w:color w:val="auto"/>
                <w:highlight w:val="none"/>
              </w:rPr>
              <w:t>.</w:t>
            </w:r>
            <w:r>
              <w:rPr>
                <w:rFonts w:ascii="Times New Roman" w:hAnsi="Times New Roman" w:cs="Times New Roman"/>
                <w:color w:val="auto"/>
                <w:highlight w:val="none"/>
                <w:lang w:eastAsia="zh-CN"/>
              </w:rPr>
              <w:t>8</w:t>
            </w:r>
            <w:r>
              <w:rPr>
                <w:rFonts w:hint="default" w:ascii="Times New Roman" w:hAnsi="Times New Roman" w:cs="Times New Roman"/>
                <w:color w:val="auto"/>
                <w:highlight w:val="none"/>
              </w:rPr>
              <w:t>分</w:t>
            </w:r>
          </w:p>
          <w:p w14:paraId="57D420C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技术部分</w:t>
            </w:r>
            <w:r>
              <w:rPr>
                <w:rFonts w:hint="eastAsia" w:ascii="Times New Roman" w:hAnsi="Times New Roman" w:cs="Times New Roman"/>
                <w:color w:val="auto"/>
                <w:highlight w:val="none"/>
                <w:lang w:val="en-US" w:eastAsia="zh-CN"/>
              </w:rPr>
              <w:t>61</w:t>
            </w:r>
            <w:r>
              <w:rPr>
                <w:rFonts w:hint="default" w:ascii="Times New Roman" w:hAnsi="Times New Roman" w:cs="Times New Roman"/>
                <w:color w:val="auto"/>
                <w:highlight w:val="none"/>
              </w:rPr>
              <w:t>.</w:t>
            </w:r>
            <w:r>
              <w:rPr>
                <w:rFonts w:ascii="Times New Roman" w:hAnsi="Times New Roman" w:cs="Times New Roman"/>
                <w:color w:val="auto"/>
                <w:highlight w:val="none"/>
                <w:lang w:eastAsia="zh-CN"/>
              </w:rPr>
              <w:t>2</w:t>
            </w:r>
            <w:r>
              <w:rPr>
                <w:rFonts w:hint="default" w:ascii="Times New Roman" w:hAnsi="Times New Roman" w:cs="Times New Roman"/>
                <w:color w:val="auto"/>
                <w:highlight w:val="none"/>
              </w:rPr>
              <w:t>分</w:t>
            </w:r>
          </w:p>
          <w:p w14:paraId="7FF9BA9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报价得分</w:t>
            </w:r>
            <w:r>
              <w:rPr>
                <w:rFonts w:hint="default" w:ascii="Times New Roman" w:hAnsi="Times New Roman" w:cs="Times New Roman"/>
                <w:color w:val="auto"/>
                <w:highlight w:val="none"/>
                <w:lang w:eastAsia="zh-CN"/>
              </w:rPr>
              <w:t>20</w:t>
            </w:r>
            <w:r>
              <w:rPr>
                <w:rFonts w:hint="default" w:ascii="Times New Roman" w:hAnsi="Times New Roman" w:cs="Times New Roman"/>
                <w:color w:val="auto"/>
                <w:highlight w:val="none"/>
              </w:rPr>
              <w:t>.0分</w:t>
            </w:r>
          </w:p>
        </w:tc>
        <w:tc>
          <w:tcPr>
            <w:tcW w:w="1216" w:type="dxa"/>
            <w:vMerge w:val="continue"/>
            <w:tcBorders/>
          </w:tcPr>
          <w:p w14:paraId="311ECE2A">
            <w:pPr>
              <w:pStyle w:val="24"/>
              <w:rPr>
                <w:rFonts w:hint="default" w:ascii="Times New Roman" w:hAnsi="Times New Roman" w:cs="Times New Roman"/>
                <w:color w:val="auto"/>
                <w:highlight w:val="none"/>
              </w:rPr>
            </w:pPr>
          </w:p>
        </w:tc>
        <w:tc>
          <w:tcPr>
            <w:tcW w:w="1717" w:type="dxa"/>
            <w:vMerge w:val="continue"/>
            <w:tcBorders/>
          </w:tcPr>
          <w:p w14:paraId="2B95C28C">
            <w:pPr>
              <w:pStyle w:val="24"/>
              <w:rPr>
                <w:rFonts w:hint="default" w:ascii="Times New Roman" w:hAnsi="Times New Roman" w:cs="Times New Roman"/>
                <w:color w:val="auto"/>
                <w:highlight w:val="none"/>
              </w:rPr>
            </w:pPr>
          </w:p>
        </w:tc>
      </w:tr>
      <w:tr w14:paraId="24EAC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restart"/>
          </w:tcPr>
          <w:p w14:paraId="08C625E8">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技术部分</w:t>
            </w:r>
          </w:p>
        </w:tc>
        <w:tc>
          <w:tcPr>
            <w:tcW w:w="1114" w:type="dxa"/>
          </w:tcPr>
          <w:p w14:paraId="34A8DE7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一般条款响应程度(</w:t>
            </w:r>
            <w:r>
              <w:rPr>
                <w:rFonts w:ascii="Times New Roman" w:hAnsi="Times New Roman" w:cs="Times New Roman"/>
                <w:color w:val="auto"/>
                <w:highlight w:val="none"/>
                <w:lang w:eastAsia="zh-CN"/>
              </w:rPr>
              <w:t>9</w:t>
            </w:r>
            <w:r>
              <w:rPr>
                <w:rFonts w:hint="default" w:ascii="Times New Roman" w:hAnsi="Times New Roman" w:cs="Times New Roman"/>
                <w:color w:val="auto"/>
                <w:highlight w:val="none"/>
              </w:rPr>
              <w:t>分)</w:t>
            </w:r>
          </w:p>
        </w:tc>
        <w:tc>
          <w:tcPr>
            <w:tcW w:w="4986" w:type="dxa"/>
          </w:tcPr>
          <w:p w14:paraId="4D6C5DDE">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根据投标人对采购需求中技术服务要求一般条款（非“▲”条款）的响应程度进行评分： </w:t>
            </w:r>
          </w:p>
          <w:p w14:paraId="5159DC2C">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一般条款（非“▲”条款）负偏离在</w:t>
            </w:r>
            <w:r>
              <w:rPr>
                <w:rFonts w:ascii="Times New Roman" w:hAnsi="Times New Roman" w:cs="Times New Roman"/>
                <w:color w:val="auto"/>
                <w:highlight w:val="none"/>
                <w:lang w:eastAsia="zh-CN"/>
              </w:rPr>
              <w:t>30</w:t>
            </w:r>
            <w:r>
              <w:rPr>
                <w:rFonts w:hint="default" w:ascii="Times New Roman" w:hAnsi="Times New Roman" w:cs="Times New Roman"/>
                <w:color w:val="auto"/>
                <w:highlight w:val="none"/>
              </w:rPr>
              <w:t>项以内（含</w:t>
            </w:r>
            <w:r>
              <w:rPr>
                <w:rFonts w:ascii="Times New Roman" w:hAnsi="Times New Roman" w:cs="Times New Roman"/>
                <w:color w:val="auto"/>
                <w:highlight w:val="none"/>
                <w:lang w:eastAsia="zh-CN"/>
              </w:rPr>
              <w:t>30</w:t>
            </w:r>
            <w:r>
              <w:rPr>
                <w:rFonts w:hint="default" w:ascii="Times New Roman" w:hAnsi="Times New Roman" w:cs="Times New Roman"/>
                <w:color w:val="auto"/>
                <w:highlight w:val="none"/>
              </w:rPr>
              <w:t>项），每项扣</w:t>
            </w:r>
            <w:r>
              <w:rPr>
                <w:rFonts w:ascii="Times New Roman" w:hAnsi="Times New Roman" w:cs="Times New Roman"/>
                <w:color w:val="auto"/>
                <w:highlight w:val="none"/>
                <w:lang w:eastAsia="zh-CN"/>
              </w:rPr>
              <w:t>0.3</w:t>
            </w:r>
            <w:r>
              <w:rPr>
                <w:rFonts w:hint="default" w:ascii="Times New Roman" w:hAnsi="Times New Roman" w:cs="Times New Roman"/>
                <w:color w:val="auto"/>
                <w:highlight w:val="none"/>
              </w:rPr>
              <w:t>分；完全响应得</w:t>
            </w:r>
            <w:r>
              <w:rPr>
                <w:rFonts w:ascii="Times New Roman" w:hAnsi="Times New Roman" w:cs="Times New Roman"/>
                <w:color w:val="auto"/>
                <w:highlight w:val="none"/>
                <w:lang w:eastAsia="zh-CN"/>
              </w:rPr>
              <w:t>9</w:t>
            </w:r>
            <w:r>
              <w:rPr>
                <w:rFonts w:hint="default" w:ascii="Times New Roman" w:hAnsi="Times New Roman" w:cs="Times New Roman"/>
                <w:color w:val="auto"/>
                <w:highlight w:val="none"/>
              </w:rPr>
              <w:t xml:space="preserve">分。 </w:t>
            </w:r>
          </w:p>
          <w:p w14:paraId="7F606B9B">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注：</w:t>
            </w:r>
            <w:r>
              <w:rPr>
                <w:rFonts w:hint="default" w:ascii="Times New Roman" w:hAnsi="Times New Roman" w:cs="Times New Roman"/>
                <w:b/>
                <w:bCs/>
                <w:color w:val="auto"/>
                <w:highlight w:val="none"/>
              </w:rPr>
              <w:t>若采购需求中有要求提供相关证明材料的，以提供的材料为准，若用户需求中未要求提供证明材料的，则以投标人提供的《技术和服务要求响应表》为准，未按要求提供的不得分。</w:t>
            </w:r>
          </w:p>
        </w:tc>
        <w:tc>
          <w:tcPr>
            <w:tcW w:w="1216" w:type="dxa"/>
          </w:tcPr>
          <w:p w14:paraId="72C41D8B">
            <w:pPr>
              <w:pStyle w:val="24"/>
              <w:rPr>
                <w:rFonts w:hint="default" w:ascii="Times New Roman" w:hAnsi="Times New Roman" w:cs="Times New Roman"/>
                <w:color w:val="auto"/>
                <w:highlight w:val="none"/>
              </w:rPr>
            </w:pPr>
          </w:p>
        </w:tc>
        <w:tc>
          <w:tcPr>
            <w:tcW w:w="1717" w:type="dxa"/>
          </w:tcPr>
          <w:p w14:paraId="15FA0480">
            <w:pPr>
              <w:pStyle w:val="24"/>
              <w:rPr>
                <w:rFonts w:hint="default" w:ascii="Times New Roman" w:hAnsi="Times New Roman" w:cs="Times New Roman"/>
                <w:color w:val="auto"/>
                <w:highlight w:val="none"/>
              </w:rPr>
            </w:pPr>
          </w:p>
        </w:tc>
      </w:tr>
      <w:tr w14:paraId="0499F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FCC1A92">
            <w:pPr>
              <w:rPr>
                <w:color w:val="auto"/>
                <w:sz w:val="20"/>
                <w:szCs w:val="20"/>
                <w:highlight w:val="none"/>
              </w:rPr>
            </w:pPr>
          </w:p>
        </w:tc>
        <w:tc>
          <w:tcPr>
            <w:tcW w:w="1114" w:type="dxa"/>
          </w:tcPr>
          <w:p w14:paraId="34244DC6">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重要条款响应程度 (</w:t>
            </w:r>
            <w:r>
              <w:rPr>
                <w:rFonts w:hint="default" w:ascii="Times New Roman" w:hAnsi="Times New Roman" w:cs="Times New Roman"/>
                <w:color w:val="auto"/>
                <w:highlight w:val="none"/>
                <w:lang w:eastAsia="zh-CN"/>
              </w:rPr>
              <w:t>1</w:t>
            </w:r>
            <w:r>
              <w:rPr>
                <w:rFonts w:ascii="Times New Roman" w:hAnsi="Times New Roman" w:cs="Times New Roman"/>
                <w:color w:val="auto"/>
                <w:highlight w:val="none"/>
                <w:lang w:eastAsia="zh-CN"/>
              </w:rPr>
              <w:t>6</w:t>
            </w:r>
            <w:r>
              <w:rPr>
                <w:rFonts w:hint="default" w:ascii="Times New Roman" w:hAnsi="Times New Roman" w:cs="Times New Roman"/>
                <w:color w:val="auto"/>
                <w:highlight w:val="none"/>
              </w:rPr>
              <w:t>.0分)</w:t>
            </w:r>
          </w:p>
        </w:tc>
        <w:tc>
          <w:tcPr>
            <w:tcW w:w="4986" w:type="dxa"/>
            <w:vAlign w:val="center"/>
          </w:tcPr>
          <w:p w14:paraId="6FC86CA2">
            <w:pPr>
              <w:rPr>
                <w:color w:val="auto"/>
                <w:sz w:val="20"/>
                <w:szCs w:val="20"/>
                <w:highlight w:val="none"/>
                <w:lang w:val="zh-CN"/>
              </w:rPr>
            </w:pPr>
            <w:r>
              <w:rPr>
                <w:color w:val="auto"/>
                <w:sz w:val="20"/>
                <w:szCs w:val="20"/>
                <w:highlight w:val="none"/>
                <w:lang w:val="zh-CN"/>
              </w:rPr>
              <w:t>根据</w:t>
            </w:r>
            <w:r>
              <w:rPr>
                <w:color w:val="auto"/>
                <w:sz w:val="20"/>
                <w:szCs w:val="20"/>
                <w:highlight w:val="none"/>
              </w:rPr>
              <w:t>投标人对采购需求中技术服务要求</w:t>
            </w:r>
            <w:r>
              <w:rPr>
                <w:color w:val="auto"/>
                <w:sz w:val="20"/>
                <w:szCs w:val="20"/>
                <w:highlight w:val="none"/>
                <w:lang w:val="zh-CN"/>
              </w:rPr>
              <w:t>重要条款（“▲”条款）</w:t>
            </w:r>
            <w:r>
              <w:rPr>
                <w:color w:val="auto"/>
                <w:sz w:val="20"/>
                <w:szCs w:val="20"/>
                <w:highlight w:val="none"/>
              </w:rPr>
              <w:t>条款进行评分：</w:t>
            </w:r>
          </w:p>
          <w:p w14:paraId="76FC7C88">
            <w:pPr>
              <w:rPr>
                <w:color w:val="auto"/>
                <w:sz w:val="20"/>
                <w:szCs w:val="20"/>
                <w:highlight w:val="none"/>
                <w:lang w:val="zh-CN"/>
              </w:rPr>
            </w:pPr>
            <w:r>
              <w:rPr>
                <w:color w:val="auto"/>
                <w:sz w:val="20"/>
                <w:szCs w:val="20"/>
                <w:highlight w:val="none"/>
                <w:lang w:val="zh-CN"/>
              </w:rPr>
              <w:t>重要条款（“▲”条款）负偏离在</w:t>
            </w:r>
            <w:r>
              <w:rPr>
                <w:color w:val="auto"/>
                <w:sz w:val="20"/>
                <w:szCs w:val="20"/>
                <w:highlight w:val="none"/>
              </w:rPr>
              <w:t>1</w:t>
            </w:r>
            <w:r>
              <w:rPr>
                <w:rFonts w:hint="eastAsia"/>
                <w:color w:val="auto"/>
                <w:sz w:val="20"/>
                <w:szCs w:val="20"/>
                <w:highlight w:val="none"/>
              </w:rPr>
              <w:t>6</w:t>
            </w:r>
            <w:r>
              <w:rPr>
                <w:color w:val="auto"/>
                <w:sz w:val="20"/>
                <w:szCs w:val="20"/>
                <w:highlight w:val="none"/>
                <w:lang w:val="zh-CN"/>
              </w:rPr>
              <w:t>项以内（含</w:t>
            </w:r>
            <w:r>
              <w:rPr>
                <w:color w:val="auto"/>
                <w:sz w:val="20"/>
                <w:szCs w:val="20"/>
                <w:highlight w:val="none"/>
              </w:rPr>
              <w:t>1</w:t>
            </w:r>
            <w:r>
              <w:rPr>
                <w:rFonts w:hint="eastAsia"/>
                <w:color w:val="auto"/>
                <w:sz w:val="20"/>
                <w:szCs w:val="20"/>
                <w:highlight w:val="none"/>
              </w:rPr>
              <w:t>6</w:t>
            </w:r>
            <w:r>
              <w:rPr>
                <w:color w:val="auto"/>
                <w:sz w:val="20"/>
                <w:szCs w:val="20"/>
                <w:highlight w:val="none"/>
                <w:lang w:val="zh-CN"/>
              </w:rPr>
              <w:t>项），每项扣</w:t>
            </w:r>
            <w:r>
              <w:rPr>
                <w:color w:val="auto"/>
                <w:sz w:val="20"/>
                <w:szCs w:val="20"/>
                <w:highlight w:val="none"/>
              </w:rPr>
              <w:t>1</w:t>
            </w:r>
            <w:r>
              <w:rPr>
                <w:color w:val="auto"/>
                <w:sz w:val="20"/>
                <w:szCs w:val="20"/>
                <w:highlight w:val="none"/>
                <w:lang w:val="zh-CN"/>
              </w:rPr>
              <w:t>分；</w:t>
            </w:r>
            <w:r>
              <w:rPr>
                <w:color w:val="auto"/>
                <w:sz w:val="20"/>
                <w:szCs w:val="20"/>
                <w:highlight w:val="none"/>
              </w:rPr>
              <w:t>完全响应得1</w:t>
            </w:r>
            <w:r>
              <w:rPr>
                <w:rFonts w:hint="eastAsia"/>
                <w:color w:val="auto"/>
                <w:sz w:val="20"/>
                <w:szCs w:val="20"/>
                <w:highlight w:val="none"/>
              </w:rPr>
              <w:t>6</w:t>
            </w:r>
            <w:r>
              <w:rPr>
                <w:color w:val="auto"/>
                <w:sz w:val="20"/>
                <w:szCs w:val="20"/>
                <w:highlight w:val="none"/>
              </w:rPr>
              <w:t>分</w:t>
            </w:r>
            <w:r>
              <w:rPr>
                <w:color w:val="auto"/>
                <w:sz w:val="20"/>
                <w:szCs w:val="20"/>
                <w:highlight w:val="none"/>
                <w:lang w:val="zh-CN"/>
              </w:rPr>
              <w:t>。</w:t>
            </w:r>
          </w:p>
          <w:p w14:paraId="4F426D02">
            <w:pPr>
              <w:pStyle w:val="5"/>
              <w:rPr>
                <w:color w:val="auto"/>
                <w:sz w:val="20"/>
                <w:szCs w:val="20"/>
                <w:highlight w:val="none"/>
              </w:rPr>
            </w:pPr>
            <w:r>
              <w:rPr>
                <w:b/>
                <w:bCs/>
                <w:color w:val="auto"/>
                <w:sz w:val="20"/>
                <w:szCs w:val="20"/>
                <w:highlight w:val="none"/>
                <w:u w:val="single"/>
              </w:rPr>
              <w:t>注：若采购需求中有要求提供相关证明材料的，以提供的材料为准，若用户需求中未要求提供证明材料的，则以投标人提供的《技术和服务要求响应表》为准，未按要求提供的不得分。</w:t>
            </w:r>
          </w:p>
        </w:tc>
        <w:tc>
          <w:tcPr>
            <w:tcW w:w="1216" w:type="dxa"/>
            <w:vAlign w:val="center"/>
          </w:tcPr>
          <w:p w14:paraId="35729181">
            <w:pPr>
              <w:pStyle w:val="5"/>
              <w:rPr>
                <w:b/>
                <w:bCs/>
                <w:color w:val="auto"/>
                <w:sz w:val="20"/>
                <w:szCs w:val="20"/>
                <w:highlight w:val="none"/>
                <w:u w:val="single"/>
              </w:rPr>
            </w:pPr>
          </w:p>
        </w:tc>
        <w:tc>
          <w:tcPr>
            <w:tcW w:w="1717" w:type="dxa"/>
            <w:vAlign w:val="center"/>
          </w:tcPr>
          <w:p w14:paraId="41C6F586">
            <w:pPr>
              <w:pStyle w:val="5"/>
              <w:rPr>
                <w:b/>
                <w:bCs/>
                <w:color w:val="auto"/>
                <w:sz w:val="20"/>
                <w:szCs w:val="20"/>
                <w:highlight w:val="none"/>
                <w:u w:val="single"/>
              </w:rPr>
            </w:pPr>
          </w:p>
        </w:tc>
      </w:tr>
      <w:tr w14:paraId="20A5A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7D1C591A">
            <w:pPr>
              <w:rPr>
                <w:color w:val="auto"/>
                <w:sz w:val="20"/>
                <w:szCs w:val="20"/>
                <w:highlight w:val="none"/>
              </w:rPr>
            </w:pPr>
          </w:p>
        </w:tc>
        <w:tc>
          <w:tcPr>
            <w:tcW w:w="1114" w:type="dxa"/>
          </w:tcPr>
          <w:p w14:paraId="439327EA">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质量保障</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3</w:t>
            </w:r>
            <w:r>
              <w:rPr>
                <w:rFonts w:hint="default" w:ascii="Times New Roman" w:hAnsi="Times New Roman" w:cs="Times New Roman"/>
                <w:color w:val="auto"/>
                <w:highlight w:val="none"/>
              </w:rPr>
              <w:t>.0分)</w:t>
            </w:r>
          </w:p>
        </w:tc>
        <w:tc>
          <w:tcPr>
            <w:tcW w:w="4986" w:type="dxa"/>
            <w:vAlign w:val="center"/>
          </w:tcPr>
          <w:p w14:paraId="7F6F2461">
            <w:pPr>
              <w:jc w:val="left"/>
              <w:rPr>
                <w:color w:val="auto"/>
                <w:sz w:val="20"/>
                <w:szCs w:val="20"/>
                <w:highlight w:val="none"/>
              </w:rPr>
            </w:pPr>
            <w:r>
              <w:rPr>
                <w:color w:val="auto"/>
                <w:sz w:val="20"/>
                <w:szCs w:val="20"/>
                <w:highlight w:val="none"/>
              </w:rPr>
              <w:t>1、服务项目按相关要求开展室内质控，质控结果满意，得</w:t>
            </w:r>
            <w:r>
              <w:rPr>
                <w:rFonts w:hint="eastAsia"/>
                <w:color w:val="auto"/>
                <w:sz w:val="20"/>
                <w:szCs w:val="20"/>
                <w:highlight w:val="none"/>
              </w:rPr>
              <w:t>3</w:t>
            </w:r>
            <w:r>
              <w:rPr>
                <w:color w:val="auto"/>
                <w:sz w:val="20"/>
                <w:szCs w:val="20"/>
                <w:highlight w:val="none"/>
              </w:rPr>
              <w:t>分。其他不得分。</w:t>
            </w:r>
          </w:p>
          <w:p w14:paraId="65D39E6A">
            <w:pPr>
              <w:jc w:val="left"/>
              <w:rPr>
                <w:color w:val="auto"/>
                <w:sz w:val="20"/>
                <w:szCs w:val="20"/>
                <w:highlight w:val="none"/>
              </w:rPr>
            </w:pPr>
            <w:r>
              <w:rPr>
                <w:b/>
                <w:bCs/>
                <w:color w:val="auto"/>
                <w:sz w:val="20"/>
                <w:szCs w:val="20"/>
                <w:highlight w:val="none"/>
                <w:u w:val="single"/>
              </w:rPr>
              <w:t>注：提供2023年1月份以来室内质量控制报表和性能验证报告，加盖公章。</w:t>
            </w:r>
          </w:p>
        </w:tc>
        <w:tc>
          <w:tcPr>
            <w:tcW w:w="1216" w:type="dxa"/>
            <w:vAlign w:val="center"/>
          </w:tcPr>
          <w:p w14:paraId="6B46971D">
            <w:pPr>
              <w:jc w:val="left"/>
              <w:rPr>
                <w:b/>
                <w:bCs/>
                <w:color w:val="auto"/>
                <w:sz w:val="20"/>
                <w:szCs w:val="20"/>
                <w:highlight w:val="none"/>
                <w:u w:val="single"/>
              </w:rPr>
            </w:pPr>
          </w:p>
        </w:tc>
        <w:tc>
          <w:tcPr>
            <w:tcW w:w="1717" w:type="dxa"/>
            <w:vAlign w:val="center"/>
          </w:tcPr>
          <w:p w14:paraId="42C328DD">
            <w:pPr>
              <w:jc w:val="left"/>
              <w:rPr>
                <w:b/>
                <w:bCs/>
                <w:color w:val="auto"/>
                <w:sz w:val="20"/>
                <w:szCs w:val="20"/>
                <w:highlight w:val="none"/>
                <w:u w:val="single"/>
              </w:rPr>
            </w:pPr>
          </w:p>
        </w:tc>
      </w:tr>
      <w:tr w14:paraId="214F6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67" w:type="dxa"/>
            <w:vMerge w:val="continue"/>
          </w:tcPr>
          <w:p w14:paraId="4A19F82D">
            <w:pPr>
              <w:rPr>
                <w:color w:val="auto"/>
                <w:sz w:val="20"/>
                <w:szCs w:val="20"/>
                <w:highlight w:val="none"/>
              </w:rPr>
            </w:pPr>
          </w:p>
        </w:tc>
        <w:tc>
          <w:tcPr>
            <w:tcW w:w="1114" w:type="dxa"/>
          </w:tcPr>
          <w:p w14:paraId="6152A972">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基础服务 (</w:t>
            </w:r>
            <w:r>
              <w:rPr>
                <w:rFonts w:ascii="Times New Roman" w:hAnsi="Times New Roman" w:cs="Times New Roman"/>
                <w:color w:val="auto"/>
                <w:highlight w:val="none"/>
                <w:lang w:eastAsia="zh-CN"/>
              </w:rPr>
              <w:t>5</w:t>
            </w:r>
            <w:r>
              <w:rPr>
                <w:rFonts w:hint="default" w:ascii="Times New Roman" w:hAnsi="Times New Roman" w:cs="Times New Roman"/>
                <w:color w:val="auto"/>
                <w:highlight w:val="none"/>
              </w:rPr>
              <w:t>.0分)</w:t>
            </w:r>
          </w:p>
        </w:tc>
        <w:tc>
          <w:tcPr>
            <w:tcW w:w="4986" w:type="dxa"/>
          </w:tcPr>
          <w:p w14:paraId="3B3B55C1">
            <w:pPr>
              <w:pStyle w:val="5"/>
              <w:rPr>
                <w:color w:val="auto"/>
                <w:sz w:val="20"/>
                <w:szCs w:val="20"/>
                <w:highlight w:val="none"/>
              </w:rPr>
            </w:pPr>
            <w:r>
              <w:rPr>
                <w:color w:val="auto"/>
                <w:sz w:val="20"/>
                <w:szCs w:val="20"/>
                <w:highlight w:val="none"/>
              </w:rPr>
              <w:t>1、对各投标人提供的标本接收方案进行评审打分：</w:t>
            </w:r>
          </w:p>
          <w:p w14:paraId="6E5590B2">
            <w:pPr>
              <w:pStyle w:val="5"/>
              <w:rPr>
                <w:color w:val="auto"/>
                <w:sz w:val="20"/>
                <w:szCs w:val="20"/>
                <w:highlight w:val="none"/>
              </w:rPr>
            </w:pPr>
            <w:r>
              <w:rPr>
                <w:color w:val="auto"/>
                <w:sz w:val="20"/>
                <w:szCs w:val="20"/>
                <w:highlight w:val="none"/>
              </w:rPr>
              <w:t>（1）方案内容详尽完整，流程设计严谨规范，配备符合生物安全要求的专用运输车辆及应急处理设备，登记流程完善，质控措施全面可靠，标本接收与周转时效保障有力，得</w:t>
            </w:r>
            <w:r>
              <w:rPr>
                <w:rFonts w:hint="eastAsia"/>
                <w:color w:val="auto"/>
                <w:sz w:val="20"/>
                <w:szCs w:val="20"/>
                <w:highlight w:val="none"/>
              </w:rPr>
              <w:t>5</w:t>
            </w:r>
            <w:r>
              <w:rPr>
                <w:color w:val="auto"/>
                <w:sz w:val="20"/>
                <w:szCs w:val="20"/>
                <w:highlight w:val="none"/>
              </w:rPr>
              <w:t>分；</w:t>
            </w:r>
          </w:p>
          <w:p w14:paraId="639CF6B8">
            <w:pPr>
              <w:pStyle w:val="5"/>
              <w:rPr>
                <w:color w:val="auto"/>
                <w:sz w:val="20"/>
                <w:szCs w:val="20"/>
                <w:highlight w:val="none"/>
              </w:rPr>
            </w:pPr>
            <w:r>
              <w:rPr>
                <w:color w:val="auto"/>
                <w:sz w:val="20"/>
                <w:szCs w:val="20"/>
                <w:highlight w:val="none"/>
              </w:rPr>
              <w:t>（2）方案内容基本完整，流程与安全控制措施总体符合要求，配备规定车辆与应急设备，具备基本的质量与时效保障机制，得</w:t>
            </w:r>
            <w:r>
              <w:rPr>
                <w:rFonts w:hint="eastAsia"/>
                <w:color w:val="auto"/>
                <w:sz w:val="20"/>
                <w:szCs w:val="20"/>
                <w:highlight w:val="none"/>
              </w:rPr>
              <w:t>3</w:t>
            </w:r>
            <w:r>
              <w:rPr>
                <w:color w:val="auto"/>
                <w:sz w:val="20"/>
                <w:szCs w:val="20"/>
                <w:highlight w:val="none"/>
              </w:rPr>
              <w:t>分；</w:t>
            </w:r>
          </w:p>
          <w:p w14:paraId="17B1ED01">
            <w:pPr>
              <w:pStyle w:val="5"/>
              <w:rPr>
                <w:color w:val="auto"/>
                <w:sz w:val="20"/>
                <w:szCs w:val="20"/>
                <w:highlight w:val="none"/>
              </w:rPr>
            </w:pPr>
            <w:r>
              <w:rPr>
                <w:color w:val="auto"/>
                <w:sz w:val="20"/>
                <w:szCs w:val="20"/>
                <w:highlight w:val="none"/>
              </w:rPr>
              <w:t>（3）方案内容较为简略，流程或质控措施存在不足，但尚可支持项目运作，得1分；</w:t>
            </w:r>
          </w:p>
          <w:p w14:paraId="1FDDF204">
            <w:pPr>
              <w:pStyle w:val="5"/>
              <w:rPr>
                <w:color w:val="auto"/>
                <w:sz w:val="20"/>
                <w:szCs w:val="20"/>
                <w:highlight w:val="none"/>
              </w:rPr>
            </w:pPr>
            <w:r>
              <w:rPr>
                <w:color w:val="auto"/>
                <w:sz w:val="20"/>
                <w:szCs w:val="20"/>
                <w:highlight w:val="none"/>
              </w:rPr>
              <w:t>（4）未提供有效方案，或方案明显不符合项目规范与生物安全要求，得0分。</w:t>
            </w:r>
          </w:p>
        </w:tc>
        <w:tc>
          <w:tcPr>
            <w:tcW w:w="1216" w:type="dxa"/>
          </w:tcPr>
          <w:p w14:paraId="4EEC16F5">
            <w:pPr>
              <w:pStyle w:val="5"/>
              <w:rPr>
                <w:color w:val="auto"/>
                <w:sz w:val="20"/>
                <w:szCs w:val="20"/>
                <w:highlight w:val="none"/>
              </w:rPr>
            </w:pPr>
          </w:p>
        </w:tc>
        <w:tc>
          <w:tcPr>
            <w:tcW w:w="1717" w:type="dxa"/>
          </w:tcPr>
          <w:p w14:paraId="63DEAB7A">
            <w:pPr>
              <w:pStyle w:val="5"/>
              <w:rPr>
                <w:color w:val="auto"/>
                <w:sz w:val="20"/>
                <w:szCs w:val="20"/>
                <w:highlight w:val="none"/>
              </w:rPr>
            </w:pPr>
          </w:p>
        </w:tc>
      </w:tr>
      <w:tr w14:paraId="4FE98F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BC365E2">
            <w:pPr>
              <w:rPr>
                <w:color w:val="auto"/>
                <w:sz w:val="20"/>
                <w:szCs w:val="20"/>
                <w:highlight w:val="none"/>
              </w:rPr>
            </w:pPr>
          </w:p>
        </w:tc>
        <w:tc>
          <w:tcPr>
            <w:tcW w:w="1114" w:type="dxa"/>
          </w:tcPr>
          <w:p w14:paraId="72287F91">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项目实施服务方案 (</w:t>
            </w:r>
            <w:r>
              <w:rPr>
                <w:rFonts w:hint="default" w:ascii="Times New Roman" w:hAnsi="Times New Roman" w:cs="Times New Roman"/>
                <w:color w:val="auto"/>
                <w:highlight w:val="none"/>
                <w:lang w:eastAsia="zh-CN"/>
              </w:rPr>
              <w:t>4</w:t>
            </w:r>
            <w:r>
              <w:rPr>
                <w:rFonts w:hint="default" w:ascii="Times New Roman" w:hAnsi="Times New Roman" w:cs="Times New Roman"/>
                <w:color w:val="auto"/>
                <w:highlight w:val="none"/>
              </w:rPr>
              <w:t>.0分)</w:t>
            </w:r>
          </w:p>
        </w:tc>
        <w:tc>
          <w:tcPr>
            <w:tcW w:w="4986" w:type="dxa"/>
          </w:tcPr>
          <w:p w14:paraId="16B2D02B">
            <w:pPr>
              <w:pStyle w:val="5"/>
              <w:rPr>
                <w:color w:val="auto"/>
                <w:sz w:val="20"/>
                <w:szCs w:val="20"/>
                <w:highlight w:val="none"/>
              </w:rPr>
            </w:pPr>
            <w:r>
              <w:rPr>
                <w:color w:val="auto"/>
                <w:sz w:val="20"/>
                <w:szCs w:val="20"/>
                <w:highlight w:val="none"/>
              </w:rPr>
              <w:t>对各投标人项目实施服务方案（包括但不限于项目实施进度计划、安全保障措施、后续服务方案、服务计划的安排等）是否满足采购人需求，完善可行、具体合理进行评审打分：</w:t>
            </w:r>
          </w:p>
          <w:p w14:paraId="64E8CA13">
            <w:pPr>
              <w:rPr>
                <w:color w:val="auto"/>
                <w:sz w:val="20"/>
                <w:szCs w:val="20"/>
                <w:highlight w:val="none"/>
              </w:rPr>
            </w:pPr>
            <w:r>
              <w:rPr>
                <w:color w:val="auto"/>
                <w:sz w:val="20"/>
                <w:szCs w:val="20"/>
                <w:highlight w:val="none"/>
              </w:rPr>
              <w:t>1. 项目实施服务方案能够结合采购人情况设置，方案完善可行、具体合理，得4分；</w:t>
            </w:r>
          </w:p>
          <w:p w14:paraId="519D2D8B">
            <w:pPr>
              <w:rPr>
                <w:color w:val="auto"/>
                <w:sz w:val="20"/>
                <w:szCs w:val="20"/>
                <w:highlight w:val="none"/>
              </w:rPr>
            </w:pPr>
            <w:r>
              <w:rPr>
                <w:color w:val="auto"/>
                <w:sz w:val="20"/>
                <w:szCs w:val="20"/>
                <w:highlight w:val="none"/>
              </w:rPr>
              <w:t>2. 项目实施服务方案能够结合采购人情况设置，方案较完善可行、较具体合理，得3分；</w:t>
            </w:r>
          </w:p>
          <w:p w14:paraId="15E903E4">
            <w:pPr>
              <w:rPr>
                <w:color w:val="auto"/>
                <w:sz w:val="20"/>
                <w:szCs w:val="20"/>
                <w:highlight w:val="none"/>
              </w:rPr>
            </w:pPr>
            <w:r>
              <w:rPr>
                <w:color w:val="auto"/>
                <w:sz w:val="20"/>
                <w:szCs w:val="20"/>
                <w:highlight w:val="none"/>
              </w:rPr>
              <w:t>3. 项目实施服务方案不能结合采购人情况设置，方案不够完善且可行性一般、不够具体且不够合理，得2分；</w:t>
            </w:r>
          </w:p>
          <w:p w14:paraId="274705D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4. 不提供项目实施服务方案不得分。</w:t>
            </w:r>
          </w:p>
        </w:tc>
        <w:tc>
          <w:tcPr>
            <w:tcW w:w="1216" w:type="dxa"/>
          </w:tcPr>
          <w:p w14:paraId="1533A92A">
            <w:pPr>
              <w:pStyle w:val="24"/>
              <w:rPr>
                <w:rFonts w:hint="default" w:ascii="Times New Roman" w:hAnsi="Times New Roman" w:cs="Times New Roman"/>
                <w:color w:val="auto"/>
                <w:highlight w:val="none"/>
              </w:rPr>
            </w:pPr>
          </w:p>
        </w:tc>
        <w:tc>
          <w:tcPr>
            <w:tcW w:w="1717" w:type="dxa"/>
          </w:tcPr>
          <w:p w14:paraId="34148654">
            <w:pPr>
              <w:pStyle w:val="24"/>
              <w:rPr>
                <w:rFonts w:hint="default" w:ascii="Times New Roman" w:hAnsi="Times New Roman" w:cs="Times New Roman"/>
                <w:color w:val="auto"/>
                <w:highlight w:val="none"/>
              </w:rPr>
            </w:pPr>
          </w:p>
        </w:tc>
      </w:tr>
      <w:tr w14:paraId="61012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4DA126F4">
            <w:pPr>
              <w:rPr>
                <w:color w:val="auto"/>
                <w:sz w:val="20"/>
                <w:szCs w:val="20"/>
                <w:highlight w:val="none"/>
              </w:rPr>
            </w:pPr>
          </w:p>
        </w:tc>
        <w:tc>
          <w:tcPr>
            <w:tcW w:w="1114" w:type="dxa"/>
          </w:tcPr>
          <w:p w14:paraId="3A6032F0">
            <w:pPr>
              <w:pStyle w:val="24"/>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lang w:val="en-GB"/>
              </w:rPr>
              <w:t>专业技术服务团队</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6</w:t>
            </w:r>
            <w:r>
              <w:rPr>
                <w:rFonts w:hint="default" w:ascii="Times New Roman" w:hAnsi="Times New Roman" w:cs="Times New Roman"/>
                <w:color w:val="auto"/>
                <w:highlight w:val="none"/>
              </w:rPr>
              <w:t>.0分)</w:t>
            </w:r>
          </w:p>
        </w:tc>
        <w:tc>
          <w:tcPr>
            <w:tcW w:w="4986" w:type="dxa"/>
            <w:vAlign w:val="center"/>
          </w:tcPr>
          <w:p w14:paraId="178EE1EE">
            <w:pPr>
              <w:numPr>
                <w:ilvl w:val="0"/>
                <w:numId w:val="7"/>
              </w:numPr>
              <w:rPr>
                <w:color w:val="auto"/>
                <w:sz w:val="20"/>
                <w:szCs w:val="20"/>
                <w:highlight w:val="none"/>
                <w:lang w:eastAsia="zh-Hans"/>
              </w:rPr>
            </w:pPr>
            <w:r>
              <w:rPr>
                <w:rFonts w:hint="eastAsia"/>
                <w:color w:val="auto"/>
                <w:sz w:val="20"/>
                <w:szCs w:val="20"/>
                <w:highlight w:val="none"/>
                <w:lang w:eastAsia="zh-Hans"/>
              </w:rPr>
              <w:t>投标人根据本项目采购需求中“★（一）为本项目配备的服务人员中”为本项目所配备的5名（或以上）专业技术人员中：（1）每提供1名具备副高或以上的医学检验技师职称的得</w:t>
            </w:r>
            <w:r>
              <w:rPr>
                <w:rFonts w:hint="eastAsia"/>
                <w:color w:val="auto"/>
                <w:sz w:val="20"/>
                <w:szCs w:val="20"/>
                <w:highlight w:val="none"/>
              </w:rPr>
              <w:t>1</w:t>
            </w:r>
            <w:r>
              <w:rPr>
                <w:rFonts w:hint="eastAsia"/>
                <w:color w:val="auto"/>
                <w:sz w:val="20"/>
                <w:szCs w:val="20"/>
                <w:highlight w:val="none"/>
                <w:lang w:eastAsia="zh-Hans"/>
              </w:rPr>
              <w:t>分，最高得</w:t>
            </w:r>
            <w:r>
              <w:rPr>
                <w:rFonts w:hint="eastAsia"/>
                <w:color w:val="auto"/>
                <w:sz w:val="20"/>
                <w:szCs w:val="20"/>
                <w:highlight w:val="none"/>
              </w:rPr>
              <w:t>4</w:t>
            </w:r>
            <w:r>
              <w:rPr>
                <w:rFonts w:hint="eastAsia"/>
                <w:color w:val="auto"/>
                <w:sz w:val="20"/>
                <w:szCs w:val="20"/>
                <w:highlight w:val="none"/>
                <w:lang w:eastAsia="zh-Hans"/>
              </w:rPr>
              <w:t>分；（2）每提供1名具备中级检验技师职称的得</w:t>
            </w:r>
            <w:r>
              <w:rPr>
                <w:rFonts w:hint="eastAsia"/>
                <w:color w:val="auto"/>
                <w:sz w:val="20"/>
                <w:szCs w:val="20"/>
                <w:highlight w:val="none"/>
              </w:rPr>
              <w:t>0</w:t>
            </w:r>
            <w:r>
              <w:rPr>
                <w:rFonts w:hint="eastAsia"/>
                <w:color w:val="auto"/>
                <w:sz w:val="20"/>
                <w:szCs w:val="20"/>
                <w:highlight w:val="none"/>
                <w:lang w:eastAsia="zh-Hans"/>
              </w:rPr>
              <w:t>.5分，最高得</w:t>
            </w:r>
            <w:r>
              <w:rPr>
                <w:rFonts w:hint="eastAsia"/>
                <w:color w:val="auto"/>
                <w:sz w:val="20"/>
                <w:szCs w:val="20"/>
                <w:highlight w:val="none"/>
              </w:rPr>
              <w:t>2</w:t>
            </w:r>
            <w:r>
              <w:rPr>
                <w:rFonts w:hint="eastAsia"/>
                <w:color w:val="auto"/>
                <w:sz w:val="20"/>
                <w:szCs w:val="20"/>
                <w:highlight w:val="none"/>
                <w:lang w:eastAsia="zh-Hans"/>
              </w:rPr>
              <w:t>分；（3）本小项最高得</w:t>
            </w:r>
            <w:r>
              <w:rPr>
                <w:rFonts w:hint="eastAsia"/>
                <w:color w:val="auto"/>
                <w:sz w:val="20"/>
                <w:szCs w:val="20"/>
                <w:highlight w:val="none"/>
              </w:rPr>
              <w:t>6</w:t>
            </w:r>
            <w:r>
              <w:rPr>
                <w:rFonts w:hint="eastAsia"/>
                <w:color w:val="auto"/>
                <w:sz w:val="20"/>
                <w:szCs w:val="20"/>
                <w:highlight w:val="none"/>
                <w:lang w:eastAsia="zh-Hans"/>
              </w:rPr>
              <w:t xml:space="preserve">分；同一人员按其最高职称级别计算一次，不累计得分，不提供不得分。 </w:t>
            </w:r>
          </w:p>
          <w:p w14:paraId="5F7E188A">
            <w:pPr>
              <w:numPr>
                <w:ilvl w:val="255"/>
                <w:numId w:val="0"/>
              </w:numPr>
              <w:rPr>
                <w:color w:val="auto"/>
                <w:sz w:val="20"/>
                <w:szCs w:val="20"/>
                <w:highlight w:val="none"/>
              </w:rPr>
            </w:pPr>
            <w:r>
              <w:rPr>
                <w:rFonts w:hint="eastAsia"/>
                <w:color w:val="auto"/>
                <w:sz w:val="20"/>
                <w:szCs w:val="20"/>
                <w:highlight w:val="none"/>
                <w:lang w:eastAsia="zh-Hans"/>
              </w:rPr>
              <w:t>（注：提供人员配备清单（格式自定），以上1～2项的同一人员不重复且不混合计算；提供1～2的拟派服务人员的对应职称证明或相关的证明材料，提供微生物学相关专业人员的相关服务工作经验证明材料（如甲乙双方合同、用户评价、第三方委派工作证明等），复印件并加盖投标人公章。证明材料不清晰或不按要求提供或缺项漏项或不提供的，则不得分。）</w:t>
            </w:r>
          </w:p>
        </w:tc>
        <w:tc>
          <w:tcPr>
            <w:tcW w:w="1216" w:type="dxa"/>
            <w:vAlign w:val="center"/>
          </w:tcPr>
          <w:p w14:paraId="1EFC9BF9">
            <w:pPr>
              <w:numPr>
                <w:ilvl w:val="255"/>
                <w:numId w:val="0"/>
              </w:numPr>
              <w:rPr>
                <w:rFonts w:hint="eastAsia"/>
                <w:color w:val="auto"/>
                <w:sz w:val="20"/>
                <w:szCs w:val="20"/>
                <w:highlight w:val="none"/>
                <w:lang w:eastAsia="zh-Hans"/>
              </w:rPr>
            </w:pPr>
          </w:p>
        </w:tc>
        <w:tc>
          <w:tcPr>
            <w:tcW w:w="1717" w:type="dxa"/>
            <w:vAlign w:val="center"/>
          </w:tcPr>
          <w:p w14:paraId="38A25199">
            <w:pPr>
              <w:numPr>
                <w:ilvl w:val="255"/>
                <w:numId w:val="0"/>
              </w:numPr>
              <w:rPr>
                <w:rFonts w:hint="eastAsia"/>
                <w:color w:val="auto"/>
                <w:sz w:val="20"/>
                <w:szCs w:val="20"/>
                <w:highlight w:val="none"/>
                <w:lang w:eastAsia="zh-Hans"/>
              </w:rPr>
            </w:pPr>
          </w:p>
        </w:tc>
      </w:tr>
      <w:tr w14:paraId="5891CC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69FDA6CF">
            <w:pPr>
              <w:rPr>
                <w:color w:val="auto"/>
                <w:sz w:val="20"/>
                <w:szCs w:val="20"/>
                <w:highlight w:val="none"/>
              </w:rPr>
            </w:pPr>
          </w:p>
        </w:tc>
        <w:tc>
          <w:tcPr>
            <w:tcW w:w="1114" w:type="dxa"/>
          </w:tcPr>
          <w:p w14:paraId="42F53BCD">
            <w:pPr>
              <w:pStyle w:val="24"/>
              <w:rPr>
                <w:rFonts w:hint="default" w:ascii="Times New Roman" w:hAnsi="Times New Roman" w:cs="Times New Roman"/>
                <w:color w:val="auto"/>
                <w:spacing w:val="-8"/>
                <w:highlight w:val="none"/>
                <w:lang w:eastAsia="zh-CN"/>
              </w:rPr>
            </w:pPr>
            <w:r>
              <w:rPr>
                <w:rFonts w:hint="default" w:ascii="Times New Roman" w:hAnsi="Times New Roman" w:eastAsia="宋体" w:cs="Times New Roman"/>
                <w:color w:val="auto"/>
                <w:sz w:val="21"/>
                <w:szCs w:val="21"/>
                <w:highlight w:val="none"/>
              </w:rPr>
              <w:t>检验信息化服务能力方案</w:t>
            </w:r>
            <w:r>
              <w:rPr>
                <w:rFonts w:hint="default" w:ascii="Times New Roman" w:hAnsi="Times New Roman" w:cs="Times New Roman"/>
                <w:color w:val="auto"/>
                <w:spacing w:val="-8"/>
                <w:highlight w:val="none"/>
                <w:lang w:eastAsia="zh-CN"/>
              </w:rPr>
              <w:t>（</w:t>
            </w:r>
            <w:r>
              <w:rPr>
                <w:rFonts w:ascii="Times New Roman" w:hAnsi="Times New Roman" w:cs="Times New Roman"/>
                <w:color w:val="auto"/>
                <w:spacing w:val="-8"/>
                <w:highlight w:val="none"/>
                <w:lang w:eastAsia="zh-CN"/>
              </w:rPr>
              <w:t>8</w:t>
            </w:r>
            <w:r>
              <w:rPr>
                <w:rFonts w:hint="default" w:ascii="Times New Roman" w:hAnsi="Times New Roman" w:cs="Times New Roman"/>
                <w:color w:val="auto"/>
                <w:spacing w:val="-8"/>
                <w:highlight w:val="none"/>
                <w:lang w:eastAsia="zh-CN"/>
              </w:rPr>
              <w:t>.0分）</w:t>
            </w:r>
          </w:p>
        </w:tc>
        <w:tc>
          <w:tcPr>
            <w:tcW w:w="4986" w:type="dxa"/>
            <w:vAlign w:val="center"/>
          </w:tcPr>
          <w:p w14:paraId="5503F0D4">
            <w:pPr>
              <w:spacing w:line="312" w:lineRule="auto"/>
              <w:rPr>
                <w:color w:val="auto"/>
                <w:highlight w:val="none"/>
              </w:rPr>
            </w:pPr>
            <w:r>
              <w:rPr>
                <w:color w:val="auto"/>
                <w:highlight w:val="none"/>
              </w:rPr>
              <w:t>1.</w:t>
            </w:r>
            <w:r>
              <w:rPr>
                <w:color w:val="auto"/>
                <w:kern w:val="0"/>
                <w:highlight w:val="none"/>
                <w:lang w:bidi="ar"/>
              </w:rPr>
              <w:t>投标人具备信息化服务能力，能够保证医疗信息安全。对投标人获得的信息安全管理体系认证证书、信息技术服务管理体系认证证书进行评审，以上证书覆盖范围须包括临床医学检验，提供一个证书得</w:t>
            </w:r>
            <w:r>
              <w:rPr>
                <w:rFonts w:hint="eastAsia"/>
                <w:color w:val="auto"/>
                <w:kern w:val="0"/>
                <w:highlight w:val="none"/>
                <w:lang w:bidi="ar"/>
              </w:rPr>
              <w:t>0.5</w:t>
            </w:r>
            <w:r>
              <w:rPr>
                <w:color w:val="auto"/>
                <w:kern w:val="0"/>
                <w:highlight w:val="none"/>
                <w:lang w:bidi="ar"/>
              </w:rPr>
              <w:t>分，最高得</w:t>
            </w:r>
            <w:r>
              <w:rPr>
                <w:rFonts w:hint="eastAsia"/>
                <w:color w:val="auto"/>
                <w:kern w:val="0"/>
                <w:highlight w:val="none"/>
                <w:lang w:bidi="ar"/>
              </w:rPr>
              <w:t>2</w:t>
            </w:r>
            <w:r>
              <w:rPr>
                <w:color w:val="auto"/>
                <w:kern w:val="0"/>
                <w:highlight w:val="none"/>
                <w:lang w:bidi="ar"/>
              </w:rPr>
              <w:t>分。</w:t>
            </w:r>
          </w:p>
          <w:p w14:paraId="133AC830">
            <w:pPr>
              <w:spacing w:line="312" w:lineRule="auto"/>
              <w:rPr>
                <w:color w:val="auto"/>
                <w:highlight w:val="none"/>
              </w:rPr>
            </w:pPr>
            <w:r>
              <w:rPr>
                <w:color w:val="auto"/>
                <w:highlight w:val="none"/>
              </w:rPr>
              <w:t>2.投标人需具备医学信息化服务能力，配备完善的信息系统，具备安全可靠的医疗信息安全管理服务能力。根据投标人针对本项目采购需求所提供的检验信息化服务能力方案（内容至少包括：①标本检测所需信息系统等信息化工具及技术支持并具备自建检验信息系统开发、实施能力的相关方案；②双向系统对接方案；③信息安全承诺等）进行评审：</w:t>
            </w:r>
          </w:p>
          <w:p w14:paraId="511EA4BD">
            <w:pPr>
              <w:spacing w:line="312" w:lineRule="auto"/>
              <w:rPr>
                <w:color w:val="auto"/>
                <w:highlight w:val="none"/>
              </w:rPr>
            </w:pPr>
            <w:r>
              <w:rPr>
                <w:color w:val="auto"/>
                <w:highlight w:val="none"/>
              </w:rPr>
              <w:t>（1）检验信息化系统服务方案涵盖上述内容项，医学信息化服务能力强，配备完善的信息系统，系统对接方案完整可行的，得</w:t>
            </w:r>
            <w:r>
              <w:rPr>
                <w:rFonts w:hint="eastAsia"/>
                <w:color w:val="auto"/>
                <w:highlight w:val="none"/>
              </w:rPr>
              <w:t>6</w:t>
            </w:r>
            <w:r>
              <w:rPr>
                <w:color w:val="auto"/>
                <w:highlight w:val="none"/>
              </w:rPr>
              <w:t>分；</w:t>
            </w:r>
          </w:p>
          <w:p w14:paraId="1FA2D58E">
            <w:pPr>
              <w:spacing w:line="312" w:lineRule="auto"/>
              <w:rPr>
                <w:color w:val="auto"/>
                <w:highlight w:val="none"/>
              </w:rPr>
            </w:pPr>
            <w:r>
              <w:rPr>
                <w:color w:val="auto"/>
                <w:highlight w:val="none"/>
              </w:rPr>
              <w:t>（2）检验信息化系统服务方案涵盖上述内容项，医学信息化服务能力较强，配备较完善的信息系统，系统对接方案较完整可行的，得</w:t>
            </w:r>
            <w:r>
              <w:rPr>
                <w:rFonts w:hint="eastAsia"/>
                <w:color w:val="auto"/>
                <w:highlight w:val="none"/>
              </w:rPr>
              <w:t>4</w:t>
            </w:r>
            <w:r>
              <w:rPr>
                <w:color w:val="auto"/>
                <w:highlight w:val="none"/>
              </w:rPr>
              <w:t>分；</w:t>
            </w:r>
          </w:p>
          <w:p w14:paraId="44E77BD5">
            <w:pPr>
              <w:spacing w:line="312" w:lineRule="auto"/>
              <w:rPr>
                <w:color w:val="auto"/>
                <w:highlight w:val="none"/>
              </w:rPr>
            </w:pPr>
            <w:r>
              <w:rPr>
                <w:color w:val="auto"/>
                <w:highlight w:val="none"/>
              </w:rPr>
              <w:t>（3）检验信息化系统服务方案涵盖上述内容项，但医学信息化服务能力一般，信息系统一般，系统对接方案一般的，得</w:t>
            </w:r>
            <w:r>
              <w:rPr>
                <w:rFonts w:hint="eastAsia"/>
                <w:color w:val="auto"/>
                <w:highlight w:val="none"/>
              </w:rPr>
              <w:t>2</w:t>
            </w:r>
            <w:r>
              <w:rPr>
                <w:color w:val="auto"/>
                <w:highlight w:val="none"/>
              </w:rPr>
              <w:t>分；</w:t>
            </w:r>
          </w:p>
          <w:p w14:paraId="7F866CA6">
            <w:pPr>
              <w:pStyle w:val="6"/>
              <w:rPr>
                <w:color w:val="auto"/>
                <w:spacing w:val="-8"/>
                <w:sz w:val="20"/>
                <w:szCs w:val="20"/>
                <w:highlight w:val="none"/>
              </w:rPr>
            </w:pPr>
            <w:r>
              <w:rPr>
                <w:color w:val="auto"/>
                <w:highlight w:val="none"/>
              </w:rPr>
              <w:t>（4）检验信息化系统服务方案未全部涵盖上述内容项或未提供检验信息化系统服务方案的，不得分。</w:t>
            </w:r>
          </w:p>
        </w:tc>
        <w:tc>
          <w:tcPr>
            <w:tcW w:w="1216" w:type="dxa"/>
            <w:vAlign w:val="center"/>
          </w:tcPr>
          <w:p w14:paraId="35C80707">
            <w:pPr>
              <w:pStyle w:val="6"/>
              <w:rPr>
                <w:color w:val="auto"/>
                <w:highlight w:val="none"/>
              </w:rPr>
            </w:pPr>
          </w:p>
        </w:tc>
        <w:tc>
          <w:tcPr>
            <w:tcW w:w="1717" w:type="dxa"/>
            <w:vAlign w:val="center"/>
          </w:tcPr>
          <w:p w14:paraId="64BE89B4">
            <w:pPr>
              <w:pStyle w:val="6"/>
              <w:rPr>
                <w:color w:val="auto"/>
                <w:highlight w:val="none"/>
              </w:rPr>
            </w:pPr>
          </w:p>
        </w:tc>
      </w:tr>
      <w:tr w14:paraId="39DE2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06335DF7">
            <w:pPr>
              <w:rPr>
                <w:color w:val="auto"/>
                <w:sz w:val="20"/>
                <w:szCs w:val="20"/>
                <w:highlight w:val="none"/>
              </w:rPr>
            </w:pPr>
          </w:p>
        </w:tc>
        <w:tc>
          <w:tcPr>
            <w:tcW w:w="1114" w:type="dxa"/>
          </w:tcPr>
          <w:p w14:paraId="7BA87C15">
            <w:pPr>
              <w:pStyle w:val="24"/>
              <w:rPr>
                <w:rFonts w:hint="default" w:ascii="Times New Roman" w:hAnsi="Times New Roman" w:cs="Times New Roman"/>
                <w:color w:val="auto"/>
                <w:highlight w:val="none"/>
              </w:rPr>
            </w:pPr>
            <w:r>
              <w:rPr>
                <w:rFonts w:ascii="Times New Roman" w:hAnsi="Times New Roman" w:cs="Times New Roman"/>
                <w:color w:val="auto"/>
                <w:spacing w:val="-8"/>
                <w:highlight w:val="none"/>
                <w:lang w:eastAsia="zh-CN"/>
              </w:rPr>
              <w:t>综合能力</w:t>
            </w:r>
            <w:r>
              <w:rPr>
                <w:rFonts w:hint="default" w:ascii="Times New Roman" w:hAnsi="Times New Roman" w:cs="Times New Roman"/>
                <w:color w:val="auto"/>
                <w:highlight w:val="none"/>
              </w:rPr>
              <w:t xml:space="preserve"> (</w:t>
            </w:r>
            <w:r>
              <w:rPr>
                <w:rFonts w:ascii="Times New Roman" w:hAnsi="Times New Roman" w:cs="Times New Roman"/>
                <w:color w:val="auto"/>
                <w:highlight w:val="none"/>
                <w:lang w:eastAsia="zh-CN"/>
              </w:rPr>
              <w:t>5.2</w:t>
            </w:r>
            <w:r>
              <w:rPr>
                <w:rFonts w:hint="default" w:ascii="Times New Roman" w:hAnsi="Times New Roman" w:cs="Times New Roman"/>
                <w:color w:val="auto"/>
                <w:highlight w:val="none"/>
              </w:rPr>
              <w:t>分)</w:t>
            </w:r>
          </w:p>
        </w:tc>
        <w:tc>
          <w:tcPr>
            <w:tcW w:w="4986" w:type="dxa"/>
            <w:vAlign w:val="center"/>
          </w:tcPr>
          <w:p w14:paraId="56EDC95A">
            <w:pPr>
              <w:pStyle w:val="6"/>
              <w:rPr>
                <w:color w:val="auto"/>
                <w:sz w:val="20"/>
                <w:szCs w:val="20"/>
                <w:highlight w:val="none"/>
              </w:rPr>
            </w:pPr>
            <w:r>
              <w:rPr>
                <w:color w:val="auto"/>
                <w:highlight w:val="none"/>
              </w:rPr>
              <w:t>投标人需在医学检验领域具备人工智能体，通过人工智能应用提升医院医疗服务能力，并将投标人需在医学检验领域具备人工智能体，通过人工智能应用提升医院医疗服务能力，并将人工智能与医院临床诊疗路径及业务流程相结合，实现智慧报告解读、疾病问答、项目推荐、用药助手等智能场景应用，且人工智能体通过第三方机构或行业权威组织的合规化评估/验证，或提供相关技术文档、测试报告等证明材料，证明其符合医疗行业相关标准和规范，得</w:t>
            </w:r>
            <w:r>
              <w:rPr>
                <w:rFonts w:hint="eastAsia"/>
                <w:color w:val="auto"/>
                <w:highlight w:val="none"/>
              </w:rPr>
              <w:t>5.2</w:t>
            </w:r>
            <w:r>
              <w:rPr>
                <w:color w:val="auto"/>
                <w:highlight w:val="none"/>
              </w:rPr>
              <w:t>分。</w:t>
            </w:r>
          </w:p>
        </w:tc>
        <w:tc>
          <w:tcPr>
            <w:tcW w:w="1216" w:type="dxa"/>
            <w:vAlign w:val="center"/>
          </w:tcPr>
          <w:p w14:paraId="5FC27C97">
            <w:pPr>
              <w:pStyle w:val="6"/>
              <w:rPr>
                <w:color w:val="auto"/>
                <w:highlight w:val="none"/>
              </w:rPr>
            </w:pPr>
          </w:p>
        </w:tc>
        <w:tc>
          <w:tcPr>
            <w:tcW w:w="1717" w:type="dxa"/>
            <w:vAlign w:val="center"/>
          </w:tcPr>
          <w:p w14:paraId="324F0D88">
            <w:pPr>
              <w:pStyle w:val="6"/>
              <w:rPr>
                <w:color w:val="auto"/>
                <w:highlight w:val="none"/>
              </w:rPr>
            </w:pPr>
          </w:p>
        </w:tc>
      </w:tr>
      <w:tr w14:paraId="4DBA4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58733659">
            <w:pPr>
              <w:rPr>
                <w:color w:val="auto"/>
                <w:sz w:val="20"/>
                <w:szCs w:val="20"/>
                <w:highlight w:val="none"/>
              </w:rPr>
            </w:pPr>
          </w:p>
        </w:tc>
        <w:tc>
          <w:tcPr>
            <w:tcW w:w="1114" w:type="dxa"/>
            <w:shd w:val="clear" w:color="auto" w:fill="auto"/>
            <w:vAlign w:val="top"/>
          </w:tcPr>
          <w:p w14:paraId="6D61826E">
            <w:pPr>
              <w:pStyle w:val="24"/>
              <w:rPr>
                <w:rFonts w:hint="default" w:ascii="Times New Roman" w:hAnsi="Times New Roman" w:cs="Times New Roman" w:eastAsiaTheme="minorEastAsia"/>
                <w:color w:val="auto"/>
                <w:highlight w:val="none"/>
                <w:lang w:val="en-US" w:eastAsia="zh-CN" w:bidi="ar-SA"/>
              </w:rPr>
            </w:pPr>
            <w:r>
              <w:rPr>
                <w:rFonts w:hint="default" w:ascii="Times New Roman" w:hAnsi="Times New Roman" w:cs="Times New Roman"/>
                <w:color w:val="auto"/>
                <w:spacing w:val="-8"/>
                <w:highlight w:val="none"/>
              </w:rPr>
              <w:t>质量控制方案</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eastAsia="zh-CN"/>
              </w:rPr>
              <w:t>5.</w:t>
            </w:r>
            <w:r>
              <w:rPr>
                <w:rFonts w:hint="default" w:ascii="Times New Roman" w:hAnsi="Times New Roman" w:cs="Times New Roman"/>
                <w:color w:val="auto"/>
                <w:highlight w:val="none"/>
              </w:rPr>
              <w:t>0分)</w:t>
            </w:r>
          </w:p>
        </w:tc>
        <w:tc>
          <w:tcPr>
            <w:tcW w:w="4986" w:type="dxa"/>
            <w:shd w:val="clear" w:color="auto" w:fill="auto"/>
            <w:vAlign w:val="center"/>
          </w:tcPr>
          <w:p w14:paraId="7BAE885B">
            <w:pPr>
              <w:numPr>
                <w:ilvl w:val="255"/>
                <w:numId w:val="0"/>
              </w:numPr>
              <w:rPr>
                <w:color w:val="auto"/>
                <w:spacing w:val="-8"/>
                <w:sz w:val="20"/>
                <w:szCs w:val="20"/>
                <w:highlight w:val="none"/>
              </w:rPr>
            </w:pPr>
            <w:r>
              <w:rPr>
                <w:color w:val="auto"/>
                <w:spacing w:val="-8"/>
                <w:sz w:val="20"/>
                <w:szCs w:val="20"/>
                <w:highlight w:val="none"/>
              </w:rPr>
              <w:t>根据投标人提供的质量控制措施方案进行综合评审：</w:t>
            </w:r>
          </w:p>
          <w:p w14:paraId="09F0ACBD">
            <w:pPr>
              <w:rPr>
                <w:color w:val="auto"/>
                <w:spacing w:val="-8"/>
                <w:sz w:val="20"/>
                <w:szCs w:val="20"/>
                <w:highlight w:val="none"/>
              </w:rPr>
            </w:pPr>
            <w:r>
              <w:rPr>
                <w:color w:val="auto"/>
                <w:spacing w:val="-8"/>
                <w:sz w:val="20"/>
                <w:szCs w:val="20"/>
                <w:highlight w:val="none"/>
              </w:rPr>
              <w:t>（1）质量控制措施方案内容详细，有针对性、科学合理、措施可行性高，完全满足采购需求的，得5分；</w:t>
            </w:r>
          </w:p>
          <w:p w14:paraId="4EE33205">
            <w:pPr>
              <w:rPr>
                <w:color w:val="auto"/>
                <w:spacing w:val="-8"/>
                <w:sz w:val="20"/>
                <w:szCs w:val="20"/>
                <w:highlight w:val="none"/>
              </w:rPr>
            </w:pPr>
            <w:r>
              <w:rPr>
                <w:color w:val="auto"/>
                <w:spacing w:val="-8"/>
                <w:sz w:val="20"/>
                <w:szCs w:val="20"/>
                <w:highlight w:val="none"/>
              </w:rPr>
              <w:t>（2）质量控制措施方案内容一般，针对性一般、合理性般、措施可行性一般，基本满足采购需求的，得3分；</w:t>
            </w:r>
          </w:p>
          <w:p w14:paraId="53B3CC69">
            <w:pPr>
              <w:rPr>
                <w:color w:val="auto"/>
                <w:spacing w:val="-8"/>
                <w:sz w:val="20"/>
                <w:szCs w:val="20"/>
                <w:highlight w:val="none"/>
              </w:rPr>
            </w:pPr>
            <w:r>
              <w:rPr>
                <w:color w:val="auto"/>
                <w:spacing w:val="-8"/>
                <w:sz w:val="20"/>
                <w:szCs w:val="20"/>
                <w:highlight w:val="none"/>
              </w:rPr>
              <w:t>（4）质量控制措施方案内容较简单，没有针对性、合理性较差、措施可行性较差，不能满足采购需求的，得1分；</w:t>
            </w:r>
          </w:p>
          <w:p w14:paraId="6B5D96CD">
            <w:pPr>
              <w:rPr>
                <w:rFonts w:ascii="Times New Roman" w:hAnsi="Times New Roman" w:eastAsia="宋体" w:cs="Times New Roman"/>
                <w:color w:val="auto"/>
                <w:kern w:val="2"/>
                <w:sz w:val="20"/>
                <w:szCs w:val="20"/>
                <w:highlight w:val="none"/>
                <w:lang w:val="en-US" w:eastAsia="zh-CN" w:bidi="ar-SA"/>
              </w:rPr>
            </w:pPr>
            <w:r>
              <w:rPr>
                <w:color w:val="auto"/>
                <w:spacing w:val="-8"/>
                <w:sz w:val="20"/>
                <w:szCs w:val="20"/>
                <w:highlight w:val="none"/>
              </w:rPr>
              <w:t>(5)没有提供方案不得分。</w:t>
            </w:r>
          </w:p>
        </w:tc>
        <w:tc>
          <w:tcPr>
            <w:tcW w:w="1216" w:type="dxa"/>
            <w:shd w:val="clear" w:color="auto" w:fill="auto"/>
            <w:vAlign w:val="center"/>
          </w:tcPr>
          <w:p w14:paraId="647022D2">
            <w:pPr>
              <w:rPr>
                <w:color w:val="auto"/>
                <w:spacing w:val="-8"/>
                <w:sz w:val="20"/>
                <w:szCs w:val="20"/>
                <w:highlight w:val="none"/>
              </w:rPr>
            </w:pPr>
          </w:p>
        </w:tc>
        <w:tc>
          <w:tcPr>
            <w:tcW w:w="1717" w:type="dxa"/>
            <w:shd w:val="clear" w:color="auto" w:fill="auto"/>
            <w:vAlign w:val="center"/>
          </w:tcPr>
          <w:p w14:paraId="54E1D750">
            <w:pPr>
              <w:rPr>
                <w:color w:val="auto"/>
                <w:spacing w:val="-8"/>
                <w:sz w:val="20"/>
                <w:szCs w:val="20"/>
                <w:highlight w:val="none"/>
              </w:rPr>
            </w:pPr>
          </w:p>
        </w:tc>
      </w:tr>
      <w:tr w14:paraId="5411C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restart"/>
          </w:tcPr>
          <w:p w14:paraId="24DB826C">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商务部分</w:t>
            </w:r>
          </w:p>
        </w:tc>
        <w:tc>
          <w:tcPr>
            <w:tcW w:w="1114" w:type="dxa"/>
          </w:tcPr>
          <w:p w14:paraId="14272C4C">
            <w:pPr>
              <w:pStyle w:val="24"/>
              <w:rPr>
                <w:rFonts w:hint="default" w:ascii="Times New Roman" w:hAnsi="Times New Roman" w:cs="Times New Roman"/>
                <w:color w:val="auto"/>
                <w:highlight w:val="none"/>
              </w:rPr>
            </w:pPr>
            <w:r>
              <w:rPr>
                <w:rFonts w:hint="default" w:ascii="Times New Roman" w:hAnsi="Times New Roman" w:cs="Times New Roman"/>
                <w:bCs/>
                <w:color w:val="auto"/>
                <w:highlight w:val="none"/>
              </w:rPr>
              <w:t>商务要求条款响应情况</w:t>
            </w:r>
            <w:r>
              <w:rPr>
                <w:rFonts w:hint="default" w:ascii="Times New Roman" w:hAnsi="Times New Roman" w:cs="Times New Roman"/>
                <w:color w:val="auto"/>
                <w:highlight w:val="none"/>
              </w:rPr>
              <w:t xml:space="preserve"> (</w:t>
            </w:r>
            <w:r>
              <w:rPr>
                <w:rFonts w:hint="default" w:ascii="Times New Roman" w:hAnsi="Times New Roman" w:cs="Times New Roman"/>
                <w:color w:val="auto"/>
                <w:highlight w:val="none"/>
                <w:lang w:eastAsia="zh-CN"/>
              </w:rPr>
              <w:t>4.</w:t>
            </w:r>
            <w:r>
              <w:rPr>
                <w:rFonts w:ascii="Times New Roman" w:hAnsi="Times New Roman" w:cs="Times New Roman"/>
                <w:color w:val="auto"/>
                <w:highlight w:val="none"/>
                <w:lang w:eastAsia="zh-CN"/>
              </w:rPr>
              <w:t>8</w:t>
            </w:r>
            <w:r>
              <w:rPr>
                <w:rFonts w:hint="default" w:ascii="Times New Roman" w:hAnsi="Times New Roman" w:cs="Times New Roman"/>
                <w:color w:val="auto"/>
                <w:highlight w:val="none"/>
              </w:rPr>
              <w:t>分)</w:t>
            </w:r>
          </w:p>
        </w:tc>
        <w:tc>
          <w:tcPr>
            <w:tcW w:w="4986" w:type="dxa"/>
          </w:tcPr>
          <w:p w14:paraId="3DDB28E4">
            <w:pPr>
              <w:pStyle w:val="5"/>
              <w:rPr>
                <w:color w:val="auto"/>
                <w:sz w:val="20"/>
                <w:szCs w:val="20"/>
                <w:highlight w:val="none"/>
              </w:rPr>
            </w:pPr>
            <w:r>
              <w:rPr>
                <w:color w:val="auto"/>
                <w:sz w:val="20"/>
                <w:szCs w:val="20"/>
                <w:highlight w:val="none"/>
              </w:rPr>
              <w:t>根据投标人对采购需求中的其他商务需求：一般条款（非“▲”条款共</w:t>
            </w:r>
            <w:r>
              <w:rPr>
                <w:rFonts w:hint="eastAsia"/>
                <w:color w:val="auto"/>
                <w:sz w:val="20"/>
                <w:szCs w:val="20"/>
                <w:highlight w:val="none"/>
              </w:rPr>
              <w:t>24</w:t>
            </w:r>
            <w:r>
              <w:rPr>
                <w:color w:val="auto"/>
                <w:sz w:val="20"/>
                <w:szCs w:val="20"/>
                <w:highlight w:val="none"/>
              </w:rPr>
              <w:t>项）每响应一个得0.2分；完全响应得</w:t>
            </w:r>
            <w:r>
              <w:rPr>
                <w:rFonts w:hint="eastAsia"/>
                <w:color w:val="auto"/>
                <w:sz w:val="20"/>
                <w:szCs w:val="20"/>
                <w:highlight w:val="none"/>
              </w:rPr>
              <w:t>4.8</w:t>
            </w:r>
            <w:r>
              <w:rPr>
                <w:color w:val="auto"/>
                <w:sz w:val="20"/>
                <w:szCs w:val="20"/>
                <w:highlight w:val="none"/>
              </w:rPr>
              <w:t xml:space="preserve">分 </w:t>
            </w:r>
          </w:p>
          <w:p w14:paraId="1BBC7F08">
            <w:pPr>
              <w:pStyle w:val="24"/>
              <w:rPr>
                <w:rFonts w:hint="default" w:ascii="Times New Roman" w:hAnsi="Times New Roman" w:cs="Times New Roman"/>
                <w:color w:val="auto"/>
                <w:highlight w:val="none"/>
              </w:rPr>
            </w:pPr>
            <w:r>
              <w:rPr>
                <w:rFonts w:hint="default" w:ascii="Times New Roman" w:hAnsi="Times New Roman" w:cs="Times New Roman"/>
                <w:b/>
                <w:bCs/>
                <w:color w:val="auto"/>
                <w:highlight w:val="none"/>
                <w:u w:val="single"/>
              </w:rPr>
              <w:t>注：若采购需求中有要求提供相关证明材料的，以提供的材料为准，若用户需求中未要求提供证明材料的，则以投标人提供的《商务条件响应表》为准，未按要求提供的不得分。</w:t>
            </w:r>
          </w:p>
        </w:tc>
        <w:tc>
          <w:tcPr>
            <w:tcW w:w="1216" w:type="dxa"/>
          </w:tcPr>
          <w:p w14:paraId="797F5C2B">
            <w:pPr>
              <w:pStyle w:val="24"/>
              <w:rPr>
                <w:rFonts w:hint="default" w:ascii="Times New Roman" w:hAnsi="Times New Roman" w:cs="Times New Roman"/>
                <w:b/>
                <w:bCs/>
                <w:color w:val="auto"/>
                <w:highlight w:val="none"/>
                <w:u w:val="single"/>
              </w:rPr>
            </w:pPr>
          </w:p>
        </w:tc>
        <w:tc>
          <w:tcPr>
            <w:tcW w:w="1717" w:type="dxa"/>
          </w:tcPr>
          <w:p w14:paraId="640C9B00">
            <w:pPr>
              <w:pStyle w:val="24"/>
              <w:rPr>
                <w:rFonts w:hint="default" w:ascii="Times New Roman" w:hAnsi="Times New Roman" w:cs="Times New Roman"/>
                <w:b/>
                <w:bCs/>
                <w:color w:val="auto"/>
                <w:highlight w:val="none"/>
                <w:u w:val="single"/>
              </w:rPr>
            </w:pPr>
          </w:p>
        </w:tc>
      </w:tr>
      <w:tr w14:paraId="4F40D2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vMerge w:val="continue"/>
          </w:tcPr>
          <w:p w14:paraId="353EF609">
            <w:pPr>
              <w:rPr>
                <w:color w:val="auto"/>
                <w:sz w:val="20"/>
                <w:szCs w:val="20"/>
                <w:highlight w:val="none"/>
              </w:rPr>
            </w:pPr>
          </w:p>
        </w:tc>
        <w:tc>
          <w:tcPr>
            <w:tcW w:w="1114" w:type="dxa"/>
          </w:tcPr>
          <w:p w14:paraId="4B718E09">
            <w:pPr>
              <w:pStyle w:val="24"/>
              <w:rPr>
                <w:rFonts w:hint="default" w:ascii="Times New Roman" w:hAnsi="Times New Roman" w:cs="Times New Roman"/>
                <w:color w:val="auto"/>
                <w:highlight w:val="none"/>
              </w:rPr>
            </w:pPr>
            <w:r>
              <w:rPr>
                <w:rFonts w:hint="default" w:ascii="Times New Roman" w:hAnsi="Times New Roman" w:cs="Times New Roman"/>
                <w:color w:val="auto"/>
                <w:spacing w:val="-8"/>
                <w:highlight w:val="none"/>
                <w:lang w:eastAsia="zh-CN"/>
              </w:rPr>
              <w:t>同项</w:t>
            </w:r>
            <w:r>
              <w:rPr>
                <w:rFonts w:hint="default" w:ascii="Times New Roman" w:hAnsi="Times New Roman" w:cs="Times New Roman"/>
                <w:color w:val="auto"/>
                <w:spacing w:val="-8"/>
                <w:highlight w:val="none"/>
              </w:rPr>
              <w:t>业绩</w:t>
            </w:r>
            <w:r>
              <w:rPr>
                <w:rFonts w:hint="default" w:ascii="Times New Roman" w:hAnsi="Times New Roman" w:cs="Times New Roman"/>
                <w:color w:val="auto"/>
                <w:highlight w:val="none"/>
              </w:rPr>
              <w:t xml:space="preserve"> (6.0分)</w:t>
            </w:r>
          </w:p>
        </w:tc>
        <w:tc>
          <w:tcPr>
            <w:tcW w:w="4986" w:type="dxa"/>
          </w:tcPr>
          <w:p w14:paraId="5E62D625">
            <w:pPr>
              <w:pStyle w:val="5"/>
              <w:rPr>
                <w:color w:val="auto"/>
                <w:sz w:val="20"/>
                <w:szCs w:val="20"/>
                <w:highlight w:val="none"/>
                <w:lang w:val="en-GB"/>
              </w:rPr>
            </w:pPr>
            <w:r>
              <w:rPr>
                <w:color w:val="auto"/>
                <w:sz w:val="20"/>
                <w:szCs w:val="20"/>
                <w:highlight w:val="none"/>
                <w:lang w:val="en-GB"/>
              </w:rPr>
              <w:t>评审投标人在</w:t>
            </w:r>
            <w:r>
              <w:rPr>
                <w:rFonts w:hint="eastAsia"/>
                <w:color w:val="auto"/>
                <w:sz w:val="20"/>
                <w:szCs w:val="20"/>
                <w:highlight w:val="none"/>
              </w:rPr>
              <w:t>承接同类合同业绩的实施经验</w:t>
            </w:r>
            <w:r>
              <w:rPr>
                <w:color w:val="auto"/>
                <w:sz w:val="20"/>
                <w:szCs w:val="20"/>
                <w:highlight w:val="none"/>
                <w:lang w:val="en-GB"/>
              </w:rPr>
              <w:t>。</w:t>
            </w:r>
          </w:p>
          <w:p w14:paraId="10BE3258">
            <w:pPr>
              <w:widowControl/>
              <w:spacing w:line="312" w:lineRule="auto"/>
              <w:jc w:val="left"/>
              <w:rPr>
                <w:color w:val="auto"/>
                <w:sz w:val="20"/>
                <w:szCs w:val="20"/>
                <w:highlight w:val="none"/>
              </w:rPr>
            </w:pPr>
            <w:r>
              <w:rPr>
                <w:rFonts w:hint="eastAsia"/>
                <w:color w:val="auto"/>
                <w:sz w:val="20"/>
                <w:szCs w:val="20"/>
                <w:highlight w:val="none"/>
              </w:rPr>
              <w:t>对</w:t>
            </w:r>
            <w:r>
              <w:rPr>
                <w:color w:val="auto"/>
                <w:sz w:val="20"/>
                <w:szCs w:val="20"/>
                <w:highlight w:val="none"/>
              </w:rPr>
              <w:t>病原微生物宏基因组高通量测序</w:t>
            </w:r>
            <w:r>
              <w:rPr>
                <w:rFonts w:hint="eastAsia"/>
                <w:color w:val="auto"/>
                <w:sz w:val="20"/>
                <w:szCs w:val="20"/>
                <w:highlight w:val="none"/>
              </w:rPr>
              <w:t>项目合作的医院数量，</w:t>
            </w:r>
            <w:r>
              <w:rPr>
                <w:color w:val="auto"/>
                <w:sz w:val="20"/>
                <w:szCs w:val="20"/>
                <w:highlight w:val="none"/>
              </w:rPr>
              <w:t>每具有一项检验外送服务类项目合同的得0.5分，本项最高得</w:t>
            </w:r>
            <w:r>
              <w:rPr>
                <w:rFonts w:hint="eastAsia"/>
                <w:color w:val="auto"/>
                <w:sz w:val="20"/>
                <w:szCs w:val="20"/>
                <w:highlight w:val="none"/>
              </w:rPr>
              <w:t>6</w:t>
            </w:r>
            <w:r>
              <w:rPr>
                <w:color w:val="auto"/>
                <w:sz w:val="20"/>
                <w:szCs w:val="20"/>
                <w:highlight w:val="none"/>
              </w:rPr>
              <w:t>分。</w:t>
            </w:r>
          </w:p>
          <w:p w14:paraId="6B9E18D5">
            <w:pPr>
              <w:widowControl/>
              <w:spacing w:line="312" w:lineRule="auto"/>
              <w:jc w:val="left"/>
              <w:rPr>
                <w:color w:val="auto"/>
                <w:sz w:val="20"/>
                <w:szCs w:val="20"/>
                <w:highlight w:val="none"/>
              </w:rPr>
            </w:pPr>
            <w:r>
              <w:rPr>
                <w:color w:val="auto"/>
                <w:sz w:val="20"/>
                <w:szCs w:val="20"/>
                <w:highlight w:val="none"/>
              </w:rPr>
              <w:t>注：每项业绩须提供合同关键页，一年一签的长期服务续签合同只计算一个业绩：同一家医院同一类型的多次合作，算作1个业绩。上述资料均要求提供扫描件，不清晰或未提供不得分。</w:t>
            </w:r>
          </w:p>
        </w:tc>
        <w:tc>
          <w:tcPr>
            <w:tcW w:w="1216" w:type="dxa"/>
          </w:tcPr>
          <w:p w14:paraId="199D9C77">
            <w:pPr>
              <w:widowControl/>
              <w:spacing w:line="312" w:lineRule="auto"/>
              <w:jc w:val="left"/>
              <w:rPr>
                <w:color w:val="auto"/>
                <w:sz w:val="20"/>
                <w:szCs w:val="20"/>
                <w:highlight w:val="none"/>
              </w:rPr>
            </w:pPr>
          </w:p>
        </w:tc>
        <w:tc>
          <w:tcPr>
            <w:tcW w:w="1717" w:type="dxa"/>
          </w:tcPr>
          <w:p w14:paraId="221C4A88">
            <w:pPr>
              <w:widowControl/>
              <w:spacing w:line="312" w:lineRule="auto"/>
              <w:jc w:val="left"/>
              <w:rPr>
                <w:color w:val="auto"/>
                <w:sz w:val="20"/>
                <w:szCs w:val="20"/>
                <w:highlight w:val="none"/>
              </w:rPr>
            </w:pPr>
          </w:p>
        </w:tc>
      </w:tr>
      <w:tr w14:paraId="2D9C69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688" w:hRule="atLeast"/>
        </w:trPr>
        <w:tc>
          <w:tcPr>
            <w:tcW w:w="1067" w:type="dxa"/>
            <w:vMerge w:val="continue"/>
          </w:tcPr>
          <w:p w14:paraId="40B724EA">
            <w:pPr>
              <w:rPr>
                <w:color w:val="auto"/>
                <w:sz w:val="20"/>
                <w:szCs w:val="20"/>
                <w:highlight w:val="none"/>
              </w:rPr>
            </w:pPr>
          </w:p>
        </w:tc>
        <w:tc>
          <w:tcPr>
            <w:tcW w:w="1114" w:type="dxa"/>
          </w:tcPr>
          <w:p w14:paraId="4D0FED63">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实验室技术与质量能力保障 (</w:t>
            </w:r>
            <w:r>
              <w:rPr>
                <w:rFonts w:hint="default" w:ascii="Times New Roman" w:hAnsi="Times New Roman" w:cs="Times New Roman"/>
                <w:color w:val="auto"/>
                <w:highlight w:val="none"/>
                <w:lang w:eastAsia="zh-CN"/>
              </w:rPr>
              <w:t>8</w:t>
            </w:r>
            <w:r>
              <w:rPr>
                <w:rFonts w:hint="default" w:ascii="Times New Roman" w:hAnsi="Times New Roman" w:cs="Times New Roman"/>
                <w:color w:val="auto"/>
                <w:highlight w:val="none"/>
              </w:rPr>
              <w:t>.0分)</w:t>
            </w:r>
          </w:p>
        </w:tc>
        <w:tc>
          <w:tcPr>
            <w:tcW w:w="4986" w:type="dxa"/>
            <w:vAlign w:val="center"/>
          </w:tcPr>
          <w:p w14:paraId="7712DAA2">
            <w:pPr>
              <w:pStyle w:val="8"/>
              <w:ind w:left="0" w:leftChars="0"/>
              <w:rPr>
                <w:color w:val="auto"/>
                <w:sz w:val="20"/>
                <w:szCs w:val="20"/>
                <w:highlight w:val="none"/>
              </w:rPr>
            </w:pPr>
            <w:r>
              <w:rPr>
                <w:color w:val="auto"/>
                <w:spacing w:val="-8"/>
                <w:sz w:val="20"/>
                <w:szCs w:val="20"/>
                <w:highlight w:val="none"/>
              </w:rPr>
              <w:t>1、投标人实验室通过ISO15189实验室认可，满足得2分，不满足不得分。</w:t>
            </w:r>
          </w:p>
          <w:p w14:paraId="295A79BB">
            <w:pPr>
              <w:pStyle w:val="8"/>
              <w:ind w:left="0" w:leftChars="0"/>
              <w:rPr>
                <w:color w:val="auto"/>
                <w:spacing w:val="-8"/>
                <w:sz w:val="20"/>
                <w:szCs w:val="20"/>
                <w:highlight w:val="none"/>
              </w:rPr>
            </w:pPr>
            <w:r>
              <w:rPr>
                <w:color w:val="auto"/>
                <w:spacing w:val="-8"/>
                <w:sz w:val="20"/>
                <w:szCs w:val="20"/>
                <w:highlight w:val="none"/>
              </w:rPr>
              <w:t>2、投标人实验室通过质量管理体系认证、</w:t>
            </w:r>
            <w:r>
              <w:rPr>
                <w:color w:val="auto"/>
                <w:sz w:val="20"/>
                <w:szCs w:val="20"/>
                <w:highlight w:val="none"/>
              </w:rPr>
              <w:t>环境管理体系认证证书</w:t>
            </w:r>
            <w:r>
              <w:rPr>
                <w:color w:val="auto"/>
                <w:spacing w:val="-8"/>
                <w:sz w:val="20"/>
                <w:szCs w:val="20"/>
                <w:highlight w:val="none"/>
              </w:rPr>
              <w:t>、职业健康安全管理体系认证，每提供一个证书得0.5分，满分得2分。</w:t>
            </w:r>
          </w:p>
          <w:p w14:paraId="0EFCBE99">
            <w:pPr>
              <w:rPr>
                <w:b/>
                <w:bCs/>
                <w:color w:val="auto"/>
                <w:spacing w:val="-8"/>
                <w:sz w:val="20"/>
                <w:szCs w:val="20"/>
                <w:highlight w:val="none"/>
              </w:rPr>
            </w:pPr>
            <w:r>
              <w:rPr>
                <w:b/>
                <w:bCs/>
                <w:color w:val="auto"/>
                <w:spacing w:val="-8"/>
                <w:sz w:val="20"/>
                <w:szCs w:val="20"/>
                <w:highlight w:val="none"/>
              </w:rPr>
              <w:t>注：第1、2项须提供证书复印件加盖投标人公章。</w:t>
            </w:r>
          </w:p>
          <w:p w14:paraId="1128A7E3">
            <w:pPr>
              <w:pStyle w:val="8"/>
              <w:ind w:left="0" w:leftChars="0"/>
              <w:rPr>
                <w:color w:val="auto"/>
                <w:sz w:val="20"/>
                <w:szCs w:val="20"/>
                <w:highlight w:val="none"/>
              </w:rPr>
            </w:pPr>
            <w:r>
              <w:rPr>
                <w:b/>
                <w:bCs/>
                <w:color w:val="auto"/>
                <w:spacing w:val="-8"/>
                <w:sz w:val="20"/>
                <w:szCs w:val="20"/>
                <w:highlight w:val="none"/>
              </w:rPr>
              <w:t>注：需提供相关文件复印件作为证明材料，并加盖投标人公章，不提供不得分。</w:t>
            </w:r>
          </w:p>
        </w:tc>
        <w:tc>
          <w:tcPr>
            <w:tcW w:w="1216" w:type="dxa"/>
            <w:vAlign w:val="center"/>
          </w:tcPr>
          <w:p w14:paraId="09320E2E">
            <w:pPr>
              <w:pStyle w:val="8"/>
              <w:ind w:left="0" w:leftChars="0"/>
              <w:rPr>
                <w:b/>
                <w:bCs/>
                <w:color w:val="auto"/>
                <w:spacing w:val="-8"/>
                <w:sz w:val="20"/>
                <w:szCs w:val="20"/>
                <w:highlight w:val="none"/>
              </w:rPr>
            </w:pPr>
          </w:p>
        </w:tc>
        <w:tc>
          <w:tcPr>
            <w:tcW w:w="1717" w:type="dxa"/>
            <w:vAlign w:val="center"/>
          </w:tcPr>
          <w:p w14:paraId="4AAF7B2B">
            <w:pPr>
              <w:pStyle w:val="8"/>
              <w:ind w:left="0" w:leftChars="0"/>
              <w:rPr>
                <w:b/>
                <w:bCs/>
                <w:color w:val="auto"/>
                <w:spacing w:val="-8"/>
                <w:sz w:val="20"/>
                <w:szCs w:val="20"/>
                <w:highlight w:val="none"/>
              </w:rPr>
            </w:pPr>
          </w:p>
        </w:tc>
      </w:tr>
      <w:tr w14:paraId="56FAF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7" w:type="dxa"/>
          </w:tcPr>
          <w:p w14:paraId="597AE31E">
            <w:pPr>
              <w:pStyle w:val="2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w:t>
            </w:r>
          </w:p>
        </w:tc>
        <w:tc>
          <w:tcPr>
            <w:tcW w:w="1114" w:type="dxa"/>
          </w:tcPr>
          <w:p w14:paraId="5A67DC8D">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投标报价得分 (</w:t>
            </w:r>
            <w:r>
              <w:rPr>
                <w:rFonts w:hint="default" w:ascii="Times New Roman" w:hAnsi="Times New Roman" w:cs="Times New Roman"/>
                <w:color w:val="auto"/>
                <w:highlight w:val="none"/>
                <w:lang w:eastAsia="zh-CN"/>
              </w:rPr>
              <w:t>20</w:t>
            </w:r>
            <w:r>
              <w:rPr>
                <w:rFonts w:hint="default" w:ascii="Times New Roman" w:hAnsi="Times New Roman" w:cs="Times New Roman"/>
                <w:color w:val="auto"/>
                <w:highlight w:val="none"/>
              </w:rPr>
              <w:t>.0分)</w:t>
            </w:r>
          </w:p>
        </w:tc>
        <w:tc>
          <w:tcPr>
            <w:tcW w:w="4986" w:type="dxa"/>
          </w:tcPr>
          <w:p w14:paraId="5D84E137">
            <w:pPr>
              <w:pStyle w:val="24"/>
              <w:rPr>
                <w:rFonts w:hint="default" w:ascii="Times New Roman" w:hAnsi="Times New Roman" w:cs="Times New Roman"/>
                <w:color w:val="auto"/>
                <w:highlight w:val="none"/>
              </w:rPr>
            </w:pPr>
            <w:r>
              <w:rPr>
                <w:rFonts w:hint="default" w:ascii="Times New Roman" w:hAnsi="Times New Roman" w:cs="Times New Roman"/>
                <w:color w:val="auto"/>
                <w:highlight w:val="none"/>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c>
          <w:tcPr>
            <w:tcW w:w="1216" w:type="dxa"/>
            <w:vAlign w:val="center"/>
          </w:tcPr>
          <w:p w14:paraId="2E017655">
            <w:pPr>
              <w:pStyle w:val="24"/>
              <w:jc w:val="center"/>
              <w:rPr>
                <w:rFonts w:hint="eastAsia"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不填</w:t>
            </w:r>
          </w:p>
        </w:tc>
        <w:tc>
          <w:tcPr>
            <w:tcW w:w="1717" w:type="dxa"/>
            <w:vAlign w:val="center"/>
          </w:tcPr>
          <w:p w14:paraId="70AF2047">
            <w:pPr>
              <w:pStyle w:val="24"/>
              <w:jc w:val="center"/>
              <w:rPr>
                <w:rFonts w:hint="eastAsia" w:ascii="Times New Roman" w:hAnsi="Times New Roman" w:cs="Times New Roman" w:eastAsiaTheme="minorEastAsia"/>
                <w:color w:val="auto"/>
                <w:highlight w:val="none"/>
                <w:lang w:val="en-US" w:eastAsia="zh-CN"/>
              </w:rPr>
            </w:pPr>
            <w:r>
              <w:rPr>
                <w:rFonts w:hint="eastAsia" w:ascii="Times New Roman" w:hAnsi="Times New Roman" w:cs="Times New Roman"/>
                <w:color w:val="auto"/>
                <w:highlight w:val="none"/>
                <w:lang w:val="en-US" w:eastAsia="zh-CN"/>
              </w:rPr>
              <w:t>不填</w:t>
            </w:r>
          </w:p>
        </w:tc>
      </w:tr>
    </w:tbl>
    <w:p w14:paraId="4993F133">
      <w:pPr>
        <w:spacing w:line="440" w:lineRule="exact"/>
        <w:jc w:val="center"/>
        <w:rPr>
          <w:rFonts w:ascii="仿宋" w:hAnsi="仿宋" w:eastAsia="仿宋" w:cs="仿宋"/>
          <w:b/>
          <w:bCs/>
          <w:color w:val="auto"/>
          <w:sz w:val="24"/>
          <w:highlight w:val="none"/>
        </w:rPr>
      </w:pPr>
    </w:p>
    <w:p w14:paraId="0825F423">
      <w:pPr>
        <w:pStyle w:val="6"/>
        <w:rPr>
          <w:rFonts w:hint="eastAsia"/>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Times New Roman Regular">
    <w:altName w:val="Times New Roman"/>
    <w:panose1 w:val="00000000000000000000"/>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9B101">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116E7A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116E7A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E3627032"/>
    <w:multiLevelType w:val="singleLevel"/>
    <w:tmpl w:val="E3627032"/>
    <w:lvl w:ilvl="0" w:tentative="0">
      <w:start w:val="1"/>
      <w:numFmt w:val="decimal"/>
      <w:suff w:val="nothing"/>
      <w:lvlText w:val="%1、"/>
      <w:lvlJc w:val="left"/>
    </w:lvl>
  </w:abstractNum>
  <w:abstractNum w:abstractNumId="2">
    <w:nsid w:val="EEC7A9DD"/>
    <w:multiLevelType w:val="singleLevel"/>
    <w:tmpl w:val="EEC7A9DD"/>
    <w:lvl w:ilvl="0" w:tentative="0">
      <w:start w:val="3"/>
      <w:numFmt w:val="decimal"/>
      <w:suff w:val="nothing"/>
      <w:lvlText w:val="%1、"/>
      <w:lvlJc w:val="left"/>
    </w:lvl>
  </w:abstractNum>
  <w:abstractNum w:abstractNumId="3">
    <w:nsid w:val="07CE4D1B"/>
    <w:multiLevelType w:val="singleLevel"/>
    <w:tmpl w:val="07CE4D1B"/>
    <w:lvl w:ilvl="0" w:tentative="0">
      <w:start w:val="1"/>
      <w:numFmt w:val="decimal"/>
      <w:suff w:val="nothing"/>
      <w:lvlText w:val="%1、"/>
      <w:lvlJc w:val="left"/>
    </w:lvl>
  </w:abstractNum>
  <w:abstractNum w:abstractNumId="4">
    <w:nsid w:val="1A215ECB"/>
    <w:multiLevelType w:val="singleLevel"/>
    <w:tmpl w:val="1A215ECB"/>
    <w:lvl w:ilvl="0" w:tentative="0">
      <w:start w:val="1"/>
      <w:numFmt w:val="decimal"/>
      <w:lvlText w:val="(%1)"/>
      <w:lvlJc w:val="left"/>
      <w:pPr>
        <w:ind w:left="425" w:hanging="425"/>
      </w:pPr>
      <w:rPr>
        <w:rFonts w:hint="default"/>
      </w:rPr>
    </w:lvl>
  </w:abstractNum>
  <w:abstractNum w:abstractNumId="5">
    <w:nsid w:val="6CE845BF"/>
    <w:multiLevelType w:val="singleLevel"/>
    <w:tmpl w:val="6CE845BF"/>
    <w:lvl w:ilvl="0" w:tentative="0">
      <w:start w:val="1"/>
      <w:numFmt w:val="decimalEnclosedCircleChinese"/>
      <w:suff w:val="nothing"/>
      <w:lvlText w:val="%1　"/>
      <w:lvlJc w:val="left"/>
      <w:rPr>
        <w:rFonts w:hint="eastAsia"/>
      </w:rPr>
    </w:lvl>
  </w:abstractNum>
  <w:abstractNum w:abstractNumId="6">
    <w:nsid w:val="6FEF5E58"/>
    <w:multiLevelType w:val="singleLevel"/>
    <w:tmpl w:val="6FEF5E58"/>
    <w:lvl w:ilvl="0" w:tentative="0">
      <w:start w:val="1"/>
      <w:numFmt w:val="decimal"/>
      <w:lvlText w:val="%1."/>
      <w:lvlJc w:val="left"/>
      <w:pPr>
        <w:ind w:left="425" w:hanging="425"/>
      </w:pPr>
      <w:rPr>
        <w:rFonts w:hint="default"/>
      </w:rPr>
    </w:lvl>
  </w:abstractNum>
  <w:num w:numId="1">
    <w:abstractNumId w:val="6"/>
  </w:num>
  <w:num w:numId="2">
    <w:abstractNumId w:val="0"/>
  </w:num>
  <w:num w:numId="3">
    <w:abstractNumId w:val="3"/>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0DFE0A99"/>
    <w:rsid w:val="1CF85987"/>
    <w:rsid w:val="1DB55626"/>
    <w:rsid w:val="1E840AC7"/>
    <w:rsid w:val="1F2945E3"/>
    <w:rsid w:val="1FE65AC0"/>
    <w:rsid w:val="20E33B6F"/>
    <w:rsid w:val="20FE31B4"/>
    <w:rsid w:val="235F3BE9"/>
    <w:rsid w:val="28DF6635"/>
    <w:rsid w:val="2ABC1895"/>
    <w:rsid w:val="2BB67139"/>
    <w:rsid w:val="2D355601"/>
    <w:rsid w:val="2F0F75BD"/>
    <w:rsid w:val="319E422D"/>
    <w:rsid w:val="324E3C26"/>
    <w:rsid w:val="335464C2"/>
    <w:rsid w:val="347B2CCE"/>
    <w:rsid w:val="35124480"/>
    <w:rsid w:val="36E33B5E"/>
    <w:rsid w:val="3A0E226D"/>
    <w:rsid w:val="3E6B5D05"/>
    <w:rsid w:val="3F1A6F0B"/>
    <w:rsid w:val="4354121F"/>
    <w:rsid w:val="43655275"/>
    <w:rsid w:val="44973488"/>
    <w:rsid w:val="490E789E"/>
    <w:rsid w:val="490F4F35"/>
    <w:rsid w:val="4A050F2D"/>
    <w:rsid w:val="4AD477F4"/>
    <w:rsid w:val="4B7A033A"/>
    <w:rsid w:val="4CBE77A4"/>
    <w:rsid w:val="51600F69"/>
    <w:rsid w:val="53BC3594"/>
    <w:rsid w:val="576C719B"/>
    <w:rsid w:val="5C0E1B80"/>
    <w:rsid w:val="5D127D12"/>
    <w:rsid w:val="5FA10B01"/>
    <w:rsid w:val="612D28B6"/>
    <w:rsid w:val="65DB14DF"/>
    <w:rsid w:val="68F16986"/>
    <w:rsid w:val="69DB7BB7"/>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7">
    <w:name w:val="Default Paragraph Font"/>
    <w:semiHidden/>
    <w:qFormat/>
    <w:uiPriority w:val="0"/>
  </w:style>
  <w:style w:type="table" w:default="1" w:styleId="15">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index 4"/>
    <w:basedOn w:val="1"/>
    <w:next w:val="1"/>
    <w:unhideWhenUsed/>
    <w:qFormat/>
    <w:uiPriority w:val="99"/>
    <w:pPr>
      <w:ind w:left="600" w:leftChars="600"/>
    </w:pPr>
  </w:style>
  <w:style w:type="paragraph" w:styleId="9">
    <w:name w:val="toc 5"/>
    <w:basedOn w:val="1"/>
    <w:next w:val="1"/>
    <w:autoRedefine/>
    <w:qFormat/>
    <w:uiPriority w:val="0"/>
    <w:pPr>
      <w:ind w:left="840"/>
      <w:jc w:val="left"/>
    </w:pPr>
    <w:rPr>
      <w:rFonts w:ascii="Calibri" w:hAnsi="Calibri"/>
      <w:sz w:val="18"/>
      <w:szCs w:val="18"/>
    </w:rPr>
  </w:style>
  <w:style w:type="paragraph" w:styleId="10">
    <w:name w:val="Date"/>
    <w:basedOn w:val="1"/>
    <w:next w:val="1"/>
    <w:qFormat/>
    <w:uiPriority w:val="0"/>
    <w:rPr>
      <w:rFonts w:ascii="Times New Roman" w:hAnsi="Times New Roman" w:eastAsia="宋体" w:cs="Times New Roman"/>
      <w:szCs w:val="20"/>
    </w:rPr>
  </w:style>
  <w:style w:type="paragraph" w:styleId="11">
    <w:name w:val="Body Text Indent 2"/>
    <w:basedOn w:val="1"/>
    <w:link w:val="20"/>
    <w:autoRedefine/>
    <w:qFormat/>
    <w:uiPriority w:val="0"/>
    <w:pPr>
      <w:spacing w:after="120" w:line="480" w:lineRule="auto"/>
      <w:ind w:left="420" w:leftChars="200"/>
    </w:pPr>
    <w:rPr>
      <w:szCs w:val="20"/>
    </w:rPr>
  </w:style>
  <w:style w:type="paragraph" w:styleId="12">
    <w:name w:val="footer"/>
    <w:basedOn w:val="1"/>
    <w:qFormat/>
    <w:uiPriority w:val="99"/>
    <w:pPr>
      <w:tabs>
        <w:tab w:val="center" w:pos="4153"/>
        <w:tab w:val="right" w:pos="8306"/>
      </w:tabs>
      <w:snapToGrid w:val="0"/>
      <w:jc w:val="left"/>
    </w:pPr>
    <w:rPr>
      <w:sz w:val="18"/>
    </w:rPr>
  </w:style>
  <w:style w:type="paragraph" w:styleId="13">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6">
    <w:name w:val="Table Grid"/>
    <w:basedOn w:val="15"/>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szCs w:val="22"/>
    </w:rPr>
  </w:style>
  <w:style w:type="character" w:customStyle="1" w:styleId="20">
    <w:name w:val="正文文本缩进 2 Char"/>
    <w:link w:val="11"/>
    <w:autoRedefine/>
    <w:qFormat/>
    <w:uiPriority w:val="0"/>
    <w:rPr>
      <w:szCs w:val="20"/>
    </w:rPr>
  </w:style>
  <w:style w:type="paragraph" w:customStyle="1" w:styleId="21">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1、标题"/>
    <w:basedOn w:val="1"/>
    <w:qFormat/>
    <w:uiPriority w:val="0"/>
    <w:pPr>
      <w:spacing w:line="360" w:lineRule="auto"/>
    </w:pPr>
    <w:rPr>
      <w:rFonts w:hint="eastAsia"/>
      <w:b/>
    </w:rPr>
  </w:style>
  <w:style w:type="paragraph" w:customStyle="1" w:styleId="2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5401</Words>
  <Characters>5853</Characters>
  <Lines>0</Lines>
  <Paragraphs>0</Paragraphs>
  <TotalTime>15</TotalTime>
  <ScaleCrop>false</ScaleCrop>
  <LinksUpToDate>false</LinksUpToDate>
  <CharactersWithSpaces>6164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2026-06-03T01:15:38Z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eyJoZGlkIjoiZGVjYzc1YWE1ZDY5ZTBhMjhkOTc1M2MxMTMzMzJhMTAiLCJ1c2VySWQiOiI3MDE0MTUyMzAifQ==</vt:lpwstr>
  </property>
</Properties>
</file>