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000000" w:themeColor="text1"/>
          <w:kern w:val="28"/>
          <w:sz w:val="44"/>
          <w:szCs w:val="36"/>
          <w14:textFill>
            <w14:solidFill>
              <w14:schemeClr w14:val="tx1"/>
            </w14:solidFill>
          </w14:textFill>
        </w:rPr>
      </w:pPr>
      <w:r>
        <w:rPr>
          <w:rFonts w:hint="eastAsia" w:ascii="宋体" w:hAnsi="宋体"/>
          <w:b/>
          <w:color w:val="000000" w:themeColor="text1"/>
          <w:kern w:val="28"/>
          <w:sz w:val="44"/>
          <w:szCs w:val="36"/>
          <w14:textFill>
            <w14:solidFill>
              <w14:schemeClr w14:val="tx1"/>
            </w14:solidFill>
          </w14:textFill>
        </w:rPr>
        <w:t>采购</w:t>
      </w:r>
      <w:r>
        <w:rPr>
          <w:rFonts w:ascii="宋体" w:hAnsi="宋体"/>
          <w:b/>
          <w:color w:val="000000" w:themeColor="text1"/>
          <w:kern w:val="28"/>
          <w:sz w:val="44"/>
          <w:szCs w:val="36"/>
          <w14:textFill>
            <w14:solidFill>
              <w14:schemeClr w14:val="tx1"/>
            </w14:solidFill>
          </w14:textFill>
        </w:rPr>
        <w:t>需求书</w:t>
      </w:r>
    </w:p>
    <w:p w14:paraId="23DFADCC">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总则：</w:t>
      </w:r>
    </w:p>
    <w:p w14:paraId="7182681F">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5F37E3CE">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2.采购需求中凡有“★”标识的内容条款为关键条款，投标供应商必须对此作出回答并完全满足这些要求不可以出现任何负偏离，对这些关键条款的任何负偏离将视为无效投标。</w:t>
      </w:r>
    </w:p>
    <w:p w14:paraId="1A276B23">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3.加注“▲”的内容为重点评标项目，投标供应商必须对该标识项目按照要求进行真实应答描述。但不作为无效投标条款。</w:t>
      </w:r>
    </w:p>
    <w:p w14:paraId="139FA958">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4.★投标人所投设备如属于医疗器械设备，投标供应商应该符合《医疗器械经营质量管理规范》和《医疗器械监督管理条例》规定，并结合本项目特性提供有效的医疗器械产品注册或备案证明材料和投标供应商的经营许可或备案证明材料（提供证明材料复印件加盖公章）。所投设备必须是在医疗器械注册证或备案证明有效期内生产的产品。不属于医疗器械设备无须提供医疗器械注册证或备案证。</w:t>
      </w:r>
    </w:p>
    <w:p w14:paraId="46DB944C">
      <w:pPr>
        <w:numPr>
          <w:ilvl w:val="0"/>
          <w:numId w:val="0"/>
        </w:numPr>
        <w:spacing w:line="440" w:lineRule="exact"/>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5.本文的“质保期”是指中标标的物经约定的验收机构完成验收之日起算，截至中标供应商承诺的期限。</w:t>
      </w:r>
    </w:p>
    <w:p w14:paraId="2B9D2695">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二、</w:t>
      </w:r>
      <w:r>
        <w:rPr>
          <w:rFonts w:hint="eastAsia" w:ascii="仿宋" w:hAnsi="仿宋" w:eastAsia="仿宋" w:cs="仿宋"/>
          <w:b/>
          <w:color w:val="000000" w:themeColor="text1"/>
          <w:sz w:val="24"/>
          <w14:textFill>
            <w14:solidFill>
              <w14:schemeClr w14:val="tx1"/>
            </w14:solidFill>
          </w14:textFill>
        </w:rPr>
        <w:t>基本需求</w:t>
      </w:r>
    </w:p>
    <w:tbl>
      <w:tblPr>
        <w:tblStyle w:val="11"/>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67829918">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数量（套）</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274" w:type="dxa"/>
            <w:shd w:val="clear" w:color="auto" w:fill="auto"/>
            <w:vAlign w:val="top"/>
          </w:tcPr>
          <w:p w14:paraId="611AB3E1">
            <w:pPr>
              <w:spacing w:line="440" w:lineRule="exact"/>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lang w:val="en-US" w:eastAsia="zh-CN"/>
              </w:rPr>
              <w:t>双头半导体激光治疗仪</w:t>
            </w:r>
          </w:p>
        </w:tc>
        <w:tc>
          <w:tcPr>
            <w:tcW w:w="2268" w:type="dxa"/>
            <w:shd w:val="clear" w:color="auto" w:fill="auto"/>
            <w:vAlign w:val="top"/>
          </w:tcPr>
          <w:p w14:paraId="29F1C941">
            <w:pPr>
              <w:spacing w:line="440" w:lineRule="exact"/>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皮肤科</w:t>
            </w:r>
          </w:p>
        </w:tc>
        <w:tc>
          <w:tcPr>
            <w:tcW w:w="2508" w:type="dxa"/>
            <w:shd w:val="clear" w:color="auto" w:fill="auto"/>
            <w:vAlign w:val="top"/>
          </w:tcPr>
          <w:p w14:paraId="5937043E">
            <w:pPr>
              <w:spacing w:line="440" w:lineRule="exact"/>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1</w:t>
            </w:r>
          </w:p>
        </w:tc>
      </w:tr>
    </w:tbl>
    <w:p w14:paraId="3192A77B">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核心产品：</w:t>
      </w:r>
      <w:r>
        <w:rPr>
          <w:rFonts w:hint="eastAsia" w:ascii="仿宋" w:hAnsi="仿宋" w:eastAsia="仿宋" w:cs="仿宋"/>
          <w:color w:val="auto"/>
          <w:sz w:val="24"/>
          <w:szCs w:val="24"/>
          <w:lang w:val="en-US" w:eastAsia="zh-CN"/>
        </w:rPr>
        <w:t>双头半导体激光治疗仪</w:t>
      </w:r>
    </w:p>
    <w:p w14:paraId="26B12F7A">
      <w:pPr>
        <w:spacing w:line="440" w:lineRule="exact"/>
        <w:rPr>
          <w:rFonts w:ascii="仿宋" w:hAnsi="仿宋" w:eastAsia="仿宋" w:cs="仿宋"/>
          <w:color w:val="000000" w:themeColor="text1"/>
          <w:sz w:val="24"/>
          <w14:textFill>
            <w14:solidFill>
              <w14:schemeClr w14:val="tx1"/>
            </w14:solidFill>
          </w14:textFill>
        </w:rPr>
      </w:pPr>
    </w:p>
    <w:p w14:paraId="01316140">
      <w:p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用途：</w:t>
      </w:r>
      <w:r>
        <w:rPr>
          <w:rFonts w:hint="eastAsia" w:ascii="仿宋" w:hAnsi="仿宋" w:eastAsia="仿宋" w:cs="仿宋"/>
          <w:color w:val="000000" w:themeColor="text1"/>
          <w:sz w:val="24"/>
          <w:lang w:val="en-US" w:eastAsia="zh-CN"/>
          <w14:textFill>
            <w14:solidFill>
              <w14:schemeClr w14:val="tx1"/>
            </w14:solidFill>
          </w14:textFill>
        </w:rPr>
        <w:t>用于</w:t>
      </w:r>
      <w:r>
        <w:rPr>
          <w:rFonts w:hint="eastAsia" w:ascii="仿宋" w:hAnsi="仿宋" w:eastAsia="仿宋" w:cs="仿宋"/>
          <w:b w:val="0"/>
          <w:bCs/>
          <w:color w:val="000000"/>
          <w:sz w:val="24"/>
        </w:rPr>
        <w:t>感染及非感染性炎症的治疗</w:t>
      </w:r>
      <w:r>
        <w:rPr>
          <w:rFonts w:hint="eastAsia" w:ascii="仿宋" w:hAnsi="仿宋" w:eastAsia="仿宋" w:cs="仿宋"/>
          <w:b w:val="0"/>
          <w:bCs/>
          <w:color w:val="000000"/>
          <w:sz w:val="24"/>
          <w:lang w:eastAsia="zh-CN"/>
        </w:rPr>
        <w:t>，</w:t>
      </w:r>
      <w:r>
        <w:rPr>
          <w:rFonts w:hint="eastAsia" w:ascii="仿宋" w:hAnsi="仿宋" w:eastAsia="仿宋" w:cs="仿宋"/>
          <w:b w:val="0"/>
          <w:bCs/>
          <w:color w:val="000000"/>
          <w:sz w:val="24"/>
        </w:rPr>
        <w:t>促进新生血管生长和肉芽组织增生</w:t>
      </w:r>
      <w:r>
        <w:rPr>
          <w:rFonts w:hint="eastAsia" w:ascii="仿宋" w:hAnsi="仿宋" w:eastAsia="仿宋" w:cs="仿宋"/>
          <w:b w:val="0"/>
          <w:bCs/>
          <w:color w:val="000000"/>
          <w:sz w:val="24"/>
          <w:lang w:eastAsia="zh-CN"/>
        </w:rPr>
        <w:t>，</w:t>
      </w:r>
      <w:r>
        <w:rPr>
          <w:rFonts w:hint="eastAsia" w:ascii="仿宋" w:hAnsi="仿宋" w:eastAsia="仿宋" w:cs="仿宋"/>
          <w:b w:val="0"/>
          <w:bCs/>
          <w:color w:val="000000"/>
          <w:sz w:val="24"/>
        </w:rPr>
        <w:t>改善局部血液循环</w:t>
      </w:r>
      <w:r>
        <w:rPr>
          <w:rFonts w:hint="eastAsia" w:ascii="仿宋" w:hAnsi="仿宋" w:eastAsia="仿宋" w:cs="仿宋"/>
          <w:b w:val="0"/>
          <w:bCs/>
          <w:color w:val="000000"/>
          <w:sz w:val="24"/>
          <w:lang w:val="en-US" w:eastAsia="zh-CN"/>
        </w:rPr>
        <w:t>等。</w:t>
      </w:r>
    </w:p>
    <w:p w14:paraId="247ACE54">
      <w:pPr>
        <w:spacing w:line="440" w:lineRule="exact"/>
        <w:rPr>
          <w:rFonts w:ascii="仿宋" w:hAnsi="仿宋" w:eastAsia="仿宋" w:cs="仿宋"/>
          <w:b/>
          <w:color w:val="000000" w:themeColor="text1"/>
          <w:sz w:val="24"/>
          <w14:textFill>
            <w14:solidFill>
              <w14:schemeClr w14:val="tx1"/>
            </w14:solidFill>
          </w14:textFill>
        </w:rPr>
      </w:pPr>
    </w:p>
    <w:p w14:paraId="38EFFBA2">
      <w:pPr>
        <w:spacing w:line="440" w:lineRule="exact"/>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设备符合中山市物价收费名目：</w:t>
      </w:r>
    </w:p>
    <w:tbl>
      <w:tblPr>
        <w:tblStyle w:val="10"/>
        <w:tblW w:w="81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56"/>
        <w:gridCol w:w="2312"/>
        <w:gridCol w:w="2500"/>
        <w:gridCol w:w="1913"/>
      </w:tblGrid>
      <w:tr w14:paraId="48967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 w:hRule="atLeast"/>
        </w:trPr>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53A7">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使用科室</w:t>
            </w:r>
          </w:p>
        </w:tc>
        <w:tc>
          <w:tcPr>
            <w:tcW w:w="23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0E7A6">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中山市物价编码</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5C470">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收费项目名称</w:t>
            </w:r>
          </w:p>
        </w:tc>
        <w:tc>
          <w:tcPr>
            <w:tcW w:w="1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C5CC">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收费单价（元）</w:t>
            </w:r>
          </w:p>
        </w:tc>
      </w:tr>
      <w:tr w14:paraId="1D692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8" w:hRule="atLeast"/>
        </w:trPr>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D5A7">
            <w:pPr>
              <w:spacing w:line="44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皮肤科</w:t>
            </w:r>
          </w:p>
        </w:tc>
        <w:tc>
          <w:tcPr>
            <w:tcW w:w="23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EC369">
            <w:pPr>
              <w:spacing w:line="440" w:lineRule="exact"/>
              <w:jc w:val="center"/>
              <w:rPr>
                <w:rFonts w:hint="eastAsia"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013114000020000</w:t>
            </w:r>
          </w:p>
        </w:tc>
        <w:tc>
          <w:tcPr>
            <w:tcW w:w="2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DD71">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皮损治疗费（特殊）</w:t>
            </w:r>
          </w:p>
        </w:tc>
        <w:tc>
          <w:tcPr>
            <w:tcW w:w="19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FB0D">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56元</w:t>
            </w:r>
          </w:p>
        </w:tc>
      </w:tr>
    </w:tbl>
    <w:p w14:paraId="1346C33F">
      <w:pPr>
        <w:spacing w:line="440" w:lineRule="exact"/>
        <w:rPr>
          <w:rFonts w:ascii="仿宋" w:hAnsi="仿宋" w:eastAsia="仿宋" w:cs="仿宋"/>
          <w:b/>
          <w:color w:val="000000" w:themeColor="text1"/>
          <w:sz w:val="24"/>
          <w14:textFill>
            <w14:solidFill>
              <w14:schemeClr w14:val="tx1"/>
            </w14:solidFill>
          </w14:textFill>
        </w:rPr>
      </w:pPr>
    </w:p>
    <w:p w14:paraId="426AD8A4">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kern w:val="2"/>
          <w:sz w:val="24"/>
          <w:szCs w:val="24"/>
          <w:lang w:val="en-US" w:eastAsia="zh-CN" w:bidi="ar-SA"/>
          <w14:textFill>
            <w14:solidFill>
              <w14:schemeClr w14:val="tx1"/>
            </w14:solidFill>
          </w14:textFill>
        </w:rPr>
        <w:t>三、</w:t>
      </w:r>
      <w:r>
        <w:rPr>
          <w:rFonts w:hint="eastAsia" w:ascii="仿宋" w:hAnsi="仿宋" w:eastAsia="仿宋" w:cs="仿宋"/>
          <w:b/>
          <w:color w:val="000000" w:themeColor="text1"/>
          <w:sz w:val="24"/>
          <w14:textFill>
            <w14:solidFill>
              <w14:schemeClr w14:val="tx1"/>
            </w14:solidFill>
          </w14:textFill>
        </w:rPr>
        <w:t>技术参数：</w:t>
      </w:r>
    </w:p>
    <w:p w14:paraId="16234854">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★通道：双通道，输出可同步治疗，单独设置与输出。</w:t>
      </w:r>
    </w:p>
    <w:p w14:paraId="750C804C">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lang w:val="zh-CN" w:eastAsia="zh-CN"/>
        </w:rPr>
        <w:t>波长：</w:t>
      </w:r>
      <w:r>
        <w:rPr>
          <w:rFonts w:hint="eastAsia" w:ascii="仿宋" w:hAnsi="仿宋" w:eastAsia="仿宋" w:cs="仿宋"/>
          <w:color w:val="auto"/>
          <w:sz w:val="24"/>
          <w:szCs w:val="24"/>
          <w:lang w:val="en-US" w:eastAsia="zh-CN"/>
        </w:rPr>
        <w:t>650nm±30nm，810nm±30nm。</w:t>
      </w:r>
    </w:p>
    <w:p w14:paraId="0AF57146">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▲光斑直径：≤12cm。</w:t>
      </w:r>
    </w:p>
    <w:p w14:paraId="49D6A7EF">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激光输出方式：连续、脉冲</w:t>
      </w:r>
      <w:r>
        <w:rPr>
          <w:rFonts w:hint="eastAsia" w:ascii="仿宋" w:hAnsi="仿宋" w:eastAsia="仿宋" w:cs="仿宋"/>
          <w:color w:val="auto"/>
          <w:sz w:val="24"/>
          <w:szCs w:val="24"/>
          <w:lang w:val="zh-CN" w:eastAsia="zh-CN"/>
        </w:rPr>
        <w:t>，</w:t>
      </w:r>
      <w:r>
        <w:rPr>
          <w:rFonts w:hint="eastAsia" w:ascii="仿宋" w:hAnsi="仿宋" w:eastAsia="仿宋" w:cs="仿宋"/>
          <w:color w:val="auto"/>
          <w:sz w:val="24"/>
          <w:szCs w:val="24"/>
          <w:lang w:val="en-US" w:eastAsia="zh-CN"/>
        </w:rPr>
        <w:t>多激光器阵列，激光器空间光输出，功率步进可调。</w:t>
      </w:r>
    </w:p>
    <w:p w14:paraId="3A66A4DF">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zh-CN" w:eastAsia="zh-CN"/>
        </w:rPr>
        <w:t>输出功率：</w:t>
      </w:r>
      <w:r>
        <w:rPr>
          <w:rFonts w:hint="eastAsia" w:ascii="仿宋" w:hAnsi="仿宋" w:eastAsia="仿宋" w:cs="仿宋"/>
          <w:color w:val="auto"/>
          <w:sz w:val="24"/>
          <w:szCs w:val="24"/>
          <w:lang w:val="en-US" w:eastAsia="zh-CN"/>
        </w:rPr>
        <w:t>单激光管最大输出功率：650nm≥200mW，810nm≥1600mW，不稳定度±≤5%。</w:t>
      </w:r>
    </w:p>
    <w:p w14:paraId="6D984831">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最大输出功率≥3500mW。</w:t>
      </w:r>
    </w:p>
    <w:p w14:paraId="3D42AE9F">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输入功率≤80VA。</w:t>
      </w:r>
    </w:p>
    <w:p w14:paraId="56E762ED">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显示及控制方式：两种，≥8寸触摸液晶显示；按键控制。</w:t>
      </w:r>
    </w:p>
    <w:p w14:paraId="561F648A">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bookmarkStart w:id="0" w:name="_GoBack"/>
      <w:r>
        <w:rPr>
          <w:rFonts w:hint="eastAsia" w:ascii="仿宋" w:hAnsi="仿宋" w:eastAsia="仿宋" w:cs="仿宋"/>
          <w:color w:val="auto"/>
          <w:sz w:val="24"/>
          <w:szCs w:val="24"/>
          <w:lang w:val="en-US" w:eastAsia="zh-CN"/>
        </w:rPr>
        <w:t>▲探头扩展功能：激光探头自动识别功能，可选配多种不同光斑尺寸的探头。</w:t>
      </w:r>
    </w:p>
    <w:bookmarkEnd w:id="0"/>
    <w:p w14:paraId="0898DBFE">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冷却方式：全金属探头自然冷却。</w:t>
      </w:r>
    </w:p>
    <w:p w14:paraId="6CACAD38">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▲定时功能：1-90min，每分钟步进可调。定时结束有提示音。</w:t>
      </w:r>
    </w:p>
    <w:p w14:paraId="498D7FB7">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安全保护系统：CPU微机控制和保护系统；急停开关安全保护装置。</w:t>
      </w:r>
    </w:p>
    <w:p w14:paraId="44EC9131">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▲通道支架：万向臂支架，万向轮，操作简便灵活。</w:t>
      </w:r>
    </w:p>
    <w:p w14:paraId="1C332624">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参数储存功能：有，并内置适用皮肤科治疗的参数。</w:t>
      </w:r>
    </w:p>
    <w:p w14:paraId="09B55A53">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操作系统：微电脑操作系统，开机识别治疗头类别。</w:t>
      </w:r>
    </w:p>
    <w:p w14:paraId="2502F051">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激光物质：GaAlAs（镓铝砷）。</w:t>
      </w:r>
    </w:p>
    <w:p w14:paraId="7BF50D7A">
      <w:pPr>
        <w:numPr>
          <w:ilvl w:val="0"/>
          <w:numId w:val="1"/>
        </w:numPr>
        <w:spacing w:line="440" w:lineRule="exact"/>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auto"/>
          <w:sz w:val="24"/>
          <w:szCs w:val="24"/>
          <w:lang w:val="en-US" w:eastAsia="zh-CN"/>
        </w:rPr>
        <w:t>★使用期限≥8年。</w:t>
      </w:r>
    </w:p>
    <w:p w14:paraId="2D9C1BC3">
      <w:pPr>
        <w:numPr>
          <w:ilvl w:val="0"/>
          <w:numId w:val="0"/>
        </w:numPr>
        <w:spacing w:line="440" w:lineRule="exact"/>
        <w:rPr>
          <w:rFonts w:hint="eastAsia" w:ascii="仿宋" w:hAnsi="仿宋" w:eastAsia="仿宋" w:cs="仿宋"/>
          <w:b/>
          <w:color w:val="000000" w:themeColor="text1"/>
          <w:sz w:val="24"/>
          <w14:textFill>
            <w14:solidFill>
              <w14:schemeClr w14:val="tx1"/>
            </w14:solidFill>
          </w14:textFill>
        </w:rPr>
      </w:pPr>
    </w:p>
    <w:p w14:paraId="5B198E0B">
      <w:pPr>
        <w:numPr>
          <w:ilvl w:val="0"/>
          <w:numId w:val="2"/>
        </w:numPr>
        <w:spacing w:line="44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每套设备配置要求：</w:t>
      </w:r>
    </w:p>
    <w:tbl>
      <w:tblPr>
        <w:tblStyle w:val="10"/>
        <w:tblW w:w="4877" w:type="pct"/>
        <w:tblInd w:w="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3"/>
        <w:gridCol w:w="4812"/>
        <w:gridCol w:w="1264"/>
        <w:gridCol w:w="1274"/>
      </w:tblGrid>
      <w:tr w14:paraId="42901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000000" w:sz="4" w:space="0"/>
              <w:bottom w:val="single" w:color="000000" w:sz="4" w:space="0"/>
              <w:right w:val="single" w:color="000000" w:sz="4" w:space="0"/>
            </w:tcBorders>
            <w:noWrap w:val="0"/>
            <w:vAlign w:val="center"/>
          </w:tcPr>
          <w:p w14:paraId="08795855">
            <w:pPr>
              <w:spacing w:line="440" w:lineRule="exact"/>
              <w:jc w:val="center"/>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序号</w:t>
            </w:r>
          </w:p>
        </w:tc>
        <w:tc>
          <w:tcPr>
            <w:tcW w:w="4812" w:type="dxa"/>
            <w:tcBorders>
              <w:top w:val="single" w:color="000000" w:sz="4" w:space="0"/>
              <w:left w:val="single" w:color="000000" w:sz="4" w:space="0"/>
              <w:bottom w:val="single" w:color="000000" w:sz="4" w:space="0"/>
              <w:right w:val="single" w:color="000000" w:sz="4" w:space="0"/>
            </w:tcBorders>
            <w:noWrap w:val="0"/>
            <w:vAlign w:val="center"/>
          </w:tcPr>
          <w:p w14:paraId="2FA1DDEC">
            <w:pPr>
              <w:spacing w:line="440" w:lineRule="exact"/>
              <w:jc w:val="center"/>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名称</w:t>
            </w:r>
          </w:p>
        </w:tc>
        <w:tc>
          <w:tcPr>
            <w:tcW w:w="1264" w:type="dxa"/>
            <w:tcBorders>
              <w:top w:val="single" w:color="000000" w:sz="4" w:space="0"/>
              <w:left w:val="single" w:color="000000" w:sz="4" w:space="0"/>
              <w:bottom w:val="single" w:color="000000" w:sz="4" w:space="0"/>
              <w:right w:val="single" w:color="000000" w:sz="4" w:space="0"/>
            </w:tcBorders>
            <w:noWrap w:val="0"/>
            <w:vAlign w:val="center"/>
          </w:tcPr>
          <w:p w14:paraId="3282B997">
            <w:pPr>
              <w:spacing w:line="440" w:lineRule="exact"/>
              <w:jc w:val="center"/>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单位</w:t>
            </w:r>
          </w:p>
        </w:tc>
        <w:tc>
          <w:tcPr>
            <w:tcW w:w="1274" w:type="dxa"/>
            <w:tcBorders>
              <w:top w:val="single" w:color="000000" w:sz="4" w:space="0"/>
              <w:left w:val="single" w:color="000000" w:sz="4" w:space="0"/>
              <w:bottom w:val="single" w:color="000000" w:sz="4" w:space="0"/>
              <w:right w:val="single" w:color="000000" w:sz="4" w:space="0"/>
            </w:tcBorders>
            <w:noWrap w:val="0"/>
            <w:vAlign w:val="center"/>
          </w:tcPr>
          <w:p w14:paraId="60400A2C">
            <w:pPr>
              <w:spacing w:line="440" w:lineRule="exact"/>
              <w:jc w:val="center"/>
              <w:rPr>
                <w:rFonts w:hint="eastAsia" w:ascii="仿宋" w:hAnsi="仿宋" w:eastAsia="仿宋" w:cs="仿宋"/>
                <w:b/>
                <w:bCs/>
                <w:color w:val="auto"/>
                <w:sz w:val="24"/>
                <w:szCs w:val="24"/>
                <w:lang w:val="zh-CN" w:eastAsia="zh-CN"/>
              </w:rPr>
            </w:pPr>
            <w:r>
              <w:rPr>
                <w:rFonts w:hint="eastAsia" w:ascii="仿宋" w:hAnsi="仿宋" w:eastAsia="仿宋" w:cs="仿宋"/>
                <w:b/>
                <w:bCs/>
                <w:color w:val="auto"/>
                <w:sz w:val="24"/>
                <w:szCs w:val="24"/>
                <w:lang w:val="en-US" w:eastAsia="zh-CN"/>
              </w:rPr>
              <w:t>数量</w:t>
            </w:r>
          </w:p>
        </w:tc>
      </w:tr>
      <w:tr w14:paraId="287EA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7F354811">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4812" w:type="dxa"/>
            <w:tcBorders>
              <w:top w:val="single" w:color="000000" w:sz="4" w:space="0"/>
              <w:left w:val="single" w:color="000000" w:sz="4" w:space="0"/>
              <w:bottom w:val="single" w:color="000000" w:sz="4" w:space="0"/>
              <w:right w:val="single" w:color="000000" w:sz="4" w:space="0"/>
            </w:tcBorders>
            <w:noWrap w:val="0"/>
            <w:vAlign w:val="bottom"/>
          </w:tcPr>
          <w:p w14:paraId="474F1F64">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半导体激光治疗仪主机</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73869E21">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台</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458B9F95">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r>
      <w:tr w14:paraId="2E9B9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5E857DF3">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1EC4766F">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大光斑探头</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407D34A5">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个</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63F0048B">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r>
      <w:tr w14:paraId="20440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5F9C8FDE">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70444A87">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支架</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07A57B47">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支</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1ED8EB67">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r>
      <w:tr w14:paraId="1C4DF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2EF94447">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10C8FBC4">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激光护目镜</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02662E68">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副</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45FD51DC">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r>
      <w:tr w14:paraId="6EECE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5D92EC08">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74F37B1D">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电源线</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53E7B003">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根</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6B2B7A54">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r>
      <w:tr w14:paraId="1039E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5BB687B2">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3DE181D8">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保险丝管</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2793C632">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只</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51ECEDE8">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r>
      <w:tr w14:paraId="5BC1D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63C9842B">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555BA867">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安装验收报告</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6056CB5D">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份</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001C51C9">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r>
      <w:tr w14:paraId="10B1A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27554699">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4685A32F">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保修卡</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31419D32">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份</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37692A1B">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r>
      <w:tr w14:paraId="12FC6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60BD2ABA">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1F537503">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使用说明书</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790F5D5C">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0C8952D8">
            <w:pPr>
              <w:spacing w:line="44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r>
      <w:tr w14:paraId="656D5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963" w:type="dxa"/>
            <w:tcBorders>
              <w:top w:val="single" w:color="000000" w:sz="4" w:space="0"/>
              <w:left w:val="single" w:color="auto" w:sz="4" w:space="0"/>
              <w:bottom w:val="single" w:color="000000" w:sz="4" w:space="0"/>
              <w:right w:val="single" w:color="000000" w:sz="4" w:space="0"/>
            </w:tcBorders>
            <w:noWrap/>
            <w:vAlign w:val="bottom"/>
          </w:tcPr>
          <w:p w14:paraId="032CF03B">
            <w:pPr>
              <w:keepNext w:val="0"/>
              <w:keepLines w:val="0"/>
              <w:widowControl/>
              <w:suppressLineNumbers w:val="0"/>
              <w:jc w:val="center"/>
              <w:textAlignment w:val="bottom"/>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10</w:t>
            </w:r>
          </w:p>
        </w:tc>
        <w:tc>
          <w:tcPr>
            <w:tcW w:w="4812" w:type="dxa"/>
            <w:tcBorders>
              <w:top w:val="single" w:color="000000" w:sz="4" w:space="0"/>
              <w:left w:val="single" w:color="000000" w:sz="4" w:space="0"/>
              <w:bottom w:val="single" w:color="000000" w:sz="4" w:space="0"/>
              <w:right w:val="single" w:color="000000" w:sz="4" w:space="0"/>
            </w:tcBorders>
            <w:noWrap/>
            <w:vAlign w:val="bottom"/>
          </w:tcPr>
          <w:p w14:paraId="10DD9ECF">
            <w:pPr>
              <w:spacing w:line="440" w:lineRule="exact"/>
              <w:jc w:val="center"/>
              <w:rPr>
                <w:rFonts w:hint="eastAsia" w:ascii="宋体" w:hAnsi="宋体" w:eastAsia="宋体" w:cs="宋体"/>
                <w:i w:val="0"/>
                <w:iCs w:val="0"/>
                <w:color w:val="000000"/>
                <w:sz w:val="24"/>
                <w:szCs w:val="24"/>
                <w:u w:val="none"/>
              </w:rPr>
            </w:pPr>
            <w:r>
              <w:rPr>
                <w:rFonts w:hint="eastAsia" w:ascii="仿宋" w:hAnsi="仿宋" w:eastAsia="仿宋" w:cs="仿宋"/>
                <w:color w:val="auto"/>
                <w:sz w:val="24"/>
                <w:szCs w:val="24"/>
                <w:lang w:val="en-US" w:eastAsia="zh-CN"/>
              </w:rPr>
              <w:t>合格证</w:t>
            </w:r>
          </w:p>
        </w:tc>
        <w:tc>
          <w:tcPr>
            <w:tcW w:w="1264" w:type="dxa"/>
            <w:tcBorders>
              <w:top w:val="single" w:color="000000" w:sz="4" w:space="0"/>
              <w:left w:val="single" w:color="000000" w:sz="4" w:space="0"/>
              <w:bottom w:val="single" w:color="000000" w:sz="4" w:space="0"/>
              <w:right w:val="single" w:color="000000" w:sz="4" w:space="0"/>
            </w:tcBorders>
            <w:noWrap/>
            <w:vAlign w:val="bottom"/>
          </w:tcPr>
          <w:p w14:paraId="6B1353D3">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张</w:t>
            </w:r>
          </w:p>
        </w:tc>
        <w:tc>
          <w:tcPr>
            <w:tcW w:w="1274" w:type="dxa"/>
            <w:tcBorders>
              <w:top w:val="single" w:color="000000" w:sz="4" w:space="0"/>
              <w:left w:val="single" w:color="000000" w:sz="4" w:space="0"/>
              <w:bottom w:val="single" w:color="000000" w:sz="4" w:space="0"/>
              <w:right w:val="single" w:color="000000" w:sz="4" w:space="0"/>
            </w:tcBorders>
            <w:noWrap/>
            <w:vAlign w:val="bottom"/>
          </w:tcPr>
          <w:p w14:paraId="496904BF">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bl>
    <w:p w14:paraId="4A83F173">
      <w:pPr>
        <w:spacing w:line="440" w:lineRule="exact"/>
        <w:rPr>
          <w:rFonts w:ascii="仿宋" w:hAnsi="仿宋" w:eastAsia="仿宋" w:cs="仿宋"/>
          <w:b/>
          <w:color w:val="000000" w:themeColor="text1"/>
          <w:sz w:val="24"/>
          <w14:textFill>
            <w14:solidFill>
              <w14:schemeClr w14:val="tx1"/>
            </w14:solidFill>
          </w14:textFill>
        </w:rPr>
      </w:pPr>
    </w:p>
    <w:p w14:paraId="11AD96EA">
      <w:pPr>
        <w:numPr>
          <w:ilvl w:val="0"/>
          <w:numId w:val="0"/>
        </w:numPr>
        <w:spacing w:line="440" w:lineRule="exact"/>
        <w:rPr>
          <w:rFonts w:ascii="仿宋" w:hAnsi="仿宋" w:eastAsia="仿宋" w:cs="仿宋"/>
          <w:b/>
          <w:color w:val="auto"/>
          <w:sz w:val="24"/>
          <w:highlight w:val="none"/>
        </w:rPr>
      </w:pPr>
      <w:r>
        <w:rPr>
          <w:rFonts w:hint="eastAsia" w:ascii="仿宋" w:hAnsi="仿宋" w:eastAsia="仿宋" w:cs="仿宋"/>
          <w:b/>
          <w:color w:val="auto"/>
          <w:kern w:val="2"/>
          <w:sz w:val="24"/>
          <w:szCs w:val="24"/>
          <w:highlight w:val="none"/>
          <w:lang w:val="en-US" w:eastAsia="zh-CN" w:bidi="ar-SA"/>
        </w:rPr>
        <w:t>五、</w:t>
      </w:r>
      <w:r>
        <w:rPr>
          <w:rFonts w:hint="eastAsia" w:ascii="仿宋" w:hAnsi="仿宋" w:eastAsia="仿宋" w:cs="仿宋"/>
          <w:b/>
          <w:color w:val="auto"/>
          <w:sz w:val="24"/>
          <w:highlight w:val="none"/>
        </w:rPr>
        <w:t>商务要求：</w:t>
      </w:r>
    </w:p>
    <w:p w14:paraId="446DF9BE">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0092BC5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26F99C75">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w:t>
      </w:r>
      <w:r>
        <w:rPr>
          <w:rFonts w:hint="eastAsia" w:ascii="仿宋" w:hAnsi="仿宋" w:eastAsia="仿宋" w:cs="仿宋"/>
          <w:color w:val="auto"/>
          <w:sz w:val="24"/>
          <w:highlight w:val="none"/>
          <w:lang w:eastAsia="zh-CN"/>
        </w:rPr>
        <w:t>采购需求</w:t>
      </w:r>
      <w:r>
        <w:rPr>
          <w:rFonts w:hint="eastAsia" w:ascii="仿宋" w:hAnsi="仿宋" w:eastAsia="仿宋" w:cs="仿宋"/>
          <w:color w:val="auto"/>
          <w:sz w:val="24"/>
          <w:highlight w:val="none"/>
        </w:rPr>
        <w:t>及</w:t>
      </w:r>
      <w:r>
        <w:rPr>
          <w:rFonts w:hint="eastAsia" w:ascii="仿宋" w:hAnsi="仿宋" w:eastAsia="仿宋" w:cs="仿宋"/>
          <w:color w:val="auto"/>
          <w:sz w:val="24"/>
          <w:highlight w:val="none"/>
          <w:lang w:eastAsia="zh-CN"/>
        </w:rPr>
        <w:t>中标供应商</w:t>
      </w:r>
      <w:r>
        <w:rPr>
          <w:rFonts w:hint="eastAsia" w:ascii="仿宋" w:hAnsi="仿宋" w:eastAsia="仿宋" w:cs="仿宋"/>
          <w:color w:val="auto"/>
          <w:sz w:val="24"/>
          <w:highlight w:val="none"/>
        </w:rPr>
        <w:t>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30 </w:t>
      </w:r>
      <w:r>
        <w:rPr>
          <w:rFonts w:hint="eastAsia" w:ascii="仿宋" w:hAnsi="仿宋" w:eastAsia="仿宋" w:cs="仿宋"/>
          <w:color w:val="auto"/>
          <w:sz w:val="24"/>
          <w:highlight w:val="none"/>
        </w:rPr>
        <w:t>日内完成设备的安装调试。</w:t>
      </w:r>
    </w:p>
    <w:p w14:paraId="502B509A">
      <w:pPr>
        <w:spacing w:line="44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1.3中标供应商须保证中标后所提供的设备为原装、全新合格的产品</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且原装进口产品生产日期与交货日期差值≤6个月；国产产品生产日期与交货日期差值≤3个月。</w:t>
      </w:r>
    </w:p>
    <w:p w14:paraId="63715010">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9FBC42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1.5验收方式：按《小榄镇</w:t>
      </w:r>
      <w:r>
        <w:rPr>
          <w:rFonts w:hint="eastAsia" w:ascii="仿宋" w:hAnsi="仿宋" w:eastAsia="仿宋" w:cs="仿宋"/>
          <w:color w:val="auto"/>
          <w:sz w:val="24"/>
          <w:highlight w:val="none"/>
          <w:lang w:eastAsia="zh-CN"/>
        </w:rPr>
        <w:t>公立</w:t>
      </w:r>
      <w:r>
        <w:rPr>
          <w:rFonts w:hint="eastAsia" w:ascii="仿宋" w:hAnsi="仿宋" w:eastAsia="仿宋" w:cs="仿宋"/>
          <w:color w:val="auto"/>
          <w:sz w:val="24"/>
          <w:highlight w:val="none"/>
        </w:rPr>
        <w:t>医院</w:t>
      </w:r>
      <w:r>
        <w:rPr>
          <w:rFonts w:hint="eastAsia" w:ascii="仿宋" w:hAnsi="仿宋" w:eastAsia="仿宋" w:cs="仿宋"/>
          <w:color w:val="auto"/>
          <w:sz w:val="24"/>
          <w:highlight w:val="none"/>
          <w:lang w:eastAsia="zh-CN"/>
        </w:rPr>
        <w:t>政府</w:t>
      </w:r>
      <w:r>
        <w:rPr>
          <w:rFonts w:hint="eastAsia" w:ascii="仿宋" w:hAnsi="仿宋" w:eastAsia="仿宋" w:cs="仿宋"/>
          <w:color w:val="auto"/>
          <w:sz w:val="24"/>
          <w:highlight w:val="none"/>
        </w:rPr>
        <w:t>采购和验收</w:t>
      </w:r>
      <w:r>
        <w:rPr>
          <w:rFonts w:hint="eastAsia" w:ascii="仿宋" w:hAnsi="仿宋" w:eastAsia="仿宋" w:cs="仿宋"/>
          <w:color w:val="auto"/>
          <w:sz w:val="24"/>
          <w:highlight w:val="none"/>
          <w:lang w:eastAsia="zh-CN"/>
        </w:rPr>
        <w:t>办法</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和《中山市小榄人民医院医疗设备验收管理制度》</w:t>
      </w:r>
      <w:r>
        <w:rPr>
          <w:rFonts w:hint="eastAsia" w:ascii="仿宋" w:hAnsi="仿宋" w:eastAsia="仿宋" w:cs="仿宋"/>
          <w:color w:val="auto"/>
          <w:sz w:val="24"/>
          <w:highlight w:val="none"/>
        </w:rPr>
        <w:t>。</w:t>
      </w:r>
    </w:p>
    <w:p w14:paraId="6734BA8F">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p w14:paraId="255B0B76">
      <w:pPr>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★1.7乙方所投设备属于计量仪器的，需通过具有国家部门颁发专业检测资质证书的第三方计量检测单位检测并提供合格报告。</w:t>
      </w:r>
    </w:p>
    <w:p w14:paraId="71AC6CCD">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1F9151ED">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577688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w:t>
      </w:r>
      <w:r>
        <w:rPr>
          <w:rFonts w:hint="eastAsia" w:ascii="仿宋" w:hAnsi="仿宋" w:eastAsia="仿宋" w:cs="仿宋"/>
          <w:b/>
          <w:bCs/>
          <w:color w:val="auto"/>
          <w:sz w:val="24"/>
          <w:highlight w:val="none"/>
        </w:rPr>
        <w:t>为</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2</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年。</w:t>
      </w:r>
    </w:p>
    <w:p w14:paraId="0BFBEF0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4DB721E1">
      <w:pPr>
        <w:spacing w:line="440" w:lineRule="exact"/>
        <w:rPr>
          <w:rFonts w:hint="eastAsia" w:ascii="仿宋" w:hAnsi="仿宋" w:eastAsia="仿宋" w:cs="仿宋"/>
          <w:b/>
          <w:color w:val="auto"/>
          <w:sz w:val="24"/>
          <w:highlight w:val="none"/>
          <w:lang w:eastAsia="zh-CN"/>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r>
        <w:rPr>
          <w:rFonts w:hint="eastAsia" w:ascii="仿宋" w:hAnsi="仿宋" w:eastAsia="仿宋" w:cs="仿宋"/>
          <w:color w:val="auto"/>
          <w:sz w:val="24"/>
          <w:highlight w:val="none"/>
          <w:lang w:eastAsia="zh-CN"/>
        </w:rPr>
        <w:t>。</w:t>
      </w:r>
    </w:p>
    <w:p w14:paraId="5BC1A48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3.付款方式</w:t>
      </w:r>
    </w:p>
    <w:p w14:paraId="1BE3E54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p>
    <w:p w14:paraId="1E7E4C8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39E481D6">
      <w:pPr>
        <w:spacing w:line="440" w:lineRule="exact"/>
        <w:rPr>
          <w:rFonts w:hint="eastAsia" w:ascii="仿宋" w:hAnsi="仿宋" w:eastAsia="仿宋" w:cs="仿宋"/>
          <w:color w:val="auto"/>
          <w:sz w:val="24"/>
          <w:highlight w:val="none"/>
        </w:rPr>
      </w:pPr>
    </w:p>
    <w:p w14:paraId="764DAB56">
      <w:pPr>
        <w:spacing w:line="44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60E1B4C6">
      <w:pPr>
        <w:numPr>
          <w:ilvl w:val="0"/>
          <w:numId w:val="0"/>
        </w:num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77E8FF6E">
      <w:pPr>
        <w:spacing w:line="440" w:lineRule="exact"/>
        <w:rPr>
          <w:rFonts w:ascii="仿宋" w:hAnsi="仿宋" w:eastAsia="仿宋" w:cs="仿宋"/>
          <w:color w:val="auto"/>
          <w:sz w:val="24"/>
          <w:highlight w:val="none"/>
          <w:lang w:val="zh-CN"/>
        </w:rPr>
      </w:pPr>
      <w:r>
        <w:rPr>
          <w:rFonts w:hint="eastAsia" w:ascii="仿宋" w:hAnsi="仿宋" w:eastAsia="仿宋" w:cs="仿宋"/>
          <w:color w:val="auto"/>
          <w:kern w:val="2"/>
          <w:sz w:val="24"/>
          <w:szCs w:val="24"/>
          <w:highlight w:val="none"/>
          <w:lang w:val="en-US" w:eastAsia="zh-CN" w:bidi="ar-SA"/>
        </w:rPr>
        <w:t>2.投标人同意采购人以任何形式对其投标文件内容及采购人认为有必要的相关资料的真实性和有效性进行审查、验证。</w:t>
      </w: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00007A87" w:usb1="80000000" w:usb2="00000008"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6"/>
        </w:pPr>
        <w:r>
          <w:rPr>
            <w:rFonts w:hint="eastAsia"/>
            <w:lang w:val="en-US" w:eastAsia="zh-CN"/>
          </w:rPr>
          <w:t>需求科室</w:t>
        </w:r>
        <w:r>
          <w:rPr>
            <w:rFonts w:hint="eastAsia"/>
          </w:rPr>
          <w:t>：                                审核</w:t>
        </w:r>
        <w:r>
          <w:rPr>
            <w:rFonts w:hint="eastAsia"/>
            <w:lang w:val="en-US" w:eastAsia="zh-CN"/>
          </w:rPr>
          <w:t>科室</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6"/>
        </w:pPr>
      </w:p>
    </w:sdtContent>
  </w:sdt>
  <w:p w14:paraId="38E1746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DF6CFC"/>
    <w:multiLevelType w:val="singleLevel"/>
    <w:tmpl w:val="5EDF6CFC"/>
    <w:lvl w:ilvl="0" w:tentative="0">
      <w:start w:val="4"/>
      <w:numFmt w:val="chineseCounting"/>
      <w:suff w:val="nothing"/>
      <w:lvlText w:val="%1、"/>
      <w:lvlJc w:val="left"/>
      <w:rPr>
        <w:rFonts w:hint="eastAsia"/>
      </w:rPr>
    </w:lvl>
  </w:abstractNum>
  <w:abstractNum w:abstractNumId="1">
    <w:nsid w:val="7FCADE8A"/>
    <w:multiLevelType w:val="singleLevel"/>
    <w:tmpl w:val="7FCADE8A"/>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2BFD"/>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27725AF"/>
    <w:rsid w:val="07E63859"/>
    <w:rsid w:val="126775F5"/>
    <w:rsid w:val="140524A5"/>
    <w:rsid w:val="17A84A31"/>
    <w:rsid w:val="18280D53"/>
    <w:rsid w:val="18AC198D"/>
    <w:rsid w:val="1A362D0A"/>
    <w:rsid w:val="1A9A1AE2"/>
    <w:rsid w:val="1CE25F34"/>
    <w:rsid w:val="1DAE493C"/>
    <w:rsid w:val="1DB403E5"/>
    <w:rsid w:val="1E8B3C3C"/>
    <w:rsid w:val="1F0C2891"/>
    <w:rsid w:val="1FF004A0"/>
    <w:rsid w:val="21601D26"/>
    <w:rsid w:val="21F75571"/>
    <w:rsid w:val="26AC3567"/>
    <w:rsid w:val="27094723"/>
    <w:rsid w:val="27C052F3"/>
    <w:rsid w:val="28261D07"/>
    <w:rsid w:val="29A240AE"/>
    <w:rsid w:val="2A710EAE"/>
    <w:rsid w:val="2B9A59A4"/>
    <w:rsid w:val="2CAB1A01"/>
    <w:rsid w:val="2D887C39"/>
    <w:rsid w:val="2D993838"/>
    <w:rsid w:val="2E110DC4"/>
    <w:rsid w:val="33712CFE"/>
    <w:rsid w:val="33895773"/>
    <w:rsid w:val="361954A6"/>
    <w:rsid w:val="3A16523D"/>
    <w:rsid w:val="3C740147"/>
    <w:rsid w:val="3E9B4363"/>
    <w:rsid w:val="3EEE625E"/>
    <w:rsid w:val="427A1ACB"/>
    <w:rsid w:val="443A5766"/>
    <w:rsid w:val="44746547"/>
    <w:rsid w:val="4A585F9F"/>
    <w:rsid w:val="4BF76F64"/>
    <w:rsid w:val="4EBD0A92"/>
    <w:rsid w:val="579F1125"/>
    <w:rsid w:val="58B3555A"/>
    <w:rsid w:val="5A3921D0"/>
    <w:rsid w:val="5DC71851"/>
    <w:rsid w:val="656A70AF"/>
    <w:rsid w:val="66AA15BF"/>
    <w:rsid w:val="69340CF8"/>
    <w:rsid w:val="6BD2675F"/>
    <w:rsid w:val="6C171CF3"/>
    <w:rsid w:val="6C575C07"/>
    <w:rsid w:val="6DDF526D"/>
    <w:rsid w:val="6F2A17D8"/>
    <w:rsid w:val="6F787B35"/>
    <w:rsid w:val="6FD561B7"/>
    <w:rsid w:val="72616F8F"/>
    <w:rsid w:val="735D0BAF"/>
    <w:rsid w:val="744B3E55"/>
    <w:rsid w:val="7B6442F2"/>
    <w:rsid w:val="7BDA70B6"/>
    <w:rsid w:val="7C115C9E"/>
    <w:rsid w:val="7C427F23"/>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widowControl/>
      <w:jc w:val="left"/>
    </w:pPr>
    <w:rPr>
      <w:kern w:val="0"/>
      <w:szCs w:val="20"/>
    </w:rPr>
  </w:style>
  <w:style w:type="paragraph" w:styleId="3">
    <w:name w:val="Body Text"/>
    <w:basedOn w:val="1"/>
    <w:next w:val="4"/>
    <w:qFormat/>
    <w:uiPriority w:val="0"/>
    <w:pPr>
      <w:spacing w:after="120"/>
    </w:p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16"/>
    <w:qFormat/>
    <w:uiPriority w:val="0"/>
    <w:pPr>
      <w:widowControl w:val="0"/>
    </w:pPr>
    <w:rPr>
      <w:b/>
      <w:bCs/>
      <w:kern w:val="2"/>
      <w:szCs w:val="24"/>
    </w:rPr>
  </w:style>
  <w:style w:type="paragraph" w:styleId="9">
    <w:name w:val="Body Text First Indent"/>
    <w:basedOn w:val="3"/>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2"/>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4</Pages>
  <Words>2001</Words>
  <Characters>2118</Characters>
  <Lines>2</Lines>
  <Paragraphs>6</Paragraphs>
  <TotalTime>71</TotalTime>
  <ScaleCrop>false</ScaleCrop>
  <LinksUpToDate>false</LinksUpToDate>
  <CharactersWithSpaces>2124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啊日</cp:lastModifiedBy>
  <cp:lastPrinted>2021-08-11T08:36:00Z</cp:lastPrinted>
  <dcterms:modified xsi:type="dcterms:W3CDTF">2026-06-22T09:33:32Z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1BC5CF1D1E3D486C89DF1193F88EA6CF_13</vt:lpwstr>
  </property>
  <property fmtid="{D5CDD505-2E9C-101B-9397-08002B2CF9AE}" pid="4" name="KSOTemplateDocerSaveRecord">
    <vt:lpwstr>eyJoZGlkIjoiMDE4OTk5NjhkYzljYzA1YmZlN2I5MDA3NTU0MzA1YzUiLCJ1c2VySWQiOiIxMjQ4MjMwNDM5In0=</vt:lpwstr>
  </property>
</Properties>
</file>