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C55931">
      <w:pPr>
        <w:jc w:val="center"/>
        <w:rPr>
          <w:rFonts w:ascii="宋体" w:hAnsi="宋体"/>
          <w:b/>
          <w:kern w:val="28"/>
          <w:sz w:val="44"/>
          <w:szCs w:val="36"/>
        </w:rPr>
      </w:pPr>
      <w:r>
        <w:rPr>
          <w:rFonts w:hint="eastAsia" w:ascii="宋体" w:hAnsi="宋体"/>
          <w:b/>
          <w:kern w:val="28"/>
          <w:sz w:val="44"/>
          <w:szCs w:val="36"/>
        </w:rPr>
        <w:t>采购</w:t>
      </w:r>
      <w:r>
        <w:rPr>
          <w:rFonts w:ascii="宋体" w:hAnsi="宋体"/>
          <w:b/>
          <w:kern w:val="28"/>
          <w:sz w:val="44"/>
          <w:szCs w:val="36"/>
        </w:rPr>
        <w:t>需求书</w:t>
      </w:r>
    </w:p>
    <w:p w14:paraId="43105709">
      <w:pPr>
        <w:numPr>
          <w:ilvl w:val="0"/>
          <w:numId w:val="1"/>
        </w:numPr>
        <w:spacing w:line="440" w:lineRule="exact"/>
        <w:rPr>
          <w:rFonts w:ascii="仿宋" w:hAnsi="仿宋" w:eastAsia="仿宋" w:cs="仿宋"/>
          <w:b/>
          <w:sz w:val="24"/>
        </w:rPr>
      </w:pPr>
      <w:r>
        <w:rPr>
          <w:rFonts w:hint="eastAsia" w:ascii="仿宋" w:hAnsi="仿宋" w:eastAsia="仿宋" w:cs="仿宋"/>
          <w:b/>
          <w:sz w:val="24"/>
        </w:rPr>
        <w:t>总则：</w:t>
      </w:r>
    </w:p>
    <w:p w14:paraId="78ED773C">
      <w:pPr>
        <w:spacing w:line="440" w:lineRule="exact"/>
        <w:rPr>
          <w:rFonts w:ascii="仿宋" w:hAnsi="仿宋" w:eastAsia="仿宋" w:cs="仿宋"/>
          <w:sz w:val="24"/>
        </w:rPr>
      </w:pPr>
      <w:r>
        <w:rPr>
          <w:rFonts w:hint="eastAsia" w:ascii="仿宋" w:hAnsi="仿宋" w:eastAsia="仿宋" w:cs="仿宋"/>
          <w:sz w:val="24"/>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4BCBF92D">
      <w:pPr>
        <w:spacing w:line="440" w:lineRule="exact"/>
        <w:rPr>
          <w:rFonts w:ascii="仿宋" w:hAnsi="仿宋" w:eastAsia="仿宋" w:cs="仿宋"/>
          <w:sz w:val="24"/>
        </w:rPr>
      </w:pPr>
      <w:r>
        <w:rPr>
          <w:rFonts w:hint="eastAsia" w:ascii="仿宋" w:hAnsi="仿宋" w:eastAsia="仿宋" w:cs="仿宋"/>
          <w:sz w:val="24"/>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64C9BFD6">
      <w:pPr>
        <w:spacing w:line="440" w:lineRule="exact"/>
        <w:rPr>
          <w:rFonts w:ascii="仿宋" w:hAnsi="仿宋" w:eastAsia="仿宋" w:cs="仿宋"/>
          <w:sz w:val="24"/>
        </w:rPr>
      </w:pPr>
      <w:r>
        <w:rPr>
          <w:rFonts w:hint="eastAsia" w:ascii="仿宋" w:hAnsi="仿宋" w:eastAsia="仿宋" w:cs="仿宋"/>
          <w:sz w:val="24"/>
        </w:rPr>
        <w:t>3.★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p w14:paraId="39DA5E2E">
      <w:pPr>
        <w:spacing w:line="440" w:lineRule="exact"/>
        <w:rPr>
          <w:rFonts w:ascii="仿宋" w:hAnsi="仿宋" w:eastAsia="仿宋" w:cs="仿宋"/>
          <w:sz w:val="24"/>
        </w:rPr>
      </w:pPr>
      <w:r>
        <w:rPr>
          <w:rFonts w:hint="eastAsia" w:ascii="仿宋" w:hAnsi="仿宋" w:eastAsia="仿宋" w:cs="仿宋"/>
          <w:sz w:val="24"/>
        </w:rPr>
        <w:t>4.本文的“质保期”是指中标标的物经约定的验收机构完成验收之日起算，截止中标人承诺的期限。</w:t>
      </w:r>
    </w:p>
    <w:p w14:paraId="12F500FF">
      <w:pPr>
        <w:numPr>
          <w:ilvl w:val="0"/>
          <w:numId w:val="1"/>
        </w:numPr>
        <w:spacing w:line="440" w:lineRule="exact"/>
        <w:rPr>
          <w:rFonts w:ascii="仿宋" w:hAnsi="仿宋" w:eastAsia="仿宋" w:cs="仿宋"/>
          <w:b/>
          <w:sz w:val="24"/>
        </w:rPr>
      </w:pPr>
      <w:r>
        <w:rPr>
          <w:rFonts w:hint="eastAsia" w:ascii="仿宋" w:hAnsi="仿宋" w:eastAsia="仿宋" w:cs="仿宋"/>
          <w:b/>
          <w:sz w:val="24"/>
        </w:rPr>
        <w:t>基本需求</w:t>
      </w:r>
    </w:p>
    <w:tbl>
      <w:tblPr>
        <w:tblStyle w:val="11"/>
        <w:tblW w:w="8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305"/>
        <w:gridCol w:w="3120"/>
        <w:gridCol w:w="1576"/>
        <w:gridCol w:w="1995"/>
      </w:tblGrid>
      <w:tr w14:paraId="668FB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2305" w:type="dxa"/>
          </w:tcPr>
          <w:p w14:paraId="6D117637">
            <w:pPr>
              <w:spacing w:line="440" w:lineRule="exact"/>
              <w:ind w:right="-40" w:rightChars="-19"/>
              <w:jc w:val="center"/>
              <w:rPr>
                <w:rFonts w:ascii="仿宋" w:hAnsi="仿宋" w:eastAsia="仿宋" w:cs="仿宋"/>
                <w:b/>
                <w:sz w:val="24"/>
              </w:rPr>
            </w:pPr>
            <w:r>
              <w:rPr>
                <w:rFonts w:hint="eastAsia" w:ascii="仿宋" w:hAnsi="仿宋" w:eastAsia="仿宋" w:cs="仿宋"/>
                <w:b/>
                <w:sz w:val="24"/>
              </w:rPr>
              <w:t>项目名称</w:t>
            </w:r>
          </w:p>
        </w:tc>
        <w:tc>
          <w:tcPr>
            <w:tcW w:w="3120" w:type="dxa"/>
          </w:tcPr>
          <w:p w14:paraId="33E25952">
            <w:pPr>
              <w:spacing w:line="440" w:lineRule="exact"/>
              <w:jc w:val="center"/>
              <w:rPr>
                <w:rFonts w:ascii="仿宋" w:hAnsi="仿宋" w:eastAsia="仿宋" w:cs="仿宋"/>
                <w:b/>
                <w:sz w:val="24"/>
              </w:rPr>
            </w:pPr>
            <w:r>
              <w:rPr>
                <w:rFonts w:hint="eastAsia" w:ascii="仿宋" w:hAnsi="仿宋" w:eastAsia="仿宋" w:cs="仿宋"/>
                <w:b/>
                <w:sz w:val="24"/>
              </w:rPr>
              <w:t>使用科室/部门</w:t>
            </w:r>
          </w:p>
        </w:tc>
        <w:tc>
          <w:tcPr>
            <w:tcW w:w="1576" w:type="dxa"/>
          </w:tcPr>
          <w:p w14:paraId="712C5C63">
            <w:pPr>
              <w:spacing w:line="440" w:lineRule="exact"/>
              <w:jc w:val="center"/>
              <w:rPr>
                <w:rFonts w:ascii="仿宋" w:hAnsi="仿宋" w:eastAsia="仿宋" w:cs="仿宋"/>
                <w:b/>
                <w:sz w:val="24"/>
              </w:rPr>
            </w:pPr>
            <w:r>
              <w:rPr>
                <w:rFonts w:hint="eastAsia" w:ascii="仿宋" w:hAnsi="仿宋" w:eastAsia="仿宋" w:cs="仿宋"/>
                <w:b/>
                <w:sz w:val="24"/>
              </w:rPr>
              <w:t>数量（套）</w:t>
            </w:r>
          </w:p>
        </w:tc>
        <w:tc>
          <w:tcPr>
            <w:tcW w:w="1995" w:type="dxa"/>
          </w:tcPr>
          <w:p w14:paraId="001FEB15">
            <w:pPr>
              <w:spacing w:line="440" w:lineRule="exact"/>
              <w:jc w:val="center"/>
              <w:rPr>
                <w:rFonts w:hint="default" w:ascii="仿宋" w:hAnsi="仿宋" w:eastAsia="仿宋" w:cs="仿宋"/>
                <w:b/>
                <w:sz w:val="24"/>
                <w:lang w:val="en-US" w:eastAsia="zh-CN"/>
              </w:rPr>
            </w:pPr>
            <w:r>
              <w:rPr>
                <w:rFonts w:hint="eastAsia" w:ascii="仿宋" w:hAnsi="仿宋" w:eastAsia="仿宋" w:cs="仿宋"/>
                <w:b/>
                <w:sz w:val="24"/>
                <w:lang w:val="en-US" w:eastAsia="zh-CN"/>
              </w:rPr>
              <w:t>最高限价（元）</w:t>
            </w:r>
          </w:p>
        </w:tc>
      </w:tr>
      <w:tr w14:paraId="7F710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2305" w:type="dxa"/>
            <w:vAlign w:val="center"/>
          </w:tcPr>
          <w:p w14:paraId="2BB3823D">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多功能心电监护仪</w:t>
            </w:r>
          </w:p>
        </w:tc>
        <w:tc>
          <w:tcPr>
            <w:tcW w:w="3120" w:type="dxa"/>
            <w:vAlign w:val="center"/>
          </w:tcPr>
          <w:p w14:paraId="4406B6B9">
            <w:pPr>
              <w:spacing w:line="440" w:lineRule="exact"/>
              <w:jc w:val="center"/>
              <w:rPr>
                <w:rFonts w:hint="default" w:ascii="仿宋" w:hAnsi="仿宋" w:eastAsia="仿宋" w:cs="仿宋"/>
                <w:sz w:val="24"/>
                <w:lang w:val="en-US" w:eastAsia="zh-CN"/>
              </w:rPr>
            </w:pPr>
            <w:r>
              <w:rPr>
                <w:rFonts w:hint="eastAsia" w:ascii="仿宋" w:hAnsi="仿宋" w:eastAsia="仿宋" w:cs="仿宋"/>
                <w:sz w:val="24"/>
              </w:rPr>
              <w:t>手术麻醉科</w:t>
            </w:r>
          </w:p>
        </w:tc>
        <w:tc>
          <w:tcPr>
            <w:tcW w:w="1576" w:type="dxa"/>
            <w:vAlign w:val="center"/>
          </w:tcPr>
          <w:p w14:paraId="62BEF85A">
            <w:pPr>
              <w:spacing w:line="440" w:lineRule="exact"/>
              <w:jc w:val="center"/>
              <w:rPr>
                <w:rFonts w:ascii="仿宋" w:hAnsi="仿宋" w:eastAsia="仿宋" w:cs="仿宋"/>
                <w:sz w:val="24"/>
              </w:rPr>
            </w:pPr>
            <w:r>
              <w:rPr>
                <w:rFonts w:hint="eastAsia" w:ascii="仿宋" w:hAnsi="仿宋" w:eastAsia="仿宋" w:cs="仿宋"/>
                <w:sz w:val="24"/>
              </w:rPr>
              <w:t>1</w:t>
            </w:r>
          </w:p>
        </w:tc>
        <w:tc>
          <w:tcPr>
            <w:tcW w:w="1995" w:type="dxa"/>
            <w:vAlign w:val="center"/>
          </w:tcPr>
          <w:p w14:paraId="0ECB0CB8">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95000</w:t>
            </w:r>
          </w:p>
        </w:tc>
      </w:tr>
    </w:tbl>
    <w:p w14:paraId="4685FE09">
      <w:pPr>
        <w:spacing w:line="440" w:lineRule="exact"/>
        <w:rPr>
          <w:rFonts w:ascii="仿宋" w:hAnsi="仿宋" w:eastAsia="仿宋" w:cs="仿宋"/>
          <w:b/>
          <w:sz w:val="24"/>
        </w:rPr>
      </w:pPr>
    </w:p>
    <w:p w14:paraId="3F056973">
      <w:pPr>
        <w:spacing w:line="440" w:lineRule="exact"/>
        <w:rPr>
          <w:rFonts w:hint="eastAsia" w:ascii="仿宋" w:hAnsi="仿宋" w:eastAsia="仿宋" w:cs="仿宋"/>
          <w:b/>
          <w:sz w:val="24"/>
        </w:rPr>
      </w:pPr>
      <w:r>
        <w:rPr>
          <w:rFonts w:hint="eastAsia" w:ascii="仿宋" w:hAnsi="仿宋" w:eastAsia="仿宋" w:cs="仿宋"/>
          <w:b/>
          <w:sz w:val="24"/>
        </w:rPr>
        <w:t>三、技术参数：</w:t>
      </w:r>
    </w:p>
    <w:p w14:paraId="1FFFDB8F">
      <w:pPr>
        <w:spacing w:line="480" w:lineRule="exact"/>
        <w:rPr>
          <w:rFonts w:hint="eastAsia" w:ascii="仿宋" w:hAnsi="仿宋" w:eastAsia="仿宋" w:cs="仿宋"/>
          <w:sz w:val="24"/>
        </w:rPr>
      </w:pPr>
      <w:r>
        <w:rPr>
          <w:rFonts w:hint="eastAsia" w:ascii="仿宋" w:hAnsi="仿宋" w:eastAsia="仿宋" w:cs="仿宋"/>
          <w:sz w:val="24"/>
        </w:rPr>
        <w:t>1.设备类型：一体式或插件式主机。插件式主机插件槽≥</w:t>
      </w:r>
      <w:r>
        <w:rPr>
          <w:rFonts w:hint="eastAsia" w:ascii="仿宋" w:hAnsi="仿宋" w:eastAsia="仿宋" w:cs="仿宋"/>
          <w:sz w:val="24"/>
          <w:lang w:val="en-US" w:eastAsia="zh-CN"/>
        </w:rPr>
        <w:t>2</w:t>
      </w:r>
      <w:r>
        <w:rPr>
          <w:rFonts w:hint="eastAsia" w:ascii="仿宋" w:hAnsi="仿宋" w:eastAsia="仿宋" w:cs="仿宋"/>
          <w:sz w:val="24"/>
        </w:rPr>
        <w:t xml:space="preserve"> 个，支持热插拔</w:t>
      </w:r>
      <w:r>
        <w:rPr>
          <w:rFonts w:hint="eastAsia" w:ascii="仿宋" w:hAnsi="仿宋" w:eastAsia="仿宋" w:cs="仿宋"/>
          <w:sz w:val="24"/>
          <w:lang w:eastAsia="zh-CN"/>
        </w:rPr>
        <w:t>、</w:t>
      </w:r>
      <w:r>
        <w:rPr>
          <w:rFonts w:hint="eastAsia" w:ascii="仿宋" w:hAnsi="仿宋" w:eastAsia="仿宋" w:cs="仿宋"/>
          <w:sz w:val="24"/>
        </w:rPr>
        <w:t>扩展升级</w:t>
      </w:r>
      <w:r>
        <w:rPr>
          <w:rFonts w:hint="eastAsia" w:ascii="仿宋" w:hAnsi="仿宋" w:eastAsia="仿宋" w:cs="仿宋"/>
          <w:sz w:val="24"/>
          <w:lang w:eastAsia="zh-CN"/>
        </w:rPr>
        <w:t>；</w:t>
      </w:r>
      <w:r>
        <w:rPr>
          <w:rFonts w:hint="eastAsia" w:ascii="仿宋" w:hAnsi="仿宋" w:eastAsia="仿宋" w:cs="仿宋"/>
          <w:sz w:val="24"/>
        </w:rPr>
        <w:t xml:space="preserve"> </w:t>
      </w:r>
    </w:p>
    <w:p w14:paraId="25564A70">
      <w:pPr>
        <w:spacing w:line="480" w:lineRule="exact"/>
        <w:rPr>
          <w:rFonts w:hint="eastAsia" w:ascii="仿宋" w:hAnsi="仿宋" w:eastAsia="仿宋" w:cs="仿宋"/>
          <w:sz w:val="24"/>
          <w:lang w:eastAsia="zh-CN"/>
        </w:rPr>
      </w:pPr>
      <w:r>
        <w:rPr>
          <w:rFonts w:hint="eastAsia" w:ascii="仿宋" w:hAnsi="仿宋" w:eastAsia="仿宋" w:cs="仿宋"/>
          <w:sz w:val="24"/>
        </w:rPr>
        <w:t>2. 显示屏≥</w:t>
      </w:r>
      <w:r>
        <w:rPr>
          <w:rFonts w:hint="eastAsia" w:ascii="仿宋" w:hAnsi="仿宋" w:eastAsia="仿宋" w:cs="仿宋"/>
          <w:sz w:val="24"/>
          <w:lang w:val="en-US" w:eastAsia="zh-CN"/>
        </w:rPr>
        <w:t>11.4寸</w:t>
      </w:r>
      <w:r>
        <w:rPr>
          <w:rFonts w:hint="eastAsia" w:ascii="仿宋" w:hAnsi="仿宋" w:eastAsia="仿宋" w:cs="仿宋"/>
          <w:sz w:val="24"/>
        </w:rPr>
        <w:t>彩色电容触摸屏，支持≥6通道波形同屏显示</w:t>
      </w:r>
      <w:r>
        <w:rPr>
          <w:rFonts w:hint="eastAsia" w:ascii="仿宋" w:hAnsi="仿宋" w:eastAsia="仿宋" w:cs="仿宋"/>
          <w:sz w:val="24"/>
          <w:lang w:eastAsia="zh-CN"/>
        </w:rPr>
        <w:t>；</w:t>
      </w:r>
    </w:p>
    <w:p w14:paraId="3023383E">
      <w:pPr>
        <w:spacing w:line="480" w:lineRule="exact"/>
        <w:rPr>
          <w:rFonts w:hint="eastAsia" w:ascii="仿宋" w:hAnsi="仿宋" w:eastAsia="仿宋" w:cs="仿宋"/>
          <w:sz w:val="24"/>
        </w:rPr>
      </w:pPr>
      <w:r>
        <w:rPr>
          <w:rFonts w:hint="eastAsia" w:ascii="仿宋" w:hAnsi="仿宋" w:eastAsia="仿宋" w:cs="仿宋"/>
          <w:sz w:val="24"/>
        </w:rPr>
        <w:t>3. 监测参数：</w:t>
      </w:r>
    </w:p>
    <w:p w14:paraId="148B0532">
      <w:pPr>
        <w:spacing w:line="480" w:lineRule="exact"/>
        <w:rPr>
          <w:rFonts w:hint="eastAsia" w:ascii="仿宋" w:hAnsi="仿宋" w:eastAsia="仿宋" w:cs="仿宋"/>
          <w:sz w:val="24"/>
        </w:rPr>
      </w:pPr>
      <w:r>
        <w:rPr>
          <w:rFonts w:hint="eastAsia" w:ascii="仿宋" w:hAnsi="仿宋" w:eastAsia="仿宋" w:cs="仿宋"/>
          <w:b w:val="0"/>
          <w:bCs w:val="0"/>
          <w:sz w:val="24"/>
          <w:szCs w:val="24"/>
          <w:lang w:val="en-US" w:eastAsia="zh-CN"/>
        </w:rPr>
        <w:t>3.1</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w:t>
      </w:r>
      <w:r>
        <w:rPr>
          <w:rFonts w:hint="eastAsia" w:ascii="仿宋" w:hAnsi="仿宋" w:eastAsia="仿宋" w:cs="仿宋"/>
          <w:sz w:val="24"/>
        </w:rPr>
        <w:t>基础参数</w:t>
      </w:r>
      <w:r>
        <w:rPr>
          <w:rFonts w:hint="eastAsia" w:ascii="仿宋" w:hAnsi="仿宋" w:eastAsia="仿宋" w:cs="仿宋"/>
          <w:sz w:val="24"/>
          <w:lang w:val="en-US" w:eastAsia="zh-CN"/>
        </w:rPr>
        <w:t>包括但不限于</w:t>
      </w:r>
      <w:r>
        <w:rPr>
          <w:rFonts w:hint="eastAsia" w:ascii="仿宋" w:hAnsi="仿宋" w:eastAsia="仿宋" w:cs="仿宋"/>
          <w:sz w:val="24"/>
        </w:rPr>
        <w:t>标配心电（ECG）、呼吸（RESP）、无创血压（NBP）、血氧饱和度（SpO₂）、脉率（PR）、体表体温（TEMP）</w:t>
      </w:r>
      <w:r>
        <w:rPr>
          <w:rFonts w:hint="eastAsia" w:ascii="仿宋" w:hAnsi="仿宋" w:eastAsia="仿宋" w:cs="仿宋"/>
          <w:sz w:val="24"/>
          <w:lang w:val="en-US" w:eastAsia="zh-CN"/>
        </w:rPr>
        <w:t>等；</w:t>
      </w:r>
    </w:p>
    <w:p w14:paraId="6A683BC8">
      <w:pPr>
        <w:spacing w:line="480" w:lineRule="exact"/>
        <w:rPr>
          <w:rFonts w:hint="eastAsia" w:ascii="仿宋" w:hAnsi="仿宋" w:eastAsia="仿宋" w:cs="仿宋"/>
          <w:sz w:val="24"/>
          <w:lang w:val="en-US" w:eastAsia="zh-CN"/>
        </w:rPr>
      </w:pPr>
      <w:r>
        <w:rPr>
          <w:rFonts w:hint="eastAsia" w:ascii="仿宋" w:hAnsi="仿宋" w:eastAsia="仿宋" w:cs="仿宋"/>
          <w:b w:val="0"/>
          <w:bCs w:val="0"/>
          <w:sz w:val="24"/>
          <w:szCs w:val="24"/>
          <w:highlight w:val="none"/>
          <w:lang w:val="en-US" w:eastAsia="zh-CN"/>
        </w:rPr>
        <w:t>3.2</w:t>
      </w:r>
      <w:r>
        <w:rPr>
          <w:rFonts w:hint="eastAsia" w:ascii="仿宋" w:hAnsi="仿宋" w:eastAsia="仿宋" w:cs="仿宋"/>
          <w:b/>
          <w:bCs/>
          <w:sz w:val="24"/>
          <w:szCs w:val="24"/>
          <w:highlight w:val="none"/>
          <w:lang w:val="en-US" w:eastAsia="zh-CN"/>
        </w:rPr>
        <w:t xml:space="preserve"> </w:t>
      </w:r>
      <w:r>
        <w:rPr>
          <w:rFonts w:hint="eastAsia" w:ascii="仿宋" w:hAnsi="仿宋" w:eastAsia="仿宋" w:cs="仿宋"/>
          <w:b/>
          <w:bCs/>
          <w:sz w:val="24"/>
          <w:szCs w:val="24"/>
          <w:highlight w:val="none"/>
        </w:rPr>
        <w:t>★</w:t>
      </w:r>
      <w:r>
        <w:rPr>
          <w:rFonts w:hint="eastAsia" w:ascii="仿宋" w:hAnsi="仿宋" w:eastAsia="仿宋" w:cs="仿宋"/>
          <w:sz w:val="24"/>
        </w:rPr>
        <w:t>其他参数</w:t>
      </w:r>
      <w:r>
        <w:rPr>
          <w:rFonts w:hint="eastAsia" w:ascii="仿宋" w:hAnsi="仿宋" w:eastAsia="仿宋" w:cs="仿宋"/>
          <w:sz w:val="24"/>
          <w:lang w:val="en-US" w:eastAsia="zh-CN"/>
        </w:rPr>
        <w:t>包括但不限于</w:t>
      </w:r>
      <w:r>
        <w:rPr>
          <w:rFonts w:hint="eastAsia" w:ascii="仿宋" w:hAnsi="仿宋" w:eastAsia="仿宋" w:cs="仿宋"/>
          <w:sz w:val="24"/>
        </w:rPr>
        <w:t>双有创压力（IBP）、呼末二氧化碳（EtCO₂）、麻醉气体</w:t>
      </w:r>
      <w:r>
        <w:rPr>
          <w:rFonts w:hint="eastAsia" w:ascii="仿宋" w:hAnsi="仿宋" w:eastAsia="仿宋" w:cs="仿宋"/>
          <w:sz w:val="24"/>
          <w:lang w:val="en-US" w:eastAsia="zh-CN"/>
        </w:rPr>
        <w:t>等；</w:t>
      </w:r>
    </w:p>
    <w:p w14:paraId="2910ECEC">
      <w:pPr>
        <w:spacing w:line="480" w:lineRule="exact"/>
        <w:rPr>
          <w:rFonts w:hint="eastAsia" w:ascii="仿宋" w:hAnsi="仿宋" w:eastAsia="仿宋" w:cs="仿宋"/>
          <w:sz w:val="24"/>
        </w:rPr>
      </w:pPr>
      <w:r>
        <w:rPr>
          <w:rFonts w:hint="eastAsia" w:ascii="仿宋" w:hAnsi="仿宋" w:eastAsia="仿宋" w:cs="仿宋"/>
          <w:sz w:val="24"/>
        </w:rPr>
        <w:t>4. 心电监测：</w:t>
      </w:r>
    </w:p>
    <w:p w14:paraId="45927BD7">
      <w:pPr>
        <w:spacing w:line="480" w:lineRule="exact"/>
        <w:rPr>
          <w:rFonts w:hint="eastAsia" w:ascii="仿宋" w:hAnsi="仿宋" w:eastAsia="仿宋" w:cs="仿宋"/>
          <w:sz w:val="24"/>
          <w:lang w:eastAsia="zh-CN"/>
        </w:rPr>
      </w:pPr>
      <w:r>
        <w:rPr>
          <w:rFonts w:hint="eastAsia" w:ascii="仿宋" w:hAnsi="仿宋" w:eastAsia="仿宋" w:cs="仿宋"/>
          <w:sz w:val="24"/>
        </w:rPr>
        <w:t>支持 3/5 导联心电监测</w:t>
      </w:r>
      <w:r>
        <w:rPr>
          <w:rFonts w:hint="eastAsia" w:ascii="仿宋" w:hAnsi="仿宋" w:eastAsia="仿宋" w:cs="仿宋"/>
          <w:sz w:val="24"/>
          <w:lang w:eastAsia="zh-CN"/>
        </w:rPr>
        <w:t>；</w:t>
      </w:r>
      <w:r>
        <w:rPr>
          <w:rFonts w:hint="eastAsia" w:ascii="仿宋" w:hAnsi="仿宋" w:eastAsia="仿宋" w:cs="仿宋"/>
          <w:sz w:val="24"/>
        </w:rPr>
        <w:t>心律失常分析种类≥10 种，</w:t>
      </w:r>
      <w:r>
        <w:rPr>
          <w:rFonts w:hint="eastAsia" w:ascii="仿宋" w:hAnsi="仿宋" w:eastAsia="仿宋" w:cs="仿宋"/>
          <w:sz w:val="24"/>
          <w:lang w:val="en-US" w:eastAsia="zh-CN"/>
        </w:rPr>
        <w:t>包括但不限于</w:t>
      </w:r>
      <w:r>
        <w:rPr>
          <w:rFonts w:hint="eastAsia" w:ascii="仿宋" w:hAnsi="仿宋" w:eastAsia="仿宋" w:cs="仿宋"/>
          <w:sz w:val="24"/>
        </w:rPr>
        <w:t>房颤分析</w:t>
      </w:r>
      <w:r>
        <w:rPr>
          <w:rFonts w:hint="eastAsia" w:ascii="仿宋" w:hAnsi="仿宋" w:eastAsia="仿宋" w:cs="仿宋"/>
          <w:sz w:val="24"/>
          <w:lang w:val="en-US" w:eastAsia="zh-CN"/>
        </w:rPr>
        <w:t>等</w:t>
      </w:r>
      <w:r>
        <w:rPr>
          <w:rFonts w:hint="eastAsia" w:ascii="仿宋" w:hAnsi="仿宋" w:eastAsia="仿宋" w:cs="仿宋"/>
          <w:sz w:val="24"/>
        </w:rPr>
        <w:t>功能， ST 段测量范围 - 2.5mV 至 + 2.5mV</w:t>
      </w:r>
      <w:r>
        <w:rPr>
          <w:rFonts w:hint="eastAsia" w:ascii="仿宋" w:hAnsi="仿宋" w:eastAsia="仿宋" w:cs="仿宋"/>
          <w:sz w:val="24"/>
          <w:lang w:eastAsia="zh-CN"/>
        </w:rPr>
        <w:t>；</w:t>
      </w:r>
    </w:p>
    <w:p w14:paraId="44B034CD">
      <w:pPr>
        <w:spacing w:line="480" w:lineRule="exact"/>
        <w:rPr>
          <w:rFonts w:hint="eastAsia" w:ascii="仿宋" w:hAnsi="仿宋" w:eastAsia="仿宋" w:cs="仿宋"/>
          <w:sz w:val="24"/>
        </w:rPr>
      </w:pPr>
      <w:r>
        <w:rPr>
          <w:rFonts w:hint="eastAsia" w:ascii="仿宋" w:hAnsi="仿宋" w:eastAsia="仿宋" w:cs="仿宋"/>
          <w:sz w:val="24"/>
        </w:rPr>
        <w:t xml:space="preserve"> 5. 无创血压监测：</w:t>
      </w:r>
    </w:p>
    <w:p w14:paraId="7E3271FB">
      <w:pPr>
        <w:spacing w:line="480" w:lineRule="exact"/>
        <w:rPr>
          <w:rFonts w:hint="eastAsia" w:ascii="仿宋" w:hAnsi="仿宋" w:eastAsia="仿宋" w:cs="仿宋"/>
          <w:sz w:val="24"/>
          <w:lang w:eastAsia="zh-CN"/>
        </w:rPr>
      </w:pPr>
      <w:r>
        <w:rPr>
          <w:rFonts w:hint="eastAsia" w:ascii="仿宋" w:hAnsi="仿宋" w:eastAsia="仿宋" w:cs="仿宋"/>
          <w:sz w:val="24"/>
        </w:rPr>
        <w:t>测量范围：成人收缩压 25-290mmHg、舒张压 10-250mmHg</w:t>
      </w:r>
      <w:r>
        <w:rPr>
          <w:rFonts w:hint="eastAsia" w:ascii="仿宋" w:hAnsi="仿宋" w:eastAsia="仿宋" w:cs="仿宋"/>
          <w:sz w:val="24"/>
          <w:lang w:eastAsia="zh-CN"/>
        </w:rPr>
        <w:t>；</w:t>
      </w:r>
    </w:p>
    <w:p w14:paraId="76A3AE0A">
      <w:pPr>
        <w:spacing w:line="480" w:lineRule="exact"/>
        <w:rPr>
          <w:rFonts w:hint="eastAsia" w:ascii="仿宋" w:hAnsi="仿宋" w:eastAsia="仿宋" w:cs="仿宋"/>
          <w:sz w:val="24"/>
          <w:lang w:eastAsia="zh-CN"/>
        </w:rPr>
      </w:pPr>
      <w:r>
        <w:rPr>
          <w:rFonts w:hint="eastAsia" w:ascii="仿宋" w:hAnsi="仿宋" w:eastAsia="仿宋" w:cs="仿宋"/>
          <w:sz w:val="24"/>
        </w:rPr>
        <w:t>6. 血氧监测：脉率范围 30-300bpm</w:t>
      </w:r>
      <w:r>
        <w:rPr>
          <w:rFonts w:hint="eastAsia" w:ascii="仿宋" w:hAnsi="仿宋" w:eastAsia="仿宋" w:cs="仿宋"/>
          <w:sz w:val="24"/>
          <w:lang w:eastAsia="zh-CN"/>
        </w:rPr>
        <w:t>；</w:t>
      </w:r>
    </w:p>
    <w:p w14:paraId="2F99EBFC">
      <w:pPr>
        <w:spacing w:line="480" w:lineRule="exact"/>
        <w:rPr>
          <w:rFonts w:hint="eastAsia" w:ascii="仿宋" w:hAnsi="仿宋" w:eastAsia="仿宋" w:cs="仿宋"/>
          <w:sz w:val="24"/>
        </w:rPr>
      </w:pPr>
      <w:r>
        <w:rPr>
          <w:rFonts w:hint="eastAsia" w:ascii="仿宋" w:hAnsi="仿宋" w:eastAsia="仿宋" w:cs="仿宋"/>
          <w:sz w:val="24"/>
        </w:rPr>
        <w:t>7. 系统功能：</w:t>
      </w:r>
    </w:p>
    <w:p w14:paraId="4315BB52">
      <w:pPr>
        <w:spacing w:line="440" w:lineRule="exact"/>
        <w:rPr>
          <w:rFonts w:hint="eastAsia" w:ascii="仿宋" w:hAnsi="仿宋" w:eastAsia="仿宋" w:cs="仿宋"/>
          <w:b w:val="0"/>
          <w:bCs/>
          <w:sz w:val="24"/>
        </w:rPr>
      </w:pPr>
      <w:r>
        <w:rPr>
          <w:rFonts w:hint="eastAsia" w:ascii="仿宋" w:hAnsi="仿宋" w:eastAsia="仿宋" w:cs="仿宋"/>
          <w:sz w:val="24"/>
          <w:lang w:val="en-US" w:eastAsia="zh-CN"/>
        </w:rPr>
        <w:t>包括但不限于</w:t>
      </w:r>
      <w:r>
        <w:rPr>
          <w:rFonts w:hint="eastAsia" w:ascii="仿宋" w:hAnsi="仿宋" w:eastAsia="仿宋" w:cs="仿宋"/>
          <w:sz w:val="24"/>
        </w:rPr>
        <w:t>声光色</w:t>
      </w:r>
      <w:r>
        <w:rPr>
          <w:rFonts w:hint="eastAsia" w:ascii="仿宋" w:hAnsi="仿宋" w:eastAsia="仿宋" w:cs="仿宋"/>
          <w:sz w:val="24"/>
          <w:lang w:val="en-US" w:eastAsia="zh-CN"/>
        </w:rPr>
        <w:t>等</w:t>
      </w:r>
      <w:r>
        <w:rPr>
          <w:rFonts w:hint="eastAsia" w:ascii="仿宋" w:hAnsi="仿宋" w:eastAsia="仿宋" w:cs="仿宋"/>
          <w:sz w:val="24"/>
        </w:rPr>
        <w:t>报警系统，报警</w:t>
      </w:r>
      <w:r>
        <w:rPr>
          <w:rFonts w:hint="eastAsia" w:ascii="仿宋" w:hAnsi="仿宋" w:eastAsia="仿宋" w:cs="仿宋"/>
          <w:sz w:val="24"/>
          <w:lang w:val="en-US" w:eastAsia="zh-CN"/>
        </w:rPr>
        <w:t>设置值</w:t>
      </w:r>
      <w:r>
        <w:rPr>
          <w:rFonts w:hint="eastAsia" w:ascii="仿宋" w:hAnsi="仿宋" w:eastAsia="仿宋" w:cs="仿宋"/>
          <w:sz w:val="24"/>
        </w:rPr>
        <w:t>上下限可调</w:t>
      </w:r>
      <w:r>
        <w:rPr>
          <w:rFonts w:hint="eastAsia" w:ascii="仿宋" w:hAnsi="仿宋" w:eastAsia="仿宋" w:cs="仿宋"/>
          <w:sz w:val="24"/>
          <w:lang w:eastAsia="zh-CN"/>
        </w:rPr>
        <w:t>；</w:t>
      </w:r>
      <w:r>
        <w:rPr>
          <w:rFonts w:hint="eastAsia" w:ascii="仿宋" w:hAnsi="仿宋" w:eastAsia="仿宋" w:cs="仿宋"/>
          <w:sz w:val="24"/>
          <w:lang w:val="en-US" w:eastAsia="zh-CN"/>
        </w:rPr>
        <w:t>包括但不限于</w:t>
      </w:r>
      <w:r>
        <w:rPr>
          <w:rFonts w:hint="eastAsia" w:ascii="仿宋" w:hAnsi="仿宋" w:eastAsia="仿宋" w:cs="仿宋"/>
          <w:sz w:val="24"/>
        </w:rPr>
        <w:t>报警升级和致命性报警</w:t>
      </w:r>
      <w:r>
        <w:rPr>
          <w:rFonts w:hint="eastAsia" w:ascii="仿宋" w:hAnsi="仿宋" w:eastAsia="仿宋" w:cs="仿宋"/>
          <w:sz w:val="24"/>
          <w:lang w:val="en-US" w:eastAsia="zh-CN"/>
        </w:rPr>
        <w:t>等</w:t>
      </w:r>
      <w:r>
        <w:rPr>
          <w:rFonts w:hint="eastAsia" w:ascii="仿宋" w:hAnsi="仿宋" w:eastAsia="仿宋" w:cs="仿宋"/>
          <w:sz w:val="24"/>
        </w:rPr>
        <w:t>特殊提示。</w:t>
      </w:r>
    </w:p>
    <w:p w14:paraId="19AFF6AE">
      <w:pPr>
        <w:spacing w:line="440" w:lineRule="exact"/>
        <w:rPr>
          <w:rFonts w:hint="eastAsia" w:ascii="仿宋" w:hAnsi="仿宋" w:eastAsia="仿宋" w:cs="仿宋"/>
          <w:b w:val="0"/>
          <w:bCs/>
          <w:sz w:val="24"/>
        </w:rPr>
      </w:pPr>
    </w:p>
    <w:p w14:paraId="17B3C920">
      <w:pPr>
        <w:spacing w:line="440" w:lineRule="exact"/>
        <w:rPr>
          <w:rFonts w:ascii="仿宋" w:hAnsi="仿宋" w:eastAsia="仿宋" w:cs="仿宋"/>
          <w:b/>
          <w:sz w:val="24"/>
        </w:rPr>
      </w:pPr>
      <w:r>
        <w:rPr>
          <w:rFonts w:hint="eastAsia" w:ascii="仿宋" w:hAnsi="仿宋" w:eastAsia="仿宋" w:cs="仿宋"/>
          <w:b/>
          <w:sz w:val="24"/>
        </w:rPr>
        <w:t>四、每套设备配置要求</w:t>
      </w:r>
      <w:r>
        <w:rPr>
          <w:rFonts w:hint="eastAsia" w:ascii="仿宋" w:hAnsi="仿宋" w:eastAsia="仿宋" w:cs="仿宋"/>
          <w:b/>
          <w:sz w:val="24"/>
          <w:lang w:eastAsia="zh-CN"/>
        </w:rPr>
        <w:t>（</w:t>
      </w:r>
      <w:r>
        <w:rPr>
          <w:rFonts w:hint="eastAsia" w:ascii="仿宋" w:hAnsi="仿宋" w:eastAsia="仿宋" w:cs="仿宋"/>
          <w:b/>
          <w:sz w:val="24"/>
          <w:lang w:val="en-US" w:eastAsia="zh-CN"/>
        </w:rPr>
        <w:t>包括但不限于</w:t>
      </w:r>
      <w:r>
        <w:rPr>
          <w:rFonts w:hint="eastAsia" w:ascii="仿宋" w:hAnsi="仿宋" w:eastAsia="仿宋" w:cs="仿宋"/>
          <w:b/>
          <w:sz w:val="24"/>
          <w:lang w:eastAsia="zh-CN"/>
        </w:rPr>
        <w:t>）</w:t>
      </w:r>
      <w:r>
        <w:rPr>
          <w:rFonts w:hint="eastAsia" w:ascii="仿宋" w:hAnsi="仿宋" w:eastAsia="仿宋" w:cs="仿宋"/>
          <w:b/>
          <w:sz w:val="24"/>
        </w:rPr>
        <w:t>：</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1"/>
        <w:gridCol w:w="6459"/>
        <w:gridCol w:w="652"/>
        <w:gridCol w:w="652"/>
      </w:tblGrid>
      <w:tr w14:paraId="47F87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201BABDA">
            <w:pPr>
              <w:jc w:val="center"/>
              <w:rPr>
                <w:rFonts w:hint="eastAsia" w:ascii="仿宋" w:hAnsi="仿宋" w:eastAsia="仿宋" w:cs="仿宋"/>
                <w:b/>
                <w:color w:val="000000"/>
                <w:sz w:val="24"/>
                <w:szCs w:val="24"/>
              </w:rPr>
            </w:pPr>
            <w:r>
              <w:rPr>
                <w:rFonts w:hint="eastAsia" w:ascii="仿宋" w:hAnsi="仿宋" w:eastAsia="仿宋" w:cs="仿宋"/>
                <w:b/>
                <w:bCs/>
                <w:color w:val="000000"/>
                <w:kern w:val="0"/>
                <w:sz w:val="24"/>
              </w:rPr>
              <w:t>序号</w:t>
            </w:r>
          </w:p>
        </w:tc>
        <w:tc>
          <w:tcPr>
            <w:tcW w:w="0" w:type="auto"/>
            <w:vAlign w:val="center"/>
          </w:tcPr>
          <w:p w14:paraId="74AA5EAB">
            <w:pPr>
              <w:jc w:val="center"/>
              <w:rPr>
                <w:rFonts w:hint="eastAsia" w:ascii="仿宋" w:hAnsi="仿宋" w:eastAsia="仿宋" w:cs="仿宋"/>
                <w:b/>
                <w:color w:val="000000"/>
                <w:sz w:val="24"/>
                <w:szCs w:val="24"/>
              </w:rPr>
            </w:pPr>
            <w:r>
              <w:rPr>
                <w:rFonts w:hint="eastAsia" w:ascii="仿宋" w:hAnsi="仿宋" w:eastAsia="仿宋" w:cs="仿宋"/>
                <w:b/>
                <w:bCs/>
                <w:color w:val="000000"/>
                <w:kern w:val="0"/>
                <w:sz w:val="24"/>
              </w:rPr>
              <w:t>名称</w:t>
            </w:r>
          </w:p>
        </w:tc>
        <w:tc>
          <w:tcPr>
            <w:tcW w:w="0" w:type="auto"/>
            <w:vAlign w:val="center"/>
          </w:tcPr>
          <w:p w14:paraId="2F24243D">
            <w:pPr>
              <w:jc w:val="center"/>
              <w:rPr>
                <w:rFonts w:hint="eastAsia" w:ascii="仿宋" w:hAnsi="仿宋" w:eastAsia="仿宋" w:cs="仿宋"/>
                <w:b/>
                <w:color w:val="000000"/>
                <w:sz w:val="24"/>
                <w:szCs w:val="24"/>
              </w:rPr>
            </w:pPr>
            <w:r>
              <w:rPr>
                <w:rFonts w:hint="eastAsia" w:ascii="仿宋" w:hAnsi="仿宋" w:eastAsia="仿宋" w:cs="仿宋"/>
                <w:b/>
                <w:bCs/>
                <w:color w:val="000000"/>
                <w:kern w:val="0"/>
                <w:sz w:val="24"/>
              </w:rPr>
              <w:t>单位</w:t>
            </w:r>
          </w:p>
        </w:tc>
        <w:tc>
          <w:tcPr>
            <w:tcW w:w="0" w:type="auto"/>
            <w:vAlign w:val="center"/>
          </w:tcPr>
          <w:p w14:paraId="5CB7AD0C">
            <w:pPr>
              <w:jc w:val="center"/>
              <w:rPr>
                <w:rFonts w:hint="eastAsia" w:ascii="仿宋" w:hAnsi="仿宋" w:eastAsia="仿宋" w:cs="仿宋"/>
                <w:b/>
                <w:color w:val="000000"/>
                <w:sz w:val="24"/>
                <w:szCs w:val="24"/>
              </w:rPr>
            </w:pPr>
            <w:r>
              <w:rPr>
                <w:rFonts w:hint="eastAsia" w:ascii="仿宋" w:hAnsi="仿宋" w:eastAsia="仿宋" w:cs="仿宋"/>
                <w:b/>
                <w:bCs/>
                <w:color w:val="000000"/>
                <w:kern w:val="0"/>
                <w:sz w:val="24"/>
              </w:rPr>
              <w:t>数量</w:t>
            </w:r>
          </w:p>
        </w:tc>
      </w:tr>
      <w:tr w14:paraId="6E8A4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5528F05">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1</w:t>
            </w:r>
          </w:p>
        </w:tc>
        <w:tc>
          <w:tcPr>
            <w:tcW w:w="0" w:type="auto"/>
            <w:vAlign w:val="center"/>
          </w:tcPr>
          <w:p w14:paraId="6CA9C7B2">
            <w:pPr>
              <w:rPr>
                <w:rFonts w:hint="eastAsia" w:ascii="仿宋" w:hAnsi="仿宋" w:eastAsia="仿宋" w:cs="仿宋"/>
                <w:b/>
                <w:color w:val="000000"/>
                <w:sz w:val="24"/>
                <w:szCs w:val="24"/>
              </w:rPr>
            </w:pPr>
            <w:r>
              <w:rPr>
                <w:rFonts w:hint="eastAsia" w:ascii="仿宋" w:hAnsi="仿宋" w:eastAsia="仿宋" w:cs="仿宋"/>
                <w:color w:val="000000"/>
                <w:kern w:val="0"/>
                <w:sz w:val="24"/>
              </w:rPr>
              <w:t>监护仪主机（含或不含模块化插件槽）</w:t>
            </w:r>
          </w:p>
        </w:tc>
        <w:tc>
          <w:tcPr>
            <w:tcW w:w="0" w:type="auto"/>
            <w:vAlign w:val="center"/>
          </w:tcPr>
          <w:p w14:paraId="0C98E7CD">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台</w:t>
            </w:r>
          </w:p>
        </w:tc>
        <w:tc>
          <w:tcPr>
            <w:tcW w:w="0" w:type="auto"/>
            <w:vAlign w:val="center"/>
          </w:tcPr>
          <w:p w14:paraId="0179505D">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1</w:t>
            </w:r>
          </w:p>
        </w:tc>
      </w:tr>
      <w:tr w14:paraId="77EF3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ABED8B7">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2</w:t>
            </w:r>
          </w:p>
        </w:tc>
        <w:tc>
          <w:tcPr>
            <w:tcW w:w="0" w:type="auto"/>
            <w:vAlign w:val="center"/>
          </w:tcPr>
          <w:p w14:paraId="30901F46">
            <w:pPr>
              <w:rPr>
                <w:rFonts w:hint="eastAsia" w:ascii="仿宋" w:hAnsi="仿宋" w:eastAsia="仿宋" w:cs="仿宋"/>
                <w:b/>
                <w:color w:val="000000"/>
                <w:sz w:val="24"/>
                <w:szCs w:val="24"/>
              </w:rPr>
            </w:pPr>
            <w:r>
              <w:rPr>
                <w:rFonts w:hint="eastAsia" w:ascii="仿宋" w:hAnsi="仿宋" w:eastAsia="仿宋" w:cs="仿宋"/>
                <w:color w:val="000000"/>
                <w:kern w:val="0"/>
                <w:sz w:val="24"/>
              </w:rPr>
              <w:t>基础参数模块（心电、呼吸、血氧饱和度、脉率、无创血压、体温</w:t>
            </w:r>
            <w:r>
              <w:rPr>
                <w:rFonts w:hint="eastAsia" w:ascii="仿宋" w:hAnsi="仿宋" w:eastAsia="仿宋" w:cs="仿宋"/>
                <w:color w:val="000000"/>
                <w:kern w:val="0"/>
                <w:sz w:val="24"/>
                <w:lang w:val="en-US" w:eastAsia="zh-CN"/>
              </w:rPr>
              <w:t>等</w:t>
            </w:r>
            <w:r>
              <w:rPr>
                <w:rFonts w:hint="eastAsia" w:ascii="仿宋" w:hAnsi="仿宋" w:eastAsia="仿宋" w:cs="仿宋"/>
                <w:color w:val="000000"/>
                <w:kern w:val="0"/>
                <w:sz w:val="24"/>
              </w:rPr>
              <w:t>）</w:t>
            </w:r>
          </w:p>
        </w:tc>
        <w:tc>
          <w:tcPr>
            <w:tcW w:w="0" w:type="auto"/>
            <w:vAlign w:val="center"/>
          </w:tcPr>
          <w:p w14:paraId="24B3064C">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个</w:t>
            </w:r>
          </w:p>
        </w:tc>
        <w:tc>
          <w:tcPr>
            <w:tcW w:w="0" w:type="auto"/>
            <w:vAlign w:val="center"/>
          </w:tcPr>
          <w:p w14:paraId="400BA79C">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1</w:t>
            </w:r>
          </w:p>
        </w:tc>
      </w:tr>
      <w:tr w14:paraId="1C3B4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FBEF55A">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3</w:t>
            </w:r>
          </w:p>
        </w:tc>
        <w:tc>
          <w:tcPr>
            <w:tcW w:w="0" w:type="auto"/>
            <w:vAlign w:val="center"/>
          </w:tcPr>
          <w:p w14:paraId="29C44548">
            <w:pPr>
              <w:rPr>
                <w:rFonts w:hint="eastAsia" w:ascii="仿宋" w:hAnsi="仿宋" w:eastAsia="仿宋" w:cs="仿宋"/>
                <w:b/>
                <w:color w:val="000000"/>
                <w:sz w:val="24"/>
                <w:szCs w:val="24"/>
              </w:rPr>
            </w:pPr>
            <w:r>
              <w:rPr>
                <w:rFonts w:hint="eastAsia" w:ascii="仿宋" w:hAnsi="仿宋" w:eastAsia="仿宋" w:cs="仿宋"/>
                <w:color w:val="000000"/>
                <w:kern w:val="0"/>
                <w:sz w:val="24"/>
              </w:rPr>
              <w:t>3/5 导联心电导联线</w:t>
            </w:r>
          </w:p>
        </w:tc>
        <w:tc>
          <w:tcPr>
            <w:tcW w:w="0" w:type="auto"/>
            <w:vAlign w:val="center"/>
          </w:tcPr>
          <w:p w14:paraId="54AD3697">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套</w:t>
            </w:r>
          </w:p>
        </w:tc>
        <w:tc>
          <w:tcPr>
            <w:tcW w:w="0" w:type="auto"/>
            <w:vAlign w:val="center"/>
          </w:tcPr>
          <w:p w14:paraId="615B9E06">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1</w:t>
            </w:r>
          </w:p>
        </w:tc>
      </w:tr>
      <w:tr w14:paraId="4DCD0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0928946">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4</w:t>
            </w:r>
          </w:p>
        </w:tc>
        <w:tc>
          <w:tcPr>
            <w:tcW w:w="0" w:type="auto"/>
            <w:vAlign w:val="center"/>
          </w:tcPr>
          <w:p w14:paraId="2F19C773">
            <w:pPr>
              <w:rPr>
                <w:rFonts w:hint="eastAsia" w:ascii="仿宋" w:hAnsi="仿宋" w:eastAsia="仿宋" w:cs="仿宋"/>
                <w:b/>
                <w:color w:val="000000"/>
                <w:sz w:val="24"/>
                <w:szCs w:val="24"/>
              </w:rPr>
            </w:pPr>
            <w:r>
              <w:rPr>
                <w:rFonts w:hint="eastAsia" w:ascii="仿宋" w:hAnsi="仿宋" w:eastAsia="仿宋" w:cs="仿宋"/>
                <w:color w:val="000000"/>
                <w:kern w:val="0"/>
                <w:sz w:val="24"/>
              </w:rPr>
              <w:t>成人血压袖带</w:t>
            </w:r>
          </w:p>
        </w:tc>
        <w:tc>
          <w:tcPr>
            <w:tcW w:w="0" w:type="auto"/>
            <w:vAlign w:val="center"/>
          </w:tcPr>
          <w:p w14:paraId="24024F86">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套</w:t>
            </w:r>
          </w:p>
        </w:tc>
        <w:tc>
          <w:tcPr>
            <w:tcW w:w="0" w:type="auto"/>
            <w:vAlign w:val="center"/>
          </w:tcPr>
          <w:p w14:paraId="199F001A">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1</w:t>
            </w:r>
          </w:p>
        </w:tc>
      </w:tr>
      <w:tr w14:paraId="7F1DD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4F40AF3">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5</w:t>
            </w:r>
          </w:p>
        </w:tc>
        <w:tc>
          <w:tcPr>
            <w:tcW w:w="0" w:type="auto"/>
            <w:vAlign w:val="center"/>
          </w:tcPr>
          <w:p w14:paraId="2668800D">
            <w:pPr>
              <w:rPr>
                <w:rFonts w:hint="eastAsia" w:ascii="仿宋" w:hAnsi="仿宋" w:eastAsia="仿宋" w:cs="仿宋"/>
                <w:b/>
                <w:color w:val="000000"/>
                <w:sz w:val="24"/>
                <w:szCs w:val="24"/>
              </w:rPr>
            </w:pPr>
            <w:r>
              <w:rPr>
                <w:rFonts w:hint="eastAsia" w:ascii="仿宋" w:hAnsi="仿宋" w:eastAsia="仿宋" w:cs="仿宋"/>
                <w:color w:val="000000"/>
                <w:kern w:val="0"/>
                <w:sz w:val="24"/>
              </w:rPr>
              <w:t>指夹式血氧探头</w:t>
            </w:r>
          </w:p>
        </w:tc>
        <w:tc>
          <w:tcPr>
            <w:tcW w:w="0" w:type="auto"/>
            <w:vAlign w:val="center"/>
          </w:tcPr>
          <w:p w14:paraId="40C37617">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个</w:t>
            </w:r>
          </w:p>
        </w:tc>
        <w:tc>
          <w:tcPr>
            <w:tcW w:w="0" w:type="auto"/>
            <w:vAlign w:val="center"/>
          </w:tcPr>
          <w:p w14:paraId="502F1E9C">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1</w:t>
            </w:r>
          </w:p>
        </w:tc>
      </w:tr>
      <w:tr w14:paraId="5D3CE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4719145">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6</w:t>
            </w:r>
          </w:p>
        </w:tc>
        <w:tc>
          <w:tcPr>
            <w:tcW w:w="0" w:type="auto"/>
            <w:vAlign w:val="center"/>
          </w:tcPr>
          <w:p w14:paraId="743AFBC9">
            <w:pPr>
              <w:rPr>
                <w:rFonts w:hint="eastAsia" w:ascii="仿宋" w:hAnsi="仿宋" w:eastAsia="仿宋" w:cs="仿宋"/>
                <w:b/>
                <w:color w:val="000000"/>
                <w:sz w:val="24"/>
                <w:szCs w:val="24"/>
              </w:rPr>
            </w:pPr>
            <w:r>
              <w:rPr>
                <w:rFonts w:hint="eastAsia" w:ascii="仿宋" w:hAnsi="仿宋" w:eastAsia="仿宋" w:cs="仿宋"/>
                <w:color w:val="000000"/>
                <w:kern w:val="0"/>
                <w:sz w:val="24"/>
              </w:rPr>
              <w:t>温探头（体表）</w:t>
            </w:r>
          </w:p>
        </w:tc>
        <w:tc>
          <w:tcPr>
            <w:tcW w:w="0" w:type="auto"/>
            <w:vAlign w:val="center"/>
          </w:tcPr>
          <w:p w14:paraId="1F8C3AA1">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个</w:t>
            </w:r>
          </w:p>
        </w:tc>
        <w:tc>
          <w:tcPr>
            <w:tcW w:w="0" w:type="auto"/>
            <w:vAlign w:val="center"/>
          </w:tcPr>
          <w:p w14:paraId="1ED6BA23">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1</w:t>
            </w:r>
          </w:p>
        </w:tc>
      </w:tr>
      <w:tr w14:paraId="4059A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50276AC">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7</w:t>
            </w:r>
          </w:p>
        </w:tc>
        <w:tc>
          <w:tcPr>
            <w:tcW w:w="0" w:type="auto"/>
            <w:vAlign w:val="center"/>
          </w:tcPr>
          <w:p w14:paraId="0BC36C4A">
            <w:pPr>
              <w:rPr>
                <w:rFonts w:hint="eastAsia" w:ascii="仿宋" w:hAnsi="仿宋" w:eastAsia="仿宋" w:cs="仿宋"/>
                <w:b/>
                <w:color w:val="000000"/>
                <w:sz w:val="24"/>
                <w:szCs w:val="24"/>
              </w:rPr>
            </w:pPr>
            <w:r>
              <w:rPr>
                <w:rFonts w:hint="eastAsia" w:ascii="仿宋" w:hAnsi="仿宋" w:eastAsia="仿宋" w:cs="仿宋"/>
                <w:color w:val="000000"/>
                <w:kern w:val="0"/>
                <w:sz w:val="24"/>
              </w:rPr>
              <w:t>有创压力（IBP）模块</w:t>
            </w:r>
          </w:p>
        </w:tc>
        <w:tc>
          <w:tcPr>
            <w:tcW w:w="0" w:type="auto"/>
            <w:vAlign w:val="center"/>
          </w:tcPr>
          <w:p w14:paraId="7F4B1C77">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个</w:t>
            </w:r>
          </w:p>
        </w:tc>
        <w:tc>
          <w:tcPr>
            <w:tcW w:w="0" w:type="auto"/>
            <w:vAlign w:val="center"/>
          </w:tcPr>
          <w:p w14:paraId="39FFF8DB">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1</w:t>
            </w:r>
          </w:p>
        </w:tc>
      </w:tr>
      <w:tr w14:paraId="5715B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C7B3199">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8</w:t>
            </w:r>
          </w:p>
        </w:tc>
        <w:tc>
          <w:tcPr>
            <w:tcW w:w="0" w:type="auto"/>
            <w:vAlign w:val="center"/>
          </w:tcPr>
          <w:p w14:paraId="31093963">
            <w:pPr>
              <w:rPr>
                <w:rFonts w:hint="eastAsia" w:ascii="仿宋" w:hAnsi="仿宋" w:eastAsia="仿宋" w:cs="仿宋"/>
                <w:b/>
                <w:color w:val="000000"/>
                <w:sz w:val="24"/>
                <w:szCs w:val="24"/>
              </w:rPr>
            </w:pPr>
            <w:r>
              <w:rPr>
                <w:rFonts w:hint="eastAsia" w:ascii="仿宋" w:hAnsi="仿宋" w:eastAsia="仿宋" w:cs="仿宋"/>
                <w:color w:val="000000"/>
                <w:kern w:val="0"/>
                <w:sz w:val="24"/>
              </w:rPr>
              <w:t>呼末二氧化碳（EtCO₂）模块（支持主流</w:t>
            </w:r>
            <w:r>
              <w:rPr>
                <w:rFonts w:hint="eastAsia" w:ascii="仿宋" w:hAnsi="仿宋" w:eastAsia="仿宋" w:cs="仿宋"/>
                <w:color w:val="000000"/>
                <w:kern w:val="0"/>
                <w:sz w:val="24"/>
                <w:lang w:val="en-US" w:eastAsia="zh-CN"/>
              </w:rPr>
              <w:t xml:space="preserve"> / </w:t>
            </w:r>
            <w:bookmarkStart w:id="0" w:name="_GoBack"/>
            <w:bookmarkEnd w:id="0"/>
            <w:r>
              <w:rPr>
                <w:rFonts w:hint="eastAsia" w:ascii="仿宋" w:hAnsi="仿宋" w:eastAsia="仿宋" w:cs="仿宋"/>
                <w:color w:val="000000"/>
                <w:kern w:val="0"/>
                <w:sz w:val="24"/>
              </w:rPr>
              <w:t>旁流切换）</w:t>
            </w:r>
          </w:p>
        </w:tc>
        <w:tc>
          <w:tcPr>
            <w:tcW w:w="0" w:type="auto"/>
            <w:vAlign w:val="center"/>
          </w:tcPr>
          <w:p w14:paraId="2670F763">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个</w:t>
            </w:r>
          </w:p>
        </w:tc>
        <w:tc>
          <w:tcPr>
            <w:tcW w:w="0" w:type="auto"/>
            <w:vAlign w:val="center"/>
          </w:tcPr>
          <w:p w14:paraId="54C6106C">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1</w:t>
            </w:r>
          </w:p>
        </w:tc>
      </w:tr>
      <w:tr w14:paraId="53160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F9D933C">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9</w:t>
            </w:r>
          </w:p>
        </w:tc>
        <w:tc>
          <w:tcPr>
            <w:tcW w:w="0" w:type="auto"/>
            <w:vAlign w:val="center"/>
          </w:tcPr>
          <w:p w14:paraId="323B54D8">
            <w:pPr>
              <w:rPr>
                <w:rFonts w:hint="eastAsia" w:ascii="仿宋" w:hAnsi="仿宋" w:eastAsia="仿宋" w:cs="仿宋"/>
                <w:b/>
                <w:color w:val="000000"/>
                <w:sz w:val="24"/>
                <w:szCs w:val="24"/>
              </w:rPr>
            </w:pPr>
            <w:r>
              <w:rPr>
                <w:rFonts w:hint="eastAsia" w:ascii="仿宋" w:hAnsi="仿宋" w:eastAsia="仿宋" w:cs="仿宋"/>
                <w:color w:val="000000"/>
                <w:kern w:val="0"/>
                <w:sz w:val="24"/>
              </w:rPr>
              <w:t>麻醉气体监测模块</w:t>
            </w:r>
          </w:p>
        </w:tc>
        <w:tc>
          <w:tcPr>
            <w:tcW w:w="0" w:type="auto"/>
            <w:vAlign w:val="center"/>
          </w:tcPr>
          <w:p w14:paraId="068F2DEB">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个</w:t>
            </w:r>
          </w:p>
        </w:tc>
        <w:tc>
          <w:tcPr>
            <w:tcW w:w="0" w:type="auto"/>
            <w:vAlign w:val="center"/>
          </w:tcPr>
          <w:p w14:paraId="65AA9A88">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1</w:t>
            </w:r>
          </w:p>
        </w:tc>
      </w:tr>
      <w:tr w14:paraId="5FF08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8E26D5F">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10</w:t>
            </w:r>
          </w:p>
        </w:tc>
        <w:tc>
          <w:tcPr>
            <w:tcW w:w="0" w:type="auto"/>
            <w:vAlign w:val="center"/>
          </w:tcPr>
          <w:p w14:paraId="5FFF960D">
            <w:pPr>
              <w:rPr>
                <w:rFonts w:hint="eastAsia" w:ascii="仿宋" w:hAnsi="仿宋" w:eastAsia="仿宋" w:cs="仿宋"/>
                <w:b/>
                <w:color w:val="000000"/>
                <w:sz w:val="24"/>
                <w:szCs w:val="24"/>
              </w:rPr>
            </w:pPr>
            <w:r>
              <w:rPr>
                <w:rFonts w:hint="eastAsia" w:ascii="仿宋" w:hAnsi="仿宋" w:eastAsia="仿宋" w:cs="仿宋"/>
                <w:color w:val="000000"/>
                <w:kern w:val="0"/>
                <w:sz w:val="24"/>
              </w:rPr>
              <w:t>国标电源线</w:t>
            </w:r>
          </w:p>
        </w:tc>
        <w:tc>
          <w:tcPr>
            <w:tcW w:w="0" w:type="auto"/>
            <w:vAlign w:val="center"/>
          </w:tcPr>
          <w:p w14:paraId="1655A9D1">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条</w:t>
            </w:r>
          </w:p>
        </w:tc>
        <w:tc>
          <w:tcPr>
            <w:tcW w:w="0" w:type="auto"/>
            <w:vAlign w:val="center"/>
          </w:tcPr>
          <w:p w14:paraId="09A9C876">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1</w:t>
            </w:r>
          </w:p>
        </w:tc>
      </w:tr>
      <w:tr w14:paraId="47A12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F94B13C">
            <w:pPr>
              <w:jc w:val="center"/>
              <w:rPr>
                <w:rFonts w:hint="eastAsia" w:ascii="仿宋" w:hAnsi="仿宋" w:eastAsia="仿宋" w:cs="仿宋"/>
                <w:b/>
                <w:color w:val="000000"/>
                <w:sz w:val="24"/>
                <w:szCs w:val="24"/>
              </w:rPr>
            </w:pPr>
            <w:r>
              <w:rPr>
                <w:rFonts w:hint="eastAsia" w:ascii="仿宋" w:hAnsi="仿宋" w:eastAsia="仿宋" w:cs="仿宋"/>
                <w:color w:val="000000"/>
                <w:kern w:val="0"/>
                <w:sz w:val="24"/>
              </w:rPr>
              <w:t>11</w:t>
            </w:r>
          </w:p>
        </w:tc>
        <w:tc>
          <w:tcPr>
            <w:tcW w:w="0" w:type="auto"/>
            <w:vAlign w:val="center"/>
          </w:tcPr>
          <w:p w14:paraId="20BB88F3">
            <w:pPr>
              <w:rPr>
                <w:rFonts w:hint="eastAsia" w:ascii="仿宋" w:hAnsi="仿宋" w:eastAsia="仿宋" w:cs="仿宋"/>
                <w:b/>
                <w:color w:val="000000"/>
                <w:sz w:val="24"/>
                <w:szCs w:val="24"/>
              </w:rPr>
            </w:pPr>
            <w:r>
              <w:rPr>
                <w:rFonts w:hint="eastAsia" w:ascii="仿宋" w:hAnsi="仿宋" w:eastAsia="仿宋" w:cs="仿宋"/>
                <w:color w:val="000000"/>
                <w:kern w:val="0"/>
                <w:sz w:val="24"/>
              </w:rPr>
              <w:t>中文操作手册、保修卡、合格证</w:t>
            </w:r>
          </w:p>
        </w:tc>
        <w:tc>
          <w:tcPr>
            <w:tcW w:w="0" w:type="auto"/>
            <w:vAlign w:val="center"/>
          </w:tcPr>
          <w:p w14:paraId="657D6F50">
            <w:pPr>
              <w:jc w:val="center"/>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份</w:t>
            </w:r>
          </w:p>
        </w:tc>
        <w:tc>
          <w:tcPr>
            <w:tcW w:w="0" w:type="auto"/>
            <w:vAlign w:val="center"/>
          </w:tcPr>
          <w:p w14:paraId="29E4D86E">
            <w:pPr>
              <w:jc w:val="center"/>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各1</w:t>
            </w:r>
          </w:p>
        </w:tc>
      </w:tr>
    </w:tbl>
    <w:p w14:paraId="1ED9879A">
      <w:pPr>
        <w:spacing w:line="440" w:lineRule="exact"/>
        <w:rPr>
          <w:rFonts w:ascii="仿宋" w:hAnsi="仿宋" w:eastAsia="仿宋" w:cs="仿宋"/>
          <w:b/>
          <w:sz w:val="24"/>
        </w:rPr>
      </w:pPr>
    </w:p>
    <w:p w14:paraId="3DB7AFC9">
      <w:pPr>
        <w:spacing w:line="440" w:lineRule="exact"/>
        <w:rPr>
          <w:rFonts w:ascii="仿宋" w:hAnsi="仿宋" w:eastAsia="仿宋" w:cs="仿宋"/>
          <w:b/>
          <w:sz w:val="24"/>
        </w:rPr>
      </w:pPr>
      <w:r>
        <w:rPr>
          <w:rFonts w:hint="eastAsia" w:ascii="仿宋" w:hAnsi="仿宋" w:eastAsia="仿宋" w:cs="仿宋"/>
          <w:b/>
          <w:sz w:val="24"/>
        </w:rPr>
        <w:t>五、商务要求：</w:t>
      </w:r>
    </w:p>
    <w:p w14:paraId="5AEF5060">
      <w:pPr>
        <w:spacing w:line="440" w:lineRule="exact"/>
        <w:rPr>
          <w:rFonts w:ascii="仿宋" w:hAnsi="仿宋" w:eastAsia="仿宋" w:cs="仿宋"/>
          <w:b/>
          <w:sz w:val="24"/>
        </w:rPr>
      </w:pPr>
      <w:r>
        <w:rPr>
          <w:rFonts w:hint="eastAsia" w:ascii="仿宋" w:hAnsi="仿宋" w:eastAsia="仿宋" w:cs="仿宋"/>
          <w:b/>
          <w:sz w:val="24"/>
        </w:rPr>
        <w:t>1.交货及安装、验收要求</w:t>
      </w:r>
    </w:p>
    <w:p w14:paraId="296DE2EF">
      <w:pPr>
        <w:spacing w:line="440" w:lineRule="exact"/>
        <w:rPr>
          <w:rFonts w:ascii="仿宋" w:hAnsi="仿宋" w:eastAsia="仿宋" w:cs="仿宋"/>
          <w:sz w:val="24"/>
        </w:rPr>
      </w:pPr>
      <w:r>
        <w:rPr>
          <w:rFonts w:hint="eastAsia" w:ascii="仿宋" w:hAnsi="仿宋" w:eastAsia="仿宋" w:cs="仿宋"/>
          <w:sz w:val="24"/>
        </w:rPr>
        <w:t>1.1交货地点：采购人指定地点。</w:t>
      </w:r>
    </w:p>
    <w:p w14:paraId="0393E5A5">
      <w:pPr>
        <w:spacing w:line="440" w:lineRule="exact"/>
        <w:rPr>
          <w:rFonts w:ascii="仿宋" w:hAnsi="仿宋" w:eastAsia="仿宋" w:cs="仿宋"/>
          <w:sz w:val="24"/>
        </w:rPr>
      </w:pPr>
      <w:r>
        <w:rPr>
          <w:rFonts w:hint="eastAsia" w:ascii="仿宋" w:hAnsi="仿宋" w:eastAsia="仿宋" w:cs="仿宋"/>
          <w:sz w:val="24"/>
        </w:rPr>
        <w:t>1.2交货期：中标供应商应当在中标通知书发出之日起30日内按采购需求及中标人的投标文件确定的事项与采购人签订合同，签订合同后</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15</w:t>
      </w:r>
      <w:r>
        <w:rPr>
          <w:rFonts w:hint="eastAsia" w:ascii="仿宋" w:hAnsi="仿宋" w:eastAsia="仿宋" w:cs="仿宋"/>
          <w:sz w:val="24"/>
          <w:u w:val="single"/>
        </w:rPr>
        <w:t xml:space="preserve">  </w:t>
      </w:r>
      <w:r>
        <w:rPr>
          <w:rFonts w:hint="eastAsia" w:ascii="仿宋" w:hAnsi="仿宋" w:eastAsia="仿宋" w:cs="仿宋"/>
          <w:sz w:val="24"/>
        </w:rPr>
        <w:t>日内完成设备的安装调试。</w:t>
      </w:r>
    </w:p>
    <w:p w14:paraId="64647B16">
      <w:pPr>
        <w:spacing w:line="440" w:lineRule="exact"/>
        <w:rPr>
          <w:rFonts w:ascii="仿宋" w:hAnsi="仿宋" w:eastAsia="仿宋" w:cs="仿宋"/>
          <w:sz w:val="24"/>
        </w:rPr>
      </w:pPr>
      <w:r>
        <w:rPr>
          <w:rFonts w:hint="eastAsia" w:ascii="仿宋" w:hAnsi="仿宋" w:eastAsia="仿宋" w:cs="仿宋"/>
          <w:sz w:val="24"/>
        </w:rPr>
        <w:t>1.3中标供应商须保证中标后所提供的设备为原装、全新合格的产品；且原装进口产品生产日期与交货日期差值</w:t>
      </w:r>
      <w:r>
        <w:rPr>
          <w:rFonts w:hint="eastAsia" w:ascii="仿宋" w:hAnsi="仿宋" w:eastAsia="仿宋" w:cs="仿宋"/>
          <w:b/>
          <w:bCs/>
          <w:sz w:val="24"/>
        </w:rPr>
        <w:t>≤6个月；</w:t>
      </w:r>
      <w:r>
        <w:rPr>
          <w:rFonts w:hint="eastAsia" w:ascii="仿宋" w:hAnsi="仿宋" w:eastAsia="仿宋" w:cs="仿宋"/>
          <w:sz w:val="24"/>
        </w:rPr>
        <w:t>国产产品生产日期与交货日期差值</w:t>
      </w:r>
      <w:r>
        <w:rPr>
          <w:rFonts w:hint="eastAsia" w:ascii="仿宋" w:hAnsi="仿宋" w:eastAsia="仿宋" w:cs="仿宋"/>
          <w:b/>
          <w:bCs/>
          <w:sz w:val="24"/>
        </w:rPr>
        <w:t>≤3个月。</w:t>
      </w:r>
    </w:p>
    <w:p w14:paraId="5A91174E">
      <w:pPr>
        <w:spacing w:line="440" w:lineRule="exact"/>
        <w:rPr>
          <w:rFonts w:ascii="仿宋" w:hAnsi="仿宋" w:eastAsia="仿宋" w:cs="仿宋"/>
          <w:sz w:val="24"/>
        </w:rPr>
      </w:pPr>
      <w:r>
        <w:rPr>
          <w:rFonts w:hint="eastAsia" w:ascii="仿宋" w:hAnsi="仿宋" w:eastAsia="仿宋" w:cs="仿宋"/>
          <w:sz w:val="24"/>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79E6B71C">
      <w:pPr>
        <w:spacing w:line="440" w:lineRule="exact"/>
        <w:rPr>
          <w:rFonts w:ascii="仿宋" w:hAnsi="仿宋" w:eastAsia="仿宋" w:cs="仿宋"/>
          <w:sz w:val="24"/>
        </w:rPr>
      </w:pPr>
      <w:r>
        <w:rPr>
          <w:rFonts w:hint="eastAsia" w:ascii="仿宋" w:hAnsi="仿宋" w:eastAsia="仿宋" w:cs="仿宋"/>
          <w:sz w:val="24"/>
        </w:rPr>
        <w:t>1.5验收方式：按《小榄镇公立医院政府采购和验收办法》及</w:t>
      </w:r>
      <w:r>
        <w:rPr>
          <w:rFonts w:hint="eastAsia" w:ascii="仿宋" w:hAnsi="仿宋" w:eastAsia="仿宋" w:cs="仿宋"/>
          <w:kern w:val="0"/>
          <w:sz w:val="24"/>
        </w:rPr>
        <w:t>《中山市东升医院医疗设备验收管理制度》</w:t>
      </w:r>
      <w:r>
        <w:rPr>
          <w:rFonts w:hint="eastAsia" w:ascii="仿宋" w:hAnsi="仿宋" w:eastAsia="仿宋" w:cs="仿宋"/>
          <w:sz w:val="24"/>
        </w:rPr>
        <w:t>。</w:t>
      </w:r>
    </w:p>
    <w:p w14:paraId="1B08894C">
      <w:pPr>
        <w:spacing w:line="440" w:lineRule="exact"/>
        <w:rPr>
          <w:rFonts w:ascii="仿宋" w:hAnsi="仿宋" w:eastAsia="仿宋" w:cs="仿宋"/>
          <w:sz w:val="24"/>
        </w:rPr>
      </w:pPr>
      <w:r>
        <w:rPr>
          <w:rFonts w:hint="eastAsia" w:ascii="仿宋" w:hAnsi="仿宋" w:eastAsia="仿宋" w:cs="仿宋"/>
          <w:sz w:val="24"/>
        </w:rPr>
        <w:t>★</w:t>
      </w:r>
      <w:r>
        <w:rPr>
          <w:rFonts w:hint="eastAsia" w:ascii="仿宋" w:hAnsi="仿宋" w:eastAsia="仿宋" w:cs="仿宋"/>
          <w:color w:val="auto"/>
          <w:sz w:val="24"/>
          <w:highlight w:val="none"/>
        </w:rPr>
        <w:t>1.6本项目设备属于计量仪器，验收时须提供由持有国家主管部门颁发专业检测资质证书的第三方计量检测单位出具的合格校准报告。（出具承诺函）</w:t>
      </w:r>
    </w:p>
    <w:p w14:paraId="5AD891BA">
      <w:pPr>
        <w:spacing w:line="440" w:lineRule="exact"/>
        <w:rPr>
          <w:rFonts w:ascii="仿宋" w:hAnsi="仿宋" w:eastAsia="仿宋" w:cs="仿宋"/>
          <w:b/>
          <w:sz w:val="24"/>
        </w:rPr>
      </w:pPr>
      <w:r>
        <w:rPr>
          <w:rFonts w:hint="eastAsia" w:ascii="仿宋" w:hAnsi="仿宋" w:eastAsia="仿宋" w:cs="仿宋"/>
          <w:b/>
          <w:sz w:val="24"/>
        </w:rPr>
        <w:t>2.售后服务要求</w:t>
      </w:r>
    </w:p>
    <w:p w14:paraId="5253BA88">
      <w:pPr>
        <w:tabs>
          <w:tab w:val="left" w:pos="420"/>
        </w:tabs>
        <w:spacing w:line="440" w:lineRule="exact"/>
        <w:rPr>
          <w:rFonts w:ascii="仿宋" w:hAnsi="仿宋" w:eastAsia="仿宋" w:cs="仿宋"/>
          <w:sz w:val="24"/>
        </w:rPr>
      </w:pPr>
      <w:r>
        <w:rPr>
          <w:rFonts w:hint="eastAsia" w:ascii="仿宋" w:hAnsi="仿宋" w:eastAsia="仿宋" w:cs="仿宋"/>
          <w:sz w:val="24"/>
        </w:rPr>
        <w:t>2.1中标供应商必须在中国境内有售后服务机构，并附有售后服务能力说明。</w:t>
      </w:r>
    </w:p>
    <w:p w14:paraId="2705C3C5">
      <w:pPr>
        <w:spacing w:line="440" w:lineRule="exact"/>
        <w:rPr>
          <w:rFonts w:ascii="仿宋" w:hAnsi="仿宋" w:eastAsia="仿宋" w:cs="仿宋"/>
          <w:sz w:val="24"/>
        </w:rPr>
      </w:pPr>
      <w:r>
        <w:rPr>
          <w:rFonts w:hint="eastAsia" w:ascii="仿宋" w:hAnsi="仿宋" w:eastAsia="仿宋" w:cs="仿宋"/>
          <w:sz w:val="24"/>
        </w:rPr>
        <w:t>★2.2中标供应商须提供设备原厂质保（设备原厂质量保修范围和保修期）至少为</w:t>
      </w:r>
      <w:r>
        <w:rPr>
          <w:rFonts w:hint="eastAsia" w:ascii="仿宋" w:hAnsi="仿宋" w:eastAsia="仿宋" w:cs="仿宋"/>
          <w:sz w:val="24"/>
          <w:u w:val="single"/>
        </w:rPr>
        <w:t xml:space="preserve">  3  </w:t>
      </w:r>
      <w:r>
        <w:rPr>
          <w:rFonts w:hint="eastAsia" w:ascii="仿宋" w:hAnsi="仿宋" w:eastAsia="仿宋" w:cs="仿宋"/>
          <w:sz w:val="24"/>
        </w:rPr>
        <w:t>年。</w:t>
      </w:r>
    </w:p>
    <w:p w14:paraId="143A9016">
      <w:pPr>
        <w:spacing w:line="440" w:lineRule="exact"/>
        <w:rPr>
          <w:rFonts w:ascii="仿宋" w:hAnsi="仿宋" w:eastAsia="仿宋" w:cs="仿宋"/>
          <w:sz w:val="24"/>
        </w:rPr>
      </w:pPr>
      <w:r>
        <w:rPr>
          <w:rFonts w:hint="eastAsia" w:ascii="仿宋" w:hAnsi="仿宋" w:eastAsia="仿宋" w:cs="仿宋"/>
          <w:sz w:val="24"/>
        </w:rPr>
        <w:t>2.3在售后期内，中标供应商在接到用户的维修通知，响应时间为半小时内，工程师到达现场时间为4小时内，排除故障时限为到达现场后8小时内。</w:t>
      </w:r>
    </w:p>
    <w:p w14:paraId="1E745BA3">
      <w:pPr>
        <w:spacing w:line="440" w:lineRule="exact"/>
        <w:rPr>
          <w:rFonts w:ascii="仿宋" w:hAnsi="仿宋" w:eastAsia="仿宋" w:cs="仿宋"/>
          <w:sz w:val="24"/>
        </w:rPr>
      </w:pPr>
      <w:r>
        <w:rPr>
          <w:rFonts w:hint="eastAsia" w:ascii="仿宋" w:hAnsi="仿宋" w:eastAsia="仿宋" w:cs="仿宋"/>
          <w:sz w:val="24"/>
        </w:rPr>
        <w:t>2.4如果产品故障在检修12小时后仍无法排除，中标供应商应在24小时内提供不低于故障产品规格型号档次的备用产品供采购人使用，直至故障产品修复。</w:t>
      </w:r>
    </w:p>
    <w:p w14:paraId="5C613B11">
      <w:pPr>
        <w:spacing w:line="440" w:lineRule="exact"/>
        <w:rPr>
          <w:rFonts w:ascii="仿宋" w:hAnsi="仿宋" w:eastAsia="仿宋" w:cs="仿宋"/>
          <w:b/>
          <w:sz w:val="24"/>
        </w:rPr>
      </w:pPr>
    </w:p>
    <w:p w14:paraId="2DEC0827">
      <w:pPr>
        <w:spacing w:line="440" w:lineRule="exact"/>
        <w:rPr>
          <w:rFonts w:ascii="仿宋" w:hAnsi="仿宋" w:eastAsia="仿宋" w:cs="仿宋"/>
          <w:b/>
          <w:sz w:val="24"/>
        </w:rPr>
      </w:pPr>
      <w:r>
        <w:rPr>
          <w:rFonts w:hint="eastAsia" w:ascii="仿宋" w:hAnsi="仿宋" w:eastAsia="仿宋" w:cs="仿宋"/>
          <w:b/>
          <w:sz w:val="24"/>
        </w:rPr>
        <w:t>3.付款方式</w:t>
      </w:r>
    </w:p>
    <w:p w14:paraId="1BB16561">
      <w:pPr>
        <w:spacing w:line="440" w:lineRule="exact"/>
        <w:rPr>
          <w:rFonts w:ascii="仿宋" w:hAnsi="仿宋" w:eastAsia="仿宋" w:cs="仿宋"/>
          <w:sz w:val="24"/>
        </w:rPr>
      </w:pPr>
      <w:r>
        <w:rPr>
          <w:rFonts w:hint="eastAsia" w:ascii="仿宋" w:hAnsi="仿宋" w:eastAsia="仿宋" w:cs="仿宋"/>
          <w:sz w:val="24"/>
        </w:rPr>
        <w:t>3.1本合同的每笔款项以人民币转账方式支付。</w:t>
      </w:r>
    </w:p>
    <w:p w14:paraId="54C02580">
      <w:pPr>
        <w:spacing w:line="440" w:lineRule="exact"/>
        <w:rPr>
          <w:rFonts w:hint="eastAsia" w:ascii="仿宋" w:hAnsi="仿宋" w:eastAsia="仿宋" w:cs="仿宋"/>
          <w:sz w:val="24"/>
        </w:rPr>
      </w:pPr>
      <w:r>
        <w:rPr>
          <w:rFonts w:hint="eastAsia" w:ascii="仿宋" w:hAnsi="仿宋" w:eastAsia="仿宋" w:cs="仿宋"/>
          <w:sz w:val="24"/>
        </w:rPr>
        <w:t>3.2合同签订后，中标供应商按合同协议时间提供货物或服务完成后，经采购人规定的验收人员书面确认验收合格，中标供应商即开具有效发票，发票加盖发票专用章（增值税普通发票），采购人确认发票无误后，设备款项以人民币通过银行转账方式结算分两期付款。</w:t>
      </w:r>
    </w:p>
    <w:p w14:paraId="7040F78D">
      <w:pPr>
        <w:spacing w:line="440" w:lineRule="exact"/>
        <w:rPr>
          <w:rFonts w:hint="eastAsia" w:ascii="仿宋" w:hAnsi="仿宋" w:eastAsia="仿宋" w:cs="仿宋"/>
          <w:sz w:val="24"/>
        </w:rPr>
      </w:pPr>
      <w:r>
        <w:rPr>
          <w:rFonts w:hint="eastAsia" w:ascii="仿宋" w:hAnsi="仿宋" w:eastAsia="仿宋" w:cs="仿宋"/>
          <w:sz w:val="24"/>
        </w:rPr>
        <w:t>1期：支付比例80% , 验收合格后，</w:t>
      </w:r>
      <w:r>
        <w:rPr>
          <w:rFonts w:hint="eastAsia" w:ascii="仿宋" w:hAnsi="仿宋" w:eastAsia="仿宋" w:cs="仿宋"/>
          <w:sz w:val="24"/>
          <w:lang w:val="en-US" w:eastAsia="zh-CN"/>
        </w:rPr>
        <w:t>中标供应商</w:t>
      </w:r>
      <w:r>
        <w:rPr>
          <w:rFonts w:hint="eastAsia" w:ascii="仿宋" w:hAnsi="仿宋" w:eastAsia="仿宋" w:cs="仿宋"/>
          <w:sz w:val="24"/>
        </w:rPr>
        <w:t>应以实际装机数量对应出具的发票按比例支付，六个月内货款支付至总额的80%；</w:t>
      </w:r>
    </w:p>
    <w:p w14:paraId="5AE8E81D">
      <w:pPr>
        <w:spacing w:line="440" w:lineRule="exact"/>
        <w:rPr>
          <w:rFonts w:ascii="仿宋" w:hAnsi="仿宋" w:eastAsia="仿宋" w:cs="仿宋"/>
          <w:sz w:val="24"/>
        </w:rPr>
      </w:pPr>
      <w:r>
        <w:rPr>
          <w:rFonts w:hint="eastAsia" w:ascii="仿宋" w:hAnsi="仿宋" w:eastAsia="仿宋" w:cs="仿宋"/>
          <w:sz w:val="24"/>
        </w:rPr>
        <w:t>2期：剩余15 %在设备正常使用满1年后不计利息一次性支付，合同总金额的5%的款项在设备验收且使用过程无问题</w:t>
      </w:r>
      <w:r>
        <w:rPr>
          <w:rFonts w:hint="eastAsia" w:ascii="仿宋" w:hAnsi="仿宋" w:eastAsia="仿宋" w:cs="仿宋"/>
          <w:sz w:val="24"/>
          <w:lang w:eastAsia="zh-CN"/>
        </w:rPr>
        <w:t>、</w:t>
      </w:r>
      <w:r>
        <w:rPr>
          <w:rFonts w:hint="eastAsia" w:ascii="仿宋" w:hAnsi="仿宋" w:eastAsia="仿宋" w:cs="仿宋"/>
          <w:sz w:val="24"/>
          <w:lang w:val="en-US" w:eastAsia="zh-CN"/>
        </w:rPr>
        <w:t>质保期满后</w:t>
      </w:r>
      <w:r>
        <w:rPr>
          <w:rFonts w:hint="eastAsia" w:ascii="仿宋" w:hAnsi="仿宋" w:eastAsia="仿宋" w:cs="仿宋"/>
          <w:sz w:val="24"/>
        </w:rPr>
        <w:t>一次性无息支付。</w:t>
      </w:r>
    </w:p>
    <w:p w14:paraId="4FC967AF">
      <w:pPr>
        <w:spacing w:line="440" w:lineRule="exact"/>
        <w:rPr>
          <w:rFonts w:ascii="仿宋" w:hAnsi="仿宋" w:eastAsia="仿宋" w:cs="仿宋"/>
          <w:b/>
          <w:bCs/>
          <w:sz w:val="24"/>
        </w:rPr>
      </w:pPr>
      <w:r>
        <w:rPr>
          <w:rFonts w:hint="eastAsia" w:ascii="仿宋" w:hAnsi="仿宋" w:eastAsia="仿宋" w:cs="仿宋"/>
          <w:b/>
          <w:bCs/>
          <w:sz w:val="24"/>
        </w:rPr>
        <w:t>4.违约责任与赔偿损失</w:t>
      </w:r>
    </w:p>
    <w:p w14:paraId="53F3F7C4">
      <w:pPr>
        <w:spacing w:line="440" w:lineRule="exact"/>
        <w:rPr>
          <w:rFonts w:ascii="仿宋" w:hAnsi="仿宋" w:eastAsia="仿宋" w:cs="仿宋"/>
          <w:sz w:val="24"/>
        </w:rPr>
      </w:pPr>
      <w:r>
        <w:rPr>
          <w:rFonts w:hint="eastAsia" w:ascii="仿宋" w:hAnsi="仿宋" w:eastAsia="仿宋" w:cs="仿宋"/>
          <w:sz w:val="24"/>
        </w:rPr>
        <w:t>1. 中标供应商交付的货物、工程/提供的服务不符合招标文件、投标文件或本合同规定的，院方有权拒收，并且中标供应商须向院方支付本合同总价5%的违约金。</w:t>
      </w:r>
    </w:p>
    <w:p w14:paraId="7DB644DB">
      <w:pPr>
        <w:spacing w:line="440" w:lineRule="exact"/>
        <w:rPr>
          <w:rFonts w:ascii="仿宋" w:hAnsi="仿宋" w:eastAsia="仿宋" w:cs="仿宋"/>
          <w:sz w:val="24"/>
        </w:rPr>
      </w:pPr>
      <w:r>
        <w:rPr>
          <w:rFonts w:hint="eastAsia" w:ascii="仿宋" w:hAnsi="仿宋" w:eastAsia="仿宋" w:cs="仿宋"/>
          <w:sz w:val="24"/>
        </w:rPr>
        <w:t>2. 中标供应商未能按本合同规定的交货时间交付货物的/提供服务，从逾期之日起每日按本合同总价3‰的数额向院方支付违约金；逾期半个月以上的，院方有权终止合同，由此造成的院方经济损失由中标供应商承担。</w:t>
      </w:r>
    </w:p>
    <w:p w14:paraId="7A6EA1D4">
      <w:pPr>
        <w:spacing w:line="440" w:lineRule="exact"/>
        <w:rPr>
          <w:rFonts w:ascii="仿宋" w:hAnsi="仿宋" w:eastAsia="仿宋" w:cs="仿宋"/>
          <w:sz w:val="24"/>
        </w:rPr>
      </w:pPr>
      <w:r>
        <w:rPr>
          <w:rFonts w:hint="eastAsia" w:ascii="仿宋" w:hAnsi="仿宋" w:eastAsia="仿宋" w:cs="仿宋"/>
          <w:sz w:val="24"/>
        </w:rPr>
        <w:t>3. 院方无正当理由拒收货物/接受服务，到期拒付货物/服务款项的，院方向中标供应商偿付本合同总的5%的违约金。院方逾期付款，则每日按本合同总价的3‰向中标供应商偿付违约金。</w:t>
      </w:r>
    </w:p>
    <w:p w14:paraId="2D10BB96">
      <w:pPr>
        <w:spacing w:line="440" w:lineRule="exact"/>
        <w:rPr>
          <w:rFonts w:ascii="仿宋" w:hAnsi="仿宋" w:eastAsia="仿宋" w:cs="仿宋"/>
          <w:sz w:val="24"/>
        </w:rPr>
      </w:pPr>
      <w:r>
        <w:rPr>
          <w:rFonts w:hint="eastAsia" w:ascii="仿宋" w:hAnsi="仿宋" w:eastAsia="仿宋" w:cs="仿宋"/>
          <w:sz w:val="24"/>
        </w:rPr>
        <w:t>4. 其它违约责任按《中华人民共和国民法典》处理。</w:t>
      </w:r>
    </w:p>
    <w:p w14:paraId="42DBE746">
      <w:pPr>
        <w:spacing w:line="440" w:lineRule="exact"/>
        <w:rPr>
          <w:rFonts w:ascii="仿宋" w:hAnsi="仿宋" w:eastAsia="仿宋" w:cs="仿宋"/>
          <w:sz w:val="24"/>
        </w:rPr>
      </w:pPr>
    </w:p>
    <w:p w14:paraId="5ABB7448">
      <w:pPr>
        <w:pStyle w:val="3"/>
        <w:numPr>
          <w:ilvl w:val="0"/>
          <w:numId w:val="0"/>
        </w:numPr>
        <w:spacing w:line="360" w:lineRule="auto"/>
        <w:ind w:left="400" w:leftChars="0"/>
        <w:rPr>
          <w:lang w:val="zh-CN"/>
        </w:rPr>
      </w:pPr>
    </w:p>
    <w:sectPr>
      <w:pgSz w:w="11906" w:h="16838"/>
      <w:pgMar w:top="1440" w:right="1800" w:bottom="1440" w:left="1800" w:header="851" w:footer="425"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7E8738"/>
    <w:multiLevelType w:val="singleLevel"/>
    <w:tmpl w:val="1E7E873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ZWM1NTIxZjZkMTFkYmM1ZDhjYWQ1ZjllOTYzZjUifQ=="/>
  </w:docVars>
  <w:rsids>
    <w:rsidRoot w:val="027725AF"/>
    <w:rsid w:val="00000267"/>
    <w:rsid w:val="00000AF6"/>
    <w:rsid w:val="00007832"/>
    <w:rsid w:val="00016B72"/>
    <w:rsid w:val="00036444"/>
    <w:rsid w:val="0005190D"/>
    <w:rsid w:val="00065257"/>
    <w:rsid w:val="000C5864"/>
    <w:rsid w:val="00136269"/>
    <w:rsid w:val="00152E6E"/>
    <w:rsid w:val="001564F2"/>
    <w:rsid w:val="00164D4A"/>
    <w:rsid w:val="001D1D4A"/>
    <w:rsid w:val="001F6B01"/>
    <w:rsid w:val="00215636"/>
    <w:rsid w:val="0022457A"/>
    <w:rsid w:val="00227ED6"/>
    <w:rsid w:val="00234D13"/>
    <w:rsid w:val="002549FF"/>
    <w:rsid w:val="002616DE"/>
    <w:rsid w:val="002860B7"/>
    <w:rsid w:val="00293A7C"/>
    <w:rsid w:val="002B5F04"/>
    <w:rsid w:val="002E2203"/>
    <w:rsid w:val="002F4E01"/>
    <w:rsid w:val="00341440"/>
    <w:rsid w:val="00342D38"/>
    <w:rsid w:val="00345474"/>
    <w:rsid w:val="003662C2"/>
    <w:rsid w:val="0037094F"/>
    <w:rsid w:val="003A00F6"/>
    <w:rsid w:val="003A75C3"/>
    <w:rsid w:val="003A7C0C"/>
    <w:rsid w:val="003F6DDB"/>
    <w:rsid w:val="00411292"/>
    <w:rsid w:val="00421A1F"/>
    <w:rsid w:val="004312C9"/>
    <w:rsid w:val="00440D87"/>
    <w:rsid w:val="00467A71"/>
    <w:rsid w:val="004A1404"/>
    <w:rsid w:val="004C251B"/>
    <w:rsid w:val="005002B7"/>
    <w:rsid w:val="00507EB2"/>
    <w:rsid w:val="0052211A"/>
    <w:rsid w:val="005472B7"/>
    <w:rsid w:val="00553084"/>
    <w:rsid w:val="0055425D"/>
    <w:rsid w:val="00587AFC"/>
    <w:rsid w:val="005A38AB"/>
    <w:rsid w:val="005D041B"/>
    <w:rsid w:val="005D4C82"/>
    <w:rsid w:val="00607917"/>
    <w:rsid w:val="00643222"/>
    <w:rsid w:val="00646CFF"/>
    <w:rsid w:val="00695736"/>
    <w:rsid w:val="006A0103"/>
    <w:rsid w:val="00706115"/>
    <w:rsid w:val="00726ED7"/>
    <w:rsid w:val="007943B1"/>
    <w:rsid w:val="007A320E"/>
    <w:rsid w:val="007A3E4E"/>
    <w:rsid w:val="007B6779"/>
    <w:rsid w:val="007D756B"/>
    <w:rsid w:val="007E3690"/>
    <w:rsid w:val="007E39B3"/>
    <w:rsid w:val="007E613A"/>
    <w:rsid w:val="007F2B11"/>
    <w:rsid w:val="007F33E6"/>
    <w:rsid w:val="0080304A"/>
    <w:rsid w:val="00852696"/>
    <w:rsid w:val="008639CD"/>
    <w:rsid w:val="00876B88"/>
    <w:rsid w:val="008863AD"/>
    <w:rsid w:val="008A3EC2"/>
    <w:rsid w:val="008A5819"/>
    <w:rsid w:val="008A6F6D"/>
    <w:rsid w:val="008F4E7C"/>
    <w:rsid w:val="008F6ACD"/>
    <w:rsid w:val="008F7169"/>
    <w:rsid w:val="00950093"/>
    <w:rsid w:val="009852DA"/>
    <w:rsid w:val="009B3DE4"/>
    <w:rsid w:val="009B5110"/>
    <w:rsid w:val="009C06B8"/>
    <w:rsid w:val="009C60B9"/>
    <w:rsid w:val="009F5D10"/>
    <w:rsid w:val="00A0604F"/>
    <w:rsid w:val="00A71353"/>
    <w:rsid w:val="00AB5743"/>
    <w:rsid w:val="00AC3F2C"/>
    <w:rsid w:val="00B10D67"/>
    <w:rsid w:val="00B22E91"/>
    <w:rsid w:val="00B72C76"/>
    <w:rsid w:val="00B77F33"/>
    <w:rsid w:val="00BA0DB4"/>
    <w:rsid w:val="00BC3D3B"/>
    <w:rsid w:val="00BC522A"/>
    <w:rsid w:val="00BD2E1C"/>
    <w:rsid w:val="00BE1E32"/>
    <w:rsid w:val="00C23FE8"/>
    <w:rsid w:val="00C5781C"/>
    <w:rsid w:val="00C61C7C"/>
    <w:rsid w:val="00C97C1D"/>
    <w:rsid w:val="00CA593D"/>
    <w:rsid w:val="00CD392D"/>
    <w:rsid w:val="00CF6139"/>
    <w:rsid w:val="00D00163"/>
    <w:rsid w:val="00D013D7"/>
    <w:rsid w:val="00D076B0"/>
    <w:rsid w:val="00D46D87"/>
    <w:rsid w:val="00D47646"/>
    <w:rsid w:val="00D932D0"/>
    <w:rsid w:val="00DC1A43"/>
    <w:rsid w:val="00E35651"/>
    <w:rsid w:val="00E60436"/>
    <w:rsid w:val="00E71C5B"/>
    <w:rsid w:val="00EA5208"/>
    <w:rsid w:val="00EA68FA"/>
    <w:rsid w:val="00EC3435"/>
    <w:rsid w:val="00F066CA"/>
    <w:rsid w:val="00F42A70"/>
    <w:rsid w:val="00F75603"/>
    <w:rsid w:val="00F801B8"/>
    <w:rsid w:val="00F82B4B"/>
    <w:rsid w:val="00FA3C7F"/>
    <w:rsid w:val="00FF4826"/>
    <w:rsid w:val="027725AF"/>
    <w:rsid w:val="02B531DE"/>
    <w:rsid w:val="043A19AB"/>
    <w:rsid w:val="060B44DD"/>
    <w:rsid w:val="07C70FB6"/>
    <w:rsid w:val="08DB7D8B"/>
    <w:rsid w:val="090C76D2"/>
    <w:rsid w:val="126775F5"/>
    <w:rsid w:val="14026CA1"/>
    <w:rsid w:val="140524A5"/>
    <w:rsid w:val="17A84A31"/>
    <w:rsid w:val="18AC198D"/>
    <w:rsid w:val="1A362D0A"/>
    <w:rsid w:val="1A9A1AE2"/>
    <w:rsid w:val="1C850B82"/>
    <w:rsid w:val="1DB403E5"/>
    <w:rsid w:val="1E8B3C3C"/>
    <w:rsid w:val="1F0C2891"/>
    <w:rsid w:val="1FF004A0"/>
    <w:rsid w:val="21025128"/>
    <w:rsid w:val="217C184C"/>
    <w:rsid w:val="21F75571"/>
    <w:rsid w:val="248F5BDB"/>
    <w:rsid w:val="26AC3567"/>
    <w:rsid w:val="27094723"/>
    <w:rsid w:val="27495B46"/>
    <w:rsid w:val="2A710EAE"/>
    <w:rsid w:val="2B9A59A4"/>
    <w:rsid w:val="2BF51A0F"/>
    <w:rsid w:val="2CAB1A01"/>
    <w:rsid w:val="2D887C39"/>
    <w:rsid w:val="2D993838"/>
    <w:rsid w:val="2E110DC4"/>
    <w:rsid w:val="2EA70528"/>
    <w:rsid w:val="2FF54D81"/>
    <w:rsid w:val="30FF0194"/>
    <w:rsid w:val="31AC6C06"/>
    <w:rsid w:val="323C0B50"/>
    <w:rsid w:val="333062AD"/>
    <w:rsid w:val="33712CFE"/>
    <w:rsid w:val="33895773"/>
    <w:rsid w:val="33F90432"/>
    <w:rsid w:val="34C57915"/>
    <w:rsid w:val="351234CC"/>
    <w:rsid w:val="35EF058A"/>
    <w:rsid w:val="361954A6"/>
    <w:rsid w:val="3C740147"/>
    <w:rsid w:val="3CF45D24"/>
    <w:rsid w:val="3D3B7E35"/>
    <w:rsid w:val="3D98669F"/>
    <w:rsid w:val="3E9B4363"/>
    <w:rsid w:val="3ECA1709"/>
    <w:rsid w:val="3EEE625E"/>
    <w:rsid w:val="42006314"/>
    <w:rsid w:val="43ED40EE"/>
    <w:rsid w:val="443A5766"/>
    <w:rsid w:val="44746547"/>
    <w:rsid w:val="47BF5F9B"/>
    <w:rsid w:val="48515DC8"/>
    <w:rsid w:val="49EB4B28"/>
    <w:rsid w:val="4BF76F64"/>
    <w:rsid w:val="4EA70F40"/>
    <w:rsid w:val="4EBD0A92"/>
    <w:rsid w:val="4EDA0125"/>
    <w:rsid w:val="4F9A3A01"/>
    <w:rsid w:val="513149E8"/>
    <w:rsid w:val="553840DB"/>
    <w:rsid w:val="579F1125"/>
    <w:rsid w:val="580469B3"/>
    <w:rsid w:val="58B3555A"/>
    <w:rsid w:val="58B91A08"/>
    <w:rsid w:val="5A3921D0"/>
    <w:rsid w:val="5B4D1492"/>
    <w:rsid w:val="5C100F49"/>
    <w:rsid w:val="5C675762"/>
    <w:rsid w:val="5DC71851"/>
    <w:rsid w:val="5E871CB1"/>
    <w:rsid w:val="608E73F6"/>
    <w:rsid w:val="656A70AF"/>
    <w:rsid w:val="66AA15BF"/>
    <w:rsid w:val="69340CF8"/>
    <w:rsid w:val="6BD2675F"/>
    <w:rsid w:val="6C171CF3"/>
    <w:rsid w:val="6DDF526D"/>
    <w:rsid w:val="6F2A17D8"/>
    <w:rsid w:val="744B3E55"/>
    <w:rsid w:val="74EB7879"/>
    <w:rsid w:val="75050DA5"/>
    <w:rsid w:val="7931434A"/>
    <w:rsid w:val="7BBB26BE"/>
    <w:rsid w:val="7BDA70B6"/>
    <w:rsid w:val="7C115C9E"/>
    <w:rsid w:val="7C8810B1"/>
    <w:rsid w:val="7D2A6A2F"/>
    <w:rsid w:val="7DFD38EA"/>
    <w:rsid w:val="7E2C2E60"/>
    <w:rsid w:val="7EA22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qFormat/>
    <w:uiPriority w:val="0"/>
    <w:pPr>
      <w:widowControl/>
      <w:jc w:val="left"/>
    </w:pPr>
    <w:rPr>
      <w:kern w:val="0"/>
      <w:szCs w:val="20"/>
    </w:rPr>
  </w:style>
  <w:style w:type="paragraph" w:styleId="3">
    <w:name w:val="Body Text"/>
    <w:basedOn w:val="1"/>
    <w:next w:val="4"/>
    <w:qFormat/>
    <w:uiPriority w:val="0"/>
    <w:pPr>
      <w:spacing w:after="120"/>
    </w:pPr>
  </w:style>
  <w:style w:type="paragraph" w:styleId="4">
    <w:name w:val="toc 5"/>
    <w:basedOn w:val="1"/>
    <w:next w:val="1"/>
    <w:qFormat/>
    <w:uiPriority w:val="0"/>
    <w:pPr>
      <w:ind w:left="1680" w:leftChars="800"/>
    </w:pPr>
  </w:style>
  <w:style w:type="paragraph" w:styleId="5">
    <w:name w:val="Balloon Text"/>
    <w:basedOn w:val="1"/>
    <w:link w:val="17"/>
    <w:qFormat/>
    <w:uiPriority w:val="0"/>
    <w:rPr>
      <w:sz w:val="18"/>
      <w:szCs w:val="18"/>
    </w:rPr>
  </w:style>
  <w:style w:type="paragraph" w:styleId="6">
    <w:name w:val="footer"/>
    <w:basedOn w:val="1"/>
    <w:link w:val="19"/>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2"/>
    <w:next w:val="2"/>
    <w:link w:val="16"/>
    <w:qFormat/>
    <w:uiPriority w:val="0"/>
    <w:pPr>
      <w:widowControl w:val="0"/>
    </w:pPr>
    <w:rPr>
      <w:b/>
      <w:bCs/>
      <w:kern w:val="2"/>
      <w:szCs w:val="24"/>
    </w:rPr>
  </w:style>
  <w:style w:type="paragraph" w:styleId="9">
    <w:name w:val="Body Text First Indent"/>
    <w:basedOn w:val="3"/>
    <w:next w:val="1"/>
    <w:qFormat/>
    <w:uiPriority w:val="0"/>
    <w:pPr>
      <w:spacing w:after="0" w:line="360" w:lineRule="auto"/>
      <w:ind w:firstLine="425"/>
    </w:pPr>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annotation reference"/>
    <w:basedOn w:val="12"/>
    <w:qFormat/>
    <w:uiPriority w:val="0"/>
    <w:rPr>
      <w:sz w:val="21"/>
      <w:szCs w:val="21"/>
    </w:rPr>
  </w:style>
  <w:style w:type="paragraph" w:styleId="14">
    <w:name w:val="List Paragraph"/>
    <w:basedOn w:val="1"/>
    <w:unhideWhenUsed/>
    <w:qFormat/>
    <w:uiPriority w:val="99"/>
    <w:pPr>
      <w:ind w:firstLine="420" w:firstLineChars="200"/>
    </w:pPr>
  </w:style>
  <w:style w:type="character" w:customStyle="1" w:styleId="15">
    <w:name w:val="批注文字 Char"/>
    <w:basedOn w:val="12"/>
    <w:link w:val="2"/>
    <w:qFormat/>
    <w:uiPriority w:val="0"/>
    <w:rPr>
      <w:rFonts w:asciiTheme="minorHAnsi" w:hAnsiTheme="minorHAnsi" w:eastAsiaTheme="minorEastAsia" w:cstheme="minorBidi"/>
      <w:sz w:val="21"/>
    </w:rPr>
  </w:style>
  <w:style w:type="character" w:customStyle="1" w:styleId="16">
    <w:name w:val="批注主题 Char"/>
    <w:basedOn w:val="15"/>
    <w:link w:val="8"/>
    <w:qFormat/>
    <w:uiPriority w:val="0"/>
  </w:style>
  <w:style w:type="character" w:customStyle="1" w:styleId="17">
    <w:name w:val="批注框文本 Char"/>
    <w:basedOn w:val="12"/>
    <w:link w:val="5"/>
    <w:qFormat/>
    <w:uiPriority w:val="0"/>
    <w:rPr>
      <w:rFonts w:asciiTheme="minorHAnsi" w:hAnsiTheme="minorHAnsi" w:eastAsiaTheme="minorEastAsia" w:cstheme="minorBidi"/>
      <w:kern w:val="2"/>
      <w:sz w:val="18"/>
      <w:szCs w:val="18"/>
    </w:rPr>
  </w:style>
  <w:style w:type="paragraph" w:customStyle="1" w:styleId="18">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9">
    <w:name w:val="页脚 Char"/>
    <w:basedOn w:val="12"/>
    <w:link w:val="6"/>
    <w:qFormat/>
    <w:uiPriority w:val="99"/>
    <w:rPr>
      <w:rFonts w:asciiTheme="minorHAnsi" w:hAnsiTheme="minorHAnsi" w:eastAsiaTheme="minorEastAsia" w:cstheme="minorBidi"/>
      <w:kern w:val="2"/>
      <w:sz w:val="18"/>
      <w:szCs w:val="24"/>
    </w:rPr>
  </w:style>
  <w:style w:type="character" w:customStyle="1" w:styleId="20">
    <w:name w:val="fontstyle01"/>
    <w:basedOn w:val="12"/>
    <w:qFormat/>
    <w:uiPriority w:val="0"/>
    <w:rPr>
      <w:rFonts w:ascii="宋体" w:hAnsi="宋体" w:eastAsia="宋体" w:cs="宋体"/>
      <w:color w:val="000000"/>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WwW.YlmF.CoM</Company>
  <Pages>4</Pages>
  <Words>2081</Words>
  <Characters>2212</Characters>
  <Lines>11</Lines>
  <Paragraphs>3</Paragraphs>
  <TotalTime>0</TotalTime>
  <ScaleCrop>false</ScaleCrop>
  <LinksUpToDate>false</LinksUpToDate>
  <CharactersWithSpaces>2252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2026-06-16T12:57:00Z</dcterms:created>
  <dc:creator>ye</dc:creator>
  <cp:lastModifiedBy>Lily</cp:lastModifiedBy>
  <cp:lastPrinted>2021-08-11T08:36:00Z</cp:lastPrinted>
  <dcterms:modified xsi:type="dcterms:W3CDTF">2026-09-02T10:44:46Z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1FC32B7CC7DF4155ADEDA2B1A317AB59_13</vt:lpwstr>
  </property>
  <property fmtid="{D5CDD505-2E9C-101B-9397-08002B2CF9AE}" pid="4" name="KSOTemplateDocerSaveRecord">
    <vt:lpwstr>eyJoZGlkIjoiZjMxODI1ZDk1NTM3ZThjZDIyMDM0N2Q4Njc3ODMwMjMiLCJ1c2VySWQiOiIyNjI5MDY5MzEifQ==</vt:lpwstr>
  </property>
</Properties>
</file>