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医用电动喷雾洗鼻器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  <w:bookmarkStart w:id="0" w:name="_GoBack"/>
      <w:bookmarkEnd w:id="0"/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如有，没有可删除表2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）</w:t>
      </w:r>
    </w:p>
    <w:tbl>
      <w:tblPr>
        <w:tblStyle w:val="52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912"/>
        <w:gridCol w:w="1174"/>
        <w:gridCol w:w="1009"/>
        <w:gridCol w:w="774"/>
        <w:gridCol w:w="953"/>
        <w:gridCol w:w="1064"/>
        <w:gridCol w:w="1022"/>
        <w:gridCol w:w="1119"/>
        <w:gridCol w:w="94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447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74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09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74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953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1064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1022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119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94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7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4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19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6126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72042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30122F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33DC4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287</Words>
  <Characters>293</Characters>
  <Lines>35</Lines>
  <Paragraphs>9</Paragraphs>
  <TotalTime>0</TotalTime>
  <ScaleCrop>false</ScaleCrop>
  <LinksUpToDate>false</LinksUpToDate>
  <CharactersWithSpaces>317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Administrator</cp:lastModifiedBy>
  <dcterms:modified xsi:type="dcterms:W3CDTF">2026-04-13T09:53:09Z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5D49895FB4AF4657975B359963421943_13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