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中山市东升医院综合能源托管技术咨询服务项目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3CA08C93">
      <w:pPr>
        <w:pStyle w:val="11"/>
      </w:pPr>
    </w:p>
    <w:tbl>
      <w:tblPr>
        <w:tblStyle w:val="12"/>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531"/>
        <w:gridCol w:w="2805"/>
        <w:gridCol w:w="298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22" w:hRule="atLeast"/>
          <w:jc w:val="center"/>
        </w:trPr>
        <w:tc>
          <w:tcPr>
            <w:tcW w:w="3531"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805" w:type="dxa"/>
            <w:vAlign w:val="center"/>
          </w:tcPr>
          <w:p w14:paraId="612F4846">
            <w:pPr>
              <w:spacing w:before="40" w:line="219" w:lineRule="auto"/>
              <w:jc w:val="center"/>
              <w:rPr>
                <w:rFonts w:hint="default"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报价金额</w:t>
            </w:r>
          </w:p>
          <w:p w14:paraId="29BBBE45">
            <w:pPr>
              <w:spacing w:before="40" w:line="219" w:lineRule="auto"/>
              <w:jc w:val="center"/>
              <w:rPr>
                <w:rFonts w:hint="default" w:ascii="宋体" w:hAnsi="宋体" w:eastAsia="宋体" w:cs="宋体"/>
                <w:sz w:val="24"/>
                <w:szCs w:val="24"/>
                <w:lang w:val="en-US"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元）</w:t>
            </w:r>
          </w:p>
        </w:tc>
        <w:tc>
          <w:tcPr>
            <w:tcW w:w="298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087" w:hRule="atLeast"/>
          <w:jc w:val="center"/>
        </w:trPr>
        <w:tc>
          <w:tcPr>
            <w:tcW w:w="3531"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中山市东升医院综合能源托管技术咨询服务项目</w:t>
            </w:r>
          </w:p>
        </w:tc>
        <w:tc>
          <w:tcPr>
            <w:tcW w:w="2805"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tc>
        <w:tc>
          <w:tcPr>
            <w:tcW w:w="2989" w:type="dxa"/>
            <w:vAlign w:val="center"/>
          </w:tcPr>
          <w:p w14:paraId="15B4A106">
            <w:pPr>
              <w:pStyle w:val="3"/>
              <w:jc w:val="center"/>
              <w:rPr>
                <w:rFonts w:hint="default"/>
                <w:b/>
                <w:bCs/>
                <w:lang w:val="en-US" w:eastAsia="zh-CN"/>
              </w:rPr>
            </w:pPr>
          </w:p>
        </w:tc>
      </w:tr>
    </w:tbl>
    <w:p w14:paraId="1CE97BEE">
      <w:pPr>
        <w:pStyle w:val="3"/>
        <w:spacing w:line="371" w:lineRule="auto"/>
      </w:pPr>
    </w:p>
    <w:p w14:paraId="1EFC8127">
      <w:pPr>
        <w:pStyle w:val="3"/>
        <w:keepNext w:val="0"/>
        <w:keepLines w:val="0"/>
        <w:pageBreakBefore w:val="0"/>
        <w:wordWrap/>
        <w:overflowPunct/>
        <w:topLinePunct w:val="0"/>
        <w:autoSpaceDE w:val="0"/>
        <w:autoSpaceDN w:val="0"/>
        <w:bidi w:val="0"/>
        <w:adjustRightInd w:val="0"/>
        <w:spacing w:before="0" w:beforeLines="30" w:line="260" w:lineRule="exact"/>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3D844C97">
      <w:pPr>
        <w:pStyle w:val="11"/>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1. 报价金额须为含税固定报价，不接受区间形式报价，且不得高于项目预算金额，否则将被判定为无效投标。</w:t>
      </w:r>
    </w:p>
    <w:p w14:paraId="014728E3">
      <w:pPr>
        <w:pStyle w:val="11"/>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2. 供应商报价应为完成本项目全部内容：包括但不限于咨询费、劳务费、项目人力成本费、行政费、印刷费、设备费、各项税费、采购人提出应包含的费用、消耗用品费、中标服务费、不可预见费等完成本项目所需的一切费用。如出现任何遗漏内容需产生额外费用，均由供应商自行承担，采购人不再另支付任何费用。</w:t>
      </w:r>
    </w:p>
    <w:p w14:paraId="51D5D281">
      <w:pPr>
        <w:pStyle w:val="11"/>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3. 任何有选择性报价的投标，将被视为无效投标。</w:t>
      </w:r>
    </w:p>
    <w:p w14:paraId="5B22F74C">
      <w:pPr>
        <w:pStyle w:val="11"/>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default"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4. 报价次数：1次。</w:t>
      </w:r>
    </w:p>
    <w:p w14:paraId="5CA9783B">
      <w:pPr>
        <w:pStyle w:val="11"/>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7D601A1E">
      <w:pPr>
        <w:pStyle w:val="11"/>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76A95503">
      <w:pPr>
        <w:pStyle w:val="11"/>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135A0D05">
      <w:pPr>
        <w:pStyle w:val="11"/>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360"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中山市东升医院综合能源托管技术咨询服务项目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304" w:bottom="907" w:left="1304"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val="en-US" w:eastAsia="zh-CN"/>
        </w:rPr>
        <w:t>复印件加盖公章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中山市东升医院综合能源托管技术咨询服务项目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0" w:gutter="0"/>
          <w:cols w:space="720" w:num="1"/>
        </w:sectPr>
      </w:pPr>
    </w:p>
    <w:p w14:paraId="1DA97DB8">
      <w:pPr>
        <w:spacing w:before="41" w:line="378" w:lineRule="auto"/>
        <w:ind w:left="22" w:right="18"/>
        <w:rPr>
          <w:rFonts w:hint="default" w:ascii="宋体" w:hAnsi="宋体" w:eastAsia="宋体" w:cs="宋体"/>
          <w:sz w:val="20"/>
          <w:szCs w:val="20"/>
          <w:lang w:val="en-US"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r>
        <w:rPr>
          <w:rFonts w:hint="eastAsia" w:ascii="宋体" w:hAnsi="宋体" w:eastAsia="宋体" w:cs="宋体"/>
          <w:b/>
          <w:bCs/>
          <w:spacing w:val="-1"/>
          <w:sz w:val="20"/>
          <w:szCs w:val="20"/>
          <w:lang w:eastAsia="zh-CN"/>
        </w:rPr>
        <w:t>（</w:t>
      </w:r>
      <w:r>
        <w:rPr>
          <w:rFonts w:hint="eastAsia" w:ascii="宋体" w:hAnsi="宋体" w:eastAsia="宋体" w:cs="宋体"/>
          <w:b/>
          <w:bCs/>
          <w:spacing w:val="-1"/>
          <w:sz w:val="20"/>
          <w:szCs w:val="20"/>
          <w:lang w:val="en-US" w:eastAsia="zh-CN"/>
        </w:rPr>
        <w:t>加盖公章）。</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 12 个月内任何时间的纳税证明资料复印件</w:t>
      </w:r>
      <w:r>
        <w:rPr>
          <w:rFonts w:hint="eastAsia"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加盖公章）</w:t>
      </w:r>
      <w:r>
        <w:rPr>
          <w:rFonts w:ascii="宋体" w:hAnsi="宋体" w:eastAsia="宋体" w:cs="宋体"/>
          <w:b/>
          <w:bCs/>
          <w:spacing w:val="8"/>
          <w:sz w:val="20"/>
          <w:szCs w:val="20"/>
          <w:lang w:eastAsia="zh-CN"/>
        </w:rPr>
        <w:t>，如依法免税的，应提供相应文件证明</w:t>
      </w:r>
      <w:r>
        <w:rPr>
          <w:rFonts w:hint="eastAsia" w:ascii="宋体" w:hAnsi="宋体" w:eastAsia="宋体" w:cs="宋体"/>
          <w:b/>
          <w:bCs/>
          <w:spacing w:val="8"/>
          <w:sz w:val="20"/>
          <w:szCs w:val="20"/>
          <w:lang w:eastAsia="zh-CN"/>
        </w:rPr>
        <w:t>。</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keepNext w:val="0"/>
        <w:keepLines w:val="0"/>
        <w:pageBreakBefore w:val="0"/>
        <w:widowControl/>
        <w:kinsoku w:val="0"/>
        <w:wordWrap/>
        <w:overflowPunct/>
        <w:topLinePunct w:val="0"/>
        <w:autoSpaceDE w:val="0"/>
        <w:autoSpaceDN w:val="0"/>
        <w:bidi w:val="0"/>
        <w:adjustRightInd w:val="0"/>
        <w:snapToGrid w:val="0"/>
        <w:spacing w:before="40" w:line="288" w:lineRule="auto"/>
        <w:ind w:left="23" w:firstLine="5"/>
        <w:textAlignment w:val="baseline"/>
        <w:rPr>
          <w:rFonts w:ascii="宋体" w:hAnsi="宋体" w:eastAsia="宋体" w:cs="宋体"/>
          <w:sz w:val="20"/>
          <w:szCs w:val="20"/>
          <w:lang w:eastAsia="zh-CN"/>
        </w:rPr>
      </w:pPr>
      <w:r>
        <w:rPr>
          <w:rFonts w:ascii="宋体" w:hAnsi="宋体" w:eastAsia="宋体" w:cs="宋体"/>
          <w:b/>
          <w:bCs/>
          <w:spacing w:val="3"/>
          <w:sz w:val="20"/>
          <w:szCs w:val="20"/>
          <w:lang w:eastAsia="zh-CN"/>
        </w:rPr>
        <w:t>九、近 12 个月内任何时间的缴交社保证明资料复印件</w:t>
      </w:r>
      <w:r>
        <w:rPr>
          <w:rFonts w:hint="eastAsia" w:ascii="宋体" w:hAnsi="宋体" w:eastAsia="宋体" w:cs="宋体"/>
          <w:b/>
          <w:bCs/>
          <w:spacing w:val="3"/>
          <w:sz w:val="20"/>
          <w:szCs w:val="20"/>
          <w:lang w:eastAsia="zh-CN"/>
        </w:rPr>
        <w:t>（</w:t>
      </w:r>
      <w:r>
        <w:rPr>
          <w:rFonts w:hint="eastAsia" w:ascii="宋体" w:hAnsi="宋体" w:eastAsia="宋体" w:cs="宋体"/>
          <w:b/>
          <w:bCs/>
          <w:spacing w:val="3"/>
          <w:sz w:val="20"/>
          <w:szCs w:val="20"/>
          <w:lang w:val="en-US" w:eastAsia="zh-CN"/>
        </w:rPr>
        <w:t>加盖公章）</w:t>
      </w:r>
      <w:r>
        <w:rPr>
          <w:rFonts w:ascii="宋体" w:hAnsi="宋体" w:eastAsia="宋体" w:cs="宋体"/>
          <w:b/>
          <w:bCs/>
          <w:spacing w:val="3"/>
          <w:sz w:val="20"/>
          <w:szCs w:val="20"/>
          <w:lang w:eastAsia="zh-CN"/>
        </w:rPr>
        <w:t>，如依法不需要缴纳社会保障资金的，应提供相应文件证明</w:t>
      </w:r>
      <w:r>
        <w:rPr>
          <w:rFonts w:hint="eastAsia" w:ascii="宋体" w:hAnsi="宋体" w:eastAsia="宋体" w:cs="宋体"/>
          <w:b/>
          <w:bCs/>
          <w:spacing w:val="3"/>
          <w:sz w:val="20"/>
          <w:szCs w:val="20"/>
          <w:lang w:eastAsia="zh-CN"/>
        </w:rPr>
        <w:t>。</w:t>
      </w:r>
    </w:p>
    <w:p w14:paraId="6E0D33B8">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ascii="宋体" w:hAnsi="宋体" w:eastAsia="宋体" w:cs="宋体"/>
          <w:sz w:val="20"/>
          <w:szCs w:val="20"/>
          <w:lang w:eastAsia="zh-CN"/>
        </w:rPr>
        <w:sectPr>
          <w:pgSz w:w="11900" w:h="16840"/>
          <w:pgMar w:top="907" w:right="1417" w:bottom="907" w:left="1417"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28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供应商未被列入“信用中国”网站(</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"https://www.creditchina.gov.cn"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www.creditchina.gov.cn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)“记录失信被执行人或重大税收违法案件当事人名单；不处于中国政府采购网(</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"https://www.ccgp.gov.cn"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www.ccgp.gov.cn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)“政府采购严重违法失信行为信息记录 ”中的禁止参加政府采购活动期间。（提供以上截图并加盖公章）</w:t>
      </w:r>
    </w:p>
    <w:p w14:paraId="46792666">
      <w:pPr>
        <w:keepNext w:val="0"/>
        <w:keepLines w:val="0"/>
        <w:pageBreakBefore w:val="0"/>
        <w:widowControl/>
        <w:kinsoku w:val="0"/>
        <w:wordWrap/>
        <w:overflowPunct/>
        <w:topLinePunct w:val="0"/>
        <w:autoSpaceDE w:val="0"/>
        <w:autoSpaceDN w:val="0"/>
        <w:bidi w:val="0"/>
        <w:adjustRightInd w:val="0"/>
        <w:snapToGrid w:val="0"/>
        <w:spacing w:line="28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1AD104C4">
      <w:pPr>
        <w:spacing w:before="137"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一</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95" w:beforeLines="30" w:line="227"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2"/>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547"/>
        <w:gridCol w:w="1425"/>
        <w:gridCol w:w="978"/>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47"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25"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978"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547" w:type="dxa"/>
          </w:tcPr>
          <w:p w14:paraId="2090146E">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一、</w:t>
            </w:r>
            <w:r>
              <w:rPr>
                <w:rFonts w:hint="eastAsia" w:ascii="宋体" w:hAnsi="宋体" w:eastAsia="宋体" w:cs="宋体"/>
                <w:sz w:val="20"/>
                <w:szCs w:val="20"/>
              </w:rPr>
              <w:t>项目概况</w:t>
            </w:r>
          </w:p>
          <w:p w14:paraId="79B308F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 项目名称：</w:t>
            </w:r>
            <w:r>
              <w:rPr>
                <w:rFonts w:hint="eastAsia" w:ascii="宋体" w:hAnsi="宋体" w:eastAsia="宋体" w:cs="宋体"/>
                <w:sz w:val="20"/>
                <w:szCs w:val="20"/>
              </w:rPr>
              <w:t>中山市东升医院</w:t>
            </w:r>
            <w:r>
              <w:rPr>
                <w:rFonts w:hint="eastAsia" w:ascii="宋体" w:hAnsi="宋体" w:eastAsia="宋体" w:cs="宋体"/>
                <w:sz w:val="20"/>
                <w:szCs w:val="20"/>
                <w:lang w:val="en-US" w:eastAsia="zh-CN"/>
              </w:rPr>
              <w:t>综合</w:t>
            </w:r>
            <w:r>
              <w:rPr>
                <w:rFonts w:hint="eastAsia" w:ascii="宋体" w:hAnsi="宋体" w:eastAsia="宋体" w:cs="宋体"/>
                <w:sz w:val="20"/>
                <w:szCs w:val="20"/>
              </w:rPr>
              <w:t>能源托管技术咨询服务项目</w:t>
            </w:r>
          </w:p>
          <w:p w14:paraId="6B508B9C">
            <w:pPr>
              <w:pStyle w:val="6"/>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项目编号：FW-CW-CW-2026077</w:t>
            </w:r>
          </w:p>
          <w:p w14:paraId="3CDB945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rPr>
              <w:t>预算金额：</w:t>
            </w:r>
            <w:r>
              <w:rPr>
                <w:rFonts w:hint="eastAsia" w:ascii="宋体" w:hAnsi="宋体" w:eastAsia="宋体" w:cs="宋体"/>
                <w:sz w:val="20"/>
                <w:szCs w:val="20"/>
                <w:lang w:val="en-US" w:eastAsia="zh-CN"/>
              </w:rPr>
              <w:t>100000元（含税价且报价不能高于</w:t>
            </w:r>
            <w:r>
              <w:rPr>
                <w:rFonts w:hint="eastAsia" w:ascii="宋体" w:hAnsi="宋体" w:eastAsia="宋体" w:cs="宋体"/>
                <w:sz w:val="20"/>
                <w:szCs w:val="20"/>
              </w:rPr>
              <w:t>预算金额</w:t>
            </w:r>
            <w:r>
              <w:rPr>
                <w:rFonts w:hint="eastAsia" w:ascii="宋体" w:hAnsi="宋体" w:eastAsia="宋体" w:cs="宋体"/>
                <w:sz w:val="20"/>
                <w:szCs w:val="20"/>
                <w:lang w:val="en-US" w:eastAsia="zh-CN"/>
              </w:rPr>
              <w:t>）</w:t>
            </w:r>
          </w:p>
          <w:p w14:paraId="387D4BF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服务期限：自合同签订生效日起综合能源托管项目结束</w:t>
            </w:r>
          </w:p>
          <w:p w14:paraId="63A328B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5. </w:t>
            </w:r>
            <w:r>
              <w:rPr>
                <w:rFonts w:hint="eastAsia" w:ascii="宋体" w:hAnsi="宋体" w:eastAsia="宋体" w:cs="宋体"/>
                <w:sz w:val="20"/>
                <w:szCs w:val="20"/>
              </w:rPr>
              <w:t>服务地点</w:t>
            </w:r>
            <w:r>
              <w:rPr>
                <w:rFonts w:hint="eastAsia" w:ascii="宋体" w:hAnsi="宋体" w:eastAsia="宋体" w:cs="宋体"/>
                <w:sz w:val="20"/>
                <w:szCs w:val="20"/>
                <w:lang w:eastAsia="zh-CN"/>
              </w:rPr>
              <w:t>：</w:t>
            </w:r>
            <w:r>
              <w:rPr>
                <w:rFonts w:hint="eastAsia" w:ascii="宋体" w:hAnsi="宋体" w:eastAsia="宋体" w:cs="宋体"/>
                <w:sz w:val="20"/>
                <w:szCs w:val="20"/>
              </w:rPr>
              <w:t>采购人指定地点</w:t>
            </w:r>
          </w:p>
          <w:p w14:paraId="61B6648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6. </w:t>
            </w:r>
            <w:r>
              <w:rPr>
                <w:rFonts w:hint="eastAsia" w:ascii="宋体" w:hAnsi="宋体" w:eastAsia="宋体" w:cs="宋体"/>
                <w:sz w:val="20"/>
                <w:szCs w:val="20"/>
                <w:lang w:eastAsia="zh-CN"/>
              </w:rPr>
              <w:t>服务内容</w:t>
            </w:r>
            <w:r>
              <w:rPr>
                <w:rFonts w:hint="eastAsia" w:ascii="宋体" w:hAnsi="宋体" w:eastAsia="宋体" w:cs="宋体"/>
                <w:sz w:val="20"/>
                <w:szCs w:val="20"/>
              </w:rPr>
              <w:t>：聘请专业技术服务单位</w:t>
            </w:r>
            <w:r>
              <w:rPr>
                <w:rFonts w:hint="eastAsia" w:ascii="宋体" w:hAnsi="宋体" w:eastAsia="宋体" w:cs="宋体"/>
                <w:sz w:val="20"/>
                <w:szCs w:val="20"/>
                <w:lang w:eastAsia="zh-CN"/>
              </w:rPr>
              <w:t>，</w:t>
            </w:r>
            <w:r>
              <w:rPr>
                <w:rFonts w:hint="eastAsia" w:ascii="宋体" w:hAnsi="宋体" w:eastAsia="宋体" w:cs="宋体"/>
                <w:sz w:val="20"/>
                <w:szCs w:val="20"/>
              </w:rPr>
              <w:t>对医院能源托管项目（空调冷水机组、热水、照明、中央空调末端、电梯、光伏发电、充电桩、管理系统</w:t>
            </w:r>
            <w:r>
              <w:rPr>
                <w:rFonts w:hint="eastAsia" w:ascii="宋体" w:hAnsi="宋体" w:eastAsia="宋体" w:cs="宋体"/>
                <w:sz w:val="20"/>
                <w:szCs w:val="20"/>
                <w:lang w:val="en-US" w:eastAsia="zh-CN"/>
              </w:rPr>
              <w:t>等</w:t>
            </w:r>
            <w:r>
              <w:rPr>
                <w:rFonts w:hint="eastAsia" w:ascii="宋体" w:hAnsi="宋体" w:eastAsia="宋体" w:cs="宋体"/>
                <w:sz w:val="20"/>
                <w:szCs w:val="20"/>
              </w:rPr>
              <w:t>的技术改造）提供第三方全流程技术咨询服务，协助审查项目技术改造方案、招标需求、招标文件</w:t>
            </w:r>
            <w:r>
              <w:rPr>
                <w:rFonts w:hint="eastAsia" w:ascii="宋体" w:hAnsi="宋体" w:eastAsia="宋体" w:cs="宋体"/>
                <w:sz w:val="20"/>
                <w:szCs w:val="20"/>
                <w:lang w:eastAsia="zh-CN"/>
              </w:rPr>
              <w:t>及</w:t>
            </w:r>
            <w:r>
              <w:rPr>
                <w:rFonts w:hint="eastAsia" w:ascii="宋体" w:hAnsi="宋体" w:eastAsia="宋体" w:cs="宋体"/>
                <w:sz w:val="20"/>
                <w:szCs w:val="20"/>
              </w:rPr>
              <w:t>改造后产生的节能效果，核定项目改造完成后的实际节能</w:t>
            </w:r>
            <w:r>
              <w:rPr>
                <w:rFonts w:hint="eastAsia" w:ascii="宋体" w:hAnsi="宋体" w:eastAsia="宋体" w:cs="宋体"/>
                <w:sz w:val="20"/>
                <w:szCs w:val="20"/>
                <w:lang w:eastAsia="zh-CN"/>
              </w:rPr>
              <w:t>量</w:t>
            </w:r>
            <w:r>
              <w:rPr>
                <w:rFonts w:hint="eastAsia" w:ascii="宋体" w:hAnsi="宋体" w:eastAsia="宋体" w:cs="宋体"/>
                <w:sz w:val="20"/>
                <w:szCs w:val="20"/>
              </w:rPr>
              <w:t>，为医院实施的能源托管</w:t>
            </w:r>
            <w:r>
              <w:rPr>
                <w:rFonts w:hint="eastAsia" w:ascii="宋体" w:hAnsi="宋体" w:eastAsia="宋体" w:cs="宋体"/>
                <w:sz w:val="20"/>
                <w:szCs w:val="20"/>
                <w:lang w:val="en-US" w:eastAsia="zh-CN"/>
              </w:rPr>
              <w:t>项目</w:t>
            </w:r>
            <w:r>
              <w:rPr>
                <w:rFonts w:hint="eastAsia" w:ascii="宋体" w:hAnsi="宋体" w:eastAsia="宋体" w:cs="宋体"/>
                <w:sz w:val="20"/>
                <w:szCs w:val="20"/>
              </w:rPr>
              <w:t>提供事前、事中、事后全方位服务。</w:t>
            </w:r>
          </w:p>
          <w:p w14:paraId="6CA84B98">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 xml:space="preserve">7. </w:t>
            </w:r>
            <w:r>
              <w:rPr>
                <w:rFonts w:hint="eastAsia" w:ascii="宋体" w:hAnsi="宋体" w:eastAsia="宋体" w:cs="宋体"/>
                <w:sz w:val="20"/>
                <w:szCs w:val="20"/>
              </w:rPr>
              <w:t>文件中标有“★”的地方均被视为重要的响应条款，供应商必须完全响应。若有一项带“★”的要求未响应或不满足，将不通过资格性、符合性审查。</w:t>
            </w:r>
          </w:p>
        </w:tc>
        <w:tc>
          <w:tcPr>
            <w:tcW w:w="1425" w:type="dxa"/>
          </w:tcPr>
          <w:p w14:paraId="03ED26DE">
            <w:pPr>
              <w:pStyle w:val="13"/>
              <w:rPr>
                <w:rFonts w:ascii="宋体" w:hAnsi="宋体" w:eastAsia="宋体" w:cs="宋体"/>
                <w:lang w:eastAsia="zh-CN"/>
              </w:rPr>
            </w:pPr>
          </w:p>
        </w:tc>
        <w:tc>
          <w:tcPr>
            <w:tcW w:w="978" w:type="dxa"/>
          </w:tcPr>
          <w:p w14:paraId="314D7EEC">
            <w:pPr>
              <w:pStyle w:val="13"/>
              <w:rPr>
                <w:rFonts w:ascii="宋体" w:hAnsi="宋体" w:eastAsia="宋体" w:cs="宋体"/>
                <w:lang w:eastAsia="zh-CN"/>
              </w:rPr>
            </w:pPr>
          </w:p>
        </w:tc>
        <w:tc>
          <w:tcPr>
            <w:tcW w:w="1065" w:type="dxa"/>
          </w:tcPr>
          <w:p w14:paraId="0A9D39B5">
            <w:pPr>
              <w:pStyle w:val="13"/>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47" w:type="dxa"/>
          </w:tcPr>
          <w:p w14:paraId="04AEEA3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二、服务内容</w:t>
            </w:r>
          </w:p>
          <w:p w14:paraId="5D5E064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与医院进行交流咨询，了解目前医院中央空调冷水机组、分体空调、热水、电梯、照明系统等用能情况；</w:t>
            </w:r>
          </w:p>
          <w:p w14:paraId="585F7A9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分析中央空调冷水机组、中央空调末端、分体空调、照明系统、热水、电梯、光伏发电、充电桩、管理系统等提供第三方全流程设计方案和途径，组织专家（需持有建筑工程暖通专业或机电专业中级及以上资质证书）论证方案的可行性、产生的节能效果并出具论证报告，预计项目实施对医院正常运营产生的影响，拟定项目节能量核算方案，估算项目节能量，核实投资概算；根据医院需求，按照《公共机构能源费用托管实施规程》（JST 301-2024）要求，协助确定项目采购需求，并协助医院设立招投标条件和招标文件审核等事宜。</w:t>
            </w:r>
          </w:p>
          <w:p w14:paraId="3A4DE9D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项目实施前，作为公共机构能源费用托管前期评估工作第三方机构，完成前期评估相关工作，包括：确定空调冷水机组、分体空调、热水、照明系统、电梯等用能边界，并进行测试，核定改造前用能情况，并出具</w:t>
            </w:r>
            <w:r>
              <w:rPr>
                <w:rFonts w:hint="eastAsia" w:ascii="宋体" w:hAnsi="宋体" w:eastAsia="宋体" w:cs="宋体"/>
                <w:sz w:val="20"/>
                <w:szCs w:val="20"/>
                <w:lang w:val="en-US" w:eastAsia="zh-CN"/>
              </w:rPr>
              <w:t>具</w:t>
            </w:r>
            <w:r>
              <w:rPr>
                <w:rFonts w:hint="eastAsia" w:ascii="宋体" w:hAnsi="宋体" w:eastAsia="宋体" w:cs="宋体"/>
                <w:sz w:val="20"/>
                <w:szCs w:val="20"/>
                <w:lang w:eastAsia="zh-CN"/>
              </w:rPr>
              <w:t>有法律效力的项目改造前用能测试报告等。</w:t>
            </w:r>
          </w:p>
          <w:p w14:paraId="38840B7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节能改造过程中，全程跟踪项目改造情况，落实改造方案的设计要点执行情况，监督项目施工质量以及文明、安全施工。</w:t>
            </w:r>
          </w:p>
          <w:p w14:paraId="700F5CE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节能技术改造实施完成后，组织项目的评估、验收工作，对项目改造后节能效果和用能情况进行测试，出具具有法律效力的项目节能量审核报告。</w:t>
            </w:r>
          </w:p>
          <w:p w14:paraId="55B972B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根据项目投资建设方式的需求，拟定项目运行期的节能效果定期评价方案。本次</w:t>
            </w:r>
            <w:r>
              <w:rPr>
                <w:rFonts w:hint="eastAsia" w:ascii="宋体" w:hAnsi="宋体" w:eastAsia="宋体" w:cs="宋体"/>
                <w:sz w:val="20"/>
                <w:szCs w:val="20"/>
                <w:lang w:val="en-US" w:eastAsia="zh-CN"/>
              </w:rPr>
              <w:t>节能</w:t>
            </w:r>
            <w:r>
              <w:rPr>
                <w:rFonts w:hint="eastAsia" w:ascii="宋体" w:hAnsi="宋体" w:eastAsia="宋体" w:cs="宋体"/>
                <w:sz w:val="20"/>
                <w:szCs w:val="20"/>
                <w:lang w:eastAsia="zh-CN"/>
              </w:rPr>
              <w:t>技术改造项目采用</w:t>
            </w:r>
            <w:r>
              <w:rPr>
                <w:rFonts w:hint="eastAsia" w:ascii="宋体" w:hAnsi="宋体" w:eastAsia="宋体" w:cs="宋体"/>
                <w:sz w:val="20"/>
                <w:szCs w:val="20"/>
                <w:lang w:val="en-US" w:eastAsia="zh-CN"/>
              </w:rPr>
              <w:t>综合</w:t>
            </w:r>
            <w:r>
              <w:rPr>
                <w:rFonts w:hint="eastAsia" w:ascii="宋体" w:hAnsi="宋体" w:eastAsia="宋体" w:cs="宋体"/>
                <w:sz w:val="20"/>
                <w:szCs w:val="20"/>
                <w:lang w:eastAsia="zh-CN"/>
              </w:rPr>
              <w:t>能源</w:t>
            </w:r>
            <w:r>
              <w:rPr>
                <w:rFonts w:hint="eastAsia" w:ascii="宋体" w:hAnsi="宋体" w:eastAsia="宋体" w:cs="宋体"/>
                <w:sz w:val="20"/>
                <w:szCs w:val="20"/>
                <w:lang w:val="en-US" w:eastAsia="zh-CN"/>
              </w:rPr>
              <w:t>托管</w:t>
            </w:r>
            <w:r>
              <w:rPr>
                <w:rFonts w:hint="eastAsia" w:ascii="宋体" w:hAnsi="宋体" w:eastAsia="宋体" w:cs="宋体"/>
                <w:sz w:val="20"/>
                <w:szCs w:val="20"/>
                <w:lang w:eastAsia="zh-CN"/>
              </w:rPr>
              <w:t>模式（托管期10年），需提供四次核定项目实际节能效果，拟在</w:t>
            </w:r>
            <w:r>
              <w:rPr>
                <w:rFonts w:hint="eastAsia" w:ascii="宋体" w:hAnsi="宋体" w:eastAsia="宋体" w:cs="宋体"/>
                <w:sz w:val="20"/>
                <w:szCs w:val="20"/>
                <w:lang w:val="en-US" w:eastAsia="zh-CN"/>
              </w:rPr>
              <w:t>综合能源托管</w:t>
            </w:r>
            <w:r>
              <w:rPr>
                <w:rFonts w:hint="eastAsia" w:ascii="宋体" w:hAnsi="宋体" w:eastAsia="宋体" w:cs="宋体"/>
                <w:sz w:val="20"/>
                <w:szCs w:val="20"/>
                <w:lang w:eastAsia="zh-CN"/>
              </w:rPr>
              <w:t>后的第一年、第四年、第七年、第十年</w:t>
            </w:r>
            <w:r>
              <w:rPr>
                <w:rFonts w:hint="eastAsia" w:ascii="宋体" w:hAnsi="宋体" w:eastAsia="宋体" w:cs="宋体"/>
                <w:sz w:val="20"/>
                <w:szCs w:val="20"/>
                <w:lang w:val="en-US" w:eastAsia="zh-CN"/>
              </w:rPr>
              <w:t>评估</w:t>
            </w:r>
            <w:r>
              <w:rPr>
                <w:rFonts w:hint="eastAsia" w:ascii="宋体" w:hAnsi="宋体" w:eastAsia="宋体" w:cs="宋体"/>
                <w:sz w:val="20"/>
                <w:szCs w:val="20"/>
                <w:lang w:eastAsia="zh-CN"/>
              </w:rPr>
              <w:t>节能</w:t>
            </w:r>
            <w:r>
              <w:rPr>
                <w:rFonts w:hint="eastAsia" w:ascii="宋体" w:hAnsi="宋体" w:eastAsia="宋体" w:cs="宋体"/>
                <w:sz w:val="20"/>
                <w:szCs w:val="20"/>
                <w:lang w:val="en-US" w:eastAsia="zh-CN"/>
              </w:rPr>
              <w:t>效果</w:t>
            </w:r>
            <w:r>
              <w:rPr>
                <w:rFonts w:hint="eastAsia" w:ascii="宋体" w:hAnsi="宋体" w:eastAsia="宋体" w:cs="宋体"/>
                <w:sz w:val="20"/>
                <w:szCs w:val="20"/>
                <w:lang w:eastAsia="zh-CN"/>
              </w:rPr>
              <w:t>，出具节能效</w:t>
            </w:r>
            <w:r>
              <w:rPr>
                <w:rFonts w:hint="eastAsia" w:ascii="宋体" w:hAnsi="宋体" w:eastAsia="宋体" w:cs="宋体"/>
                <w:sz w:val="20"/>
                <w:szCs w:val="20"/>
                <w:lang w:val="en-US" w:eastAsia="zh-CN"/>
              </w:rPr>
              <w:t>果</w:t>
            </w:r>
            <w:r>
              <w:rPr>
                <w:rFonts w:hint="eastAsia" w:ascii="宋体" w:hAnsi="宋体" w:eastAsia="宋体" w:cs="宋体"/>
                <w:sz w:val="20"/>
                <w:szCs w:val="20"/>
                <w:lang w:eastAsia="zh-CN"/>
              </w:rPr>
              <w:t>评估报告（共4份），可作为项目经济效益或托管费用财务费用结算依据。</w:t>
            </w:r>
          </w:p>
          <w:p w14:paraId="408D174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为本项目提供后续增值服务的技术咨询服务方，根据相关扶持政策情况，负责医院的项目申请节能专项资金奖补等，或申报节约型机关等咨询服务。具体服务方式、方案另议。</w:t>
            </w:r>
          </w:p>
          <w:p w14:paraId="5301FACB">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 咨询服务内容详见下表《咨询服务内容明细表》：</w:t>
            </w:r>
          </w:p>
          <w:p w14:paraId="156B4C6B">
            <w:pPr>
              <w:widowControl w:val="0"/>
              <w:spacing w:line="240" w:lineRule="exact"/>
              <w:jc w:val="center"/>
              <w:rPr>
                <w:rFonts w:hint="eastAsia" w:ascii="宋体" w:hAnsi="宋体" w:eastAsia="宋体" w:cs="宋体"/>
                <w:sz w:val="20"/>
                <w:szCs w:val="20"/>
                <w:lang w:eastAsia="zh-CN"/>
              </w:rPr>
            </w:pPr>
            <w:r>
              <w:rPr>
                <w:rFonts w:hint="eastAsia" w:ascii="宋体" w:hAnsi="宋体" w:eastAsia="宋体" w:cs="宋体"/>
                <w:sz w:val="20"/>
                <w:szCs w:val="20"/>
                <w:lang w:eastAsia="zh-CN"/>
              </w:rPr>
              <w:t>咨询服务</w:t>
            </w:r>
            <w:r>
              <w:rPr>
                <w:rFonts w:hint="eastAsia" w:ascii="宋体" w:hAnsi="宋体" w:eastAsia="宋体" w:cs="宋体"/>
                <w:sz w:val="20"/>
                <w:szCs w:val="20"/>
                <w:lang w:val="en-US" w:eastAsia="zh-CN"/>
              </w:rPr>
              <w:t>内容</w:t>
            </w:r>
            <w:r>
              <w:rPr>
                <w:rFonts w:hint="eastAsia" w:ascii="宋体" w:hAnsi="宋体" w:eastAsia="宋体" w:cs="宋体"/>
                <w:sz w:val="20"/>
                <w:szCs w:val="20"/>
                <w:lang w:eastAsia="zh-CN"/>
              </w:rPr>
              <w:t>明细表</w:t>
            </w:r>
          </w:p>
          <w:tbl>
            <w:tblPr>
              <w:tblStyle w:val="8"/>
              <w:tblW w:w="5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690"/>
              <w:gridCol w:w="3469"/>
            </w:tblGrid>
            <w:tr w14:paraId="1B11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23" w:hRule="atLeast"/>
                <w:jc w:val="center"/>
              </w:trPr>
              <w:tc>
                <w:tcPr>
                  <w:tcW w:w="1690" w:type="dxa"/>
                  <w:vAlign w:val="center"/>
                </w:tcPr>
                <w:p w14:paraId="28C51DA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序号</w:t>
                  </w:r>
                </w:p>
              </w:tc>
              <w:tc>
                <w:tcPr>
                  <w:tcW w:w="3469" w:type="dxa"/>
                  <w:vAlign w:val="center"/>
                </w:tcPr>
                <w:p w14:paraId="47F03B7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服务内容</w:t>
                  </w:r>
                </w:p>
              </w:tc>
            </w:tr>
            <w:tr w14:paraId="16A6D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23" w:hRule="atLeast"/>
                <w:jc w:val="center"/>
              </w:trPr>
              <w:tc>
                <w:tcPr>
                  <w:tcW w:w="1690" w:type="dxa"/>
                  <w:vAlign w:val="center"/>
                </w:tcPr>
                <w:p w14:paraId="640D6D5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p>
              </w:tc>
              <w:tc>
                <w:tcPr>
                  <w:tcW w:w="3469" w:type="dxa"/>
                  <w:vAlign w:val="center"/>
                </w:tcPr>
                <w:p w14:paraId="419725E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方案论证费用</w:t>
                  </w:r>
                </w:p>
              </w:tc>
            </w:tr>
            <w:tr w14:paraId="328A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23" w:hRule="atLeast"/>
                <w:jc w:val="center"/>
              </w:trPr>
              <w:tc>
                <w:tcPr>
                  <w:tcW w:w="1690" w:type="dxa"/>
                  <w:vAlign w:val="center"/>
                </w:tcPr>
                <w:p w14:paraId="6A0B33C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p>
              </w:tc>
              <w:tc>
                <w:tcPr>
                  <w:tcW w:w="3469" w:type="dxa"/>
                  <w:vAlign w:val="center"/>
                </w:tcPr>
                <w:p w14:paraId="63A17C4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改造前用能测试报告</w:t>
                  </w:r>
                </w:p>
              </w:tc>
            </w:tr>
            <w:tr w14:paraId="4740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23" w:hRule="atLeast"/>
                <w:jc w:val="center"/>
              </w:trPr>
              <w:tc>
                <w:tcPr>
                  <w:tcW w:w="1690" w:type="dxa"/>
                  <w:vAlign w:val="center"/>
                </w:tcPr>
                <w:p w14:paraId="55FEF3D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p>
              </w:tc>
              <w:tc>
                <w:tcPr>
                  <w:tcW w:w="3469" w:type="dxa"/>
                  <w:vAlign w:val="center"/>
                </w:tcPr>
                <w:p w14:paraId="6AA54A8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改造后第三方节能量审核报告</w:t>
                  </w:r>
                </w:p>
              </w:tc>
            </w:tr>
            <w:tr w14:paraId="73810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23" w:hRule="atLeast"/>
                <w:jc w:val="center"/>
              </w:trPr>
              <w:tc>
                <w:tcPr>
                  <w:tcW w:w="1690" w:type="dxa"/>
                  <w:vAlign w:val="center"/>
                </w:tcPr>
                <w:p w14:paraId="4936356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p>
              </w:tc>
              <w:tc>
                <w:tcPr>
                  <w:tcW w:w="3469" w:type="dxa"/>
                  <w:vAlign w:val="center"/>
                </w:tcPr>
                <w:p w14:paraId="4317F84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资料打印费、交通费</w:t>
                  </w:r>
                </w:p>
              </w:tc>
            </w:tr>
            <w:tr w14:paraId="7B65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23" w:hRule="atLeast"/>
                <w:jc w:val="center"/>
              </w:trPr>
              <w:tc>
                <w:tcPr>
                  <w:tcW w:w="1690" w:type="dxa"/>
                  <w:vAlign w:val="center"/>
                </w:tcPr>
                <w:p w14:paraId="6340253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p>
              </w:tc>
              <w:tc>
                <w:tcPr>
                  <w:tcW w:w="3469" w:type="dxa"/>
                  <w:vAlign w:val="center"/>
                </w:tcPr>
                <w:p w14:paraId="648E3BB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技术咨询及监理费用（人工费）</w:t>
                  </w:r>
                </w:p>
              </w:tc>
            </w:tr>
            <w:tr w14:paraId="2556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23" w:hRule="atLeast"/>
                <w:jc w:val="center"/>
              </w:trPr>
              <w:tc>
                <w:tcPr>
                  <w:tcW w:w="1690" w:type="dxa"/>
                  <w:vAlign w:val="center"/>
                </w:tcPr>
                <w:p w14:paraId="0C8FB04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p>
              </w:tc>
              <w:tc>
                <w:tcPr>
                  <w:tcW w:w="3469" w:type="dxa"/>
                  <w:vAlign w:val="center"/>
                </w:tcPr>
                <w:p w14:paraId="1593463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出具四次能源改造效果评估报告</w:t>
                  </w:r>
                </w:p>
              </w:tc>
            </w:tr>
          </w:tbl>
          <w:p w14:paraId="575EFA2A">
            <w:pPr>
              <w:widowControl w:val="0"/>
              <w:spacing w:line="240" w:lineRule="exact"/>
              <w:rPr>
                <w:rFonts w:ascii="宋体" w:hAnsi="宋体" w:eastAsia="宋体" w:cs="宋体"/>
                <w:sz w:val="20"/>
                <w:szCs w:val="20"/>
                <w:lang w:eastAsia="zh-CN"/>
              </w:rPr>
            </w:pPr>
          </w:p>
        </w:tc>
        <w:tc>
          <w:tcPr>
            <w:tcW w:w="1425" w:type="dxa"/>
          </w:tcPr>
          <w:p w14:paraId="69CF45F5">
            <w:pPr>
              <w:pStyle w:val="13"/>
              <w:rPr>
                <w:rFonts w:ascii="宋体" w:hAnsi="宋体" w:eastAsia="宋体" w:cs="宋体"/>
                <w:lang w:eastAsia="zh-CN"/>
              </w:rPr>
            </w:pPr>
          </w:p>
        </w:tc>
        <w:tc>
          <w:tcPr>
            <w:tcW w:w="978" w:type="dxa"/>
          </w:tcPr>
          <w:p w14:paraId="4B1E84E1">
            <w:pPr>
              <w:pStyle w:val="13"/>
              <w:rPr>
                <w:rFonts w:ascii="宋体" w:hAnsi="宋体" w:eastAsia="宋体" w:cs="宋体"/>
                <w:lang w:eastAsia="zh-CN"/>
              </w:rPr>
            </w:pPr>
          </w:p>
        </w:tc>
        <w:tc>
          <w:tcPr>
            <w:tcW w:w="1065" w:type="dxa"/>
          </w:tcPr>
          <w:p w14:paraId="050D5957">
            <w:pPr>
              <w:pStyle w:val="13"/>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47" w:type="dxa"/>
          </w:tcPr>
          <w:p w14:paraId="6FB958D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三、供应商及委派人员的要求</w:t>
            </w:r>
          </w:p>
          <w:p w14:paraId="359EFF28">
            <w:pPr>
              <w:widowControl w:val="0"/>
              <w:spacing w:line="240" w:lineRule="exact"/>
              <w:rPr>
                <w:rFonts w:hint="default" w:ascii="宋体" w:hAnsi="宋体" w:eastAsia="宋体" w:cs="宋体"/>
                <w:sz w:val="20"/>
                <w:szCs w:val="20"/>
                <w:lang w:val="en-US"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一）供应商资格要求</w:t>
            </w:r>
          </w:p>
          <w:p w14:paraId="6E01218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 响应供应商须为在中华人民共和国境内依法注册，能够独立承担民事责任的企业法人、其他组织或自然人。若分支机构参与投标，须提供总公司的营业执照复印件及分公司营业执照复印件，并附具总公司出具给分支机构的有效授权书。</w:t>
            </w:r>
          </w:p>
          <w:p w14:paraId="5D49F7D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 响应供应商须持有合法有效的营业执照，且经营业务范围须包含能源审计、节能评估及能耗检测等方面。</w:t>
            </w:r>
          </w:p>
          <w:p w14:paraId="052EFB2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 响应供应商须具备相应的项目承接能力、合同履约能力及售后服务能力，确保所提供产品品质可靠，符合国家相关标准与规定，并具备稳定的供货渠道和充足的库存，以保证及时供应。</w:t>
            </w:r>
          </w:p>
          <w:p w14:paraId="43F3746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 响应供应商须具备良好的商业信誉和健全的财务会计制度，并依法履行纳税及缴纳社会保障资金的义务。</w:t>
            </w:r>
          </w:p>
          <w:p w14:paraId="10C2E88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 响应供应商在参与公开招标活动中不得存在违法违纪行为并受到处罚，亦不得存在围标、串标等违规行为。</w:t>
            </w:r>
          </w:p>
          <w:p w14:paraId="6A10BEE8">
            <w:pPr>
              <w:widowControl w:val="0"/>
              <w:spacing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（二）委派人员要求</w:t>
            </w:r>
          </w:p>
          <w:p w14:paraId="37C9F6A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成交供应商须按其签订合同中承诺提供的项目组主要负责人员必须按要求投入到本项目中，在合同期内不得擅自更换。成交供应商如因工作安排或其他原因，需要更换项目组主要负责人员时，应事前向采购人书面提出申请；未经采购人同意，不得更换人员。</w:t>
            </w:r>
          </w:p>
          <w:p w14:paraId="25C018AE">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如成交供应商未经采购人书面同意擅自更换项目组主要负责人员，采购人有权终止合同，由此引致的经济损失，成交供应商须全额赔偿，采购人保留追究成交供应商相关责任的权利。</w:t>
            </w:r>
          </w:p>
          <w:p w14:paraId="29E856BF">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即使是采购人要求或同意更换的人员，其代替人员的资质仍应得到采购人的认可，且其资历和经验均不低于被更换人员，由此而产生的费用由成交供应商承担。</w:t>
            </w:r>
          </w:p>
          <w:p w14:paraId="1C1C4E1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成交供应商拟委派的人员必须按国家规定签订劳动合同，该员工的劳动报酬、社会保险、劳动保护、劳动条件和职业危害防护等方面均在劳动合同条款中按国家、省及市的有关规定得到保障。</w:t>
            </w:r>
          </w:p>
          <w:p w14:paraId="65DDC98B">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5</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成交供应商及其委派人员对其为采购人提供服务期间所知晓或掌控的涉及采购人业务、项目、管理、人员、物资等各方非公开或公示信息负有保密义务。</w:t>
            </w:r>
          </w:p>
        </w:tc>
        <w:tc>
          <w:tcPr>
            <w:tcW w:w="1425" w:type="dxa"/>
          </w:tcPr>
          <w:p w14:paraId="50520806">
            <w:pPr>
              <w:pStyle w:val="13"/>
              <w:rPr>
                <w:rFonts w:ascii="宋体" w:hAnsi="宋体" w:eastAsia="宋体" w:cs="宋体"/>
                <w:lang w:eastAsia="zh-CN"/>
              </w:rPr>
            </w:pPr>
          </w:p>
        </w:tc>
        <w:tc>
          <w:tcPr>
            <w:tcW w:w="978" w:type="dxa"/>
          </w:tcPr>
          <w:p w14:paraId="27AC7BB1">
            <w:pPr>
              <w:pStyle w:val="13"/>
              <w:rPr>
                <w:rFonts w:ascii="宋体" w:hAnsi="宋体" w:eastAsia="宋体" w:cs="宋体"/>
                <w:lang w:eastAsia="zh-CN"/>
              </w:rPr>
            </w:pPr>
          </w:p>
        </w:tc>
        <w:tc>
          <w:tcPr>
            <w:tcW w:w="1065" w:type="dxa"/>
          </w:tcPr>
          <w:p w14:paraId="714423AC">
            <w:pPr>
              <w:pStyle w:val="13"/>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47" w:type="dxa"/>
          </w:tcPr>
          <w:p w14:paraId="073576A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四、报价要求：</w:t>
            </w:r>
          </w:p>
          <w:p w14:paraId="2920913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报价金额须为含税固定报价，不接受区间形式报价，且不得高于项目预算金额，否则将被判定为无效投标。</w:t>
            </w:r>
          </w:p>
          <w:p w14:paraId="0884866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供应商报价应为完成本项目全部内容：包括但不限于咨询费、劳务费、项目人力成本费、行政费、印刷费、设备费、各项税费、采购人提出应包含的费用、消耗用品费、中标服务费、不可预见费等完成本项目所需的一切费用。如出现任何遗漏内容需产生额外费用，均由供应商自行承担，采购人不再另支付任何费用。</w:t>
            </w:r>
          </w:p>
          <w:p w14:paraId="7479DC0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任何有选择性报价的投标，将被视为无效投标。</w:t>
            </w:r>
          </w:p>
          <w:p w14:paraId="55E8E76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 报价次数：1次。</w:t>
            </w:r>
          </w:p>
        </w:tc>
        <w:tc>
          <w:tcPr>
            <w:tcW w:w="1425" w:type="dxa"/>
          </w:tcPr>
          <w:p w14:paraId="1976FE37">
            <w:pPr>
              <w:pStyle w:val="13"/>
              <w:rPr>
                <w:rFonts w:ascii="宋体" w:hAnsi="宋体" w:eastAsia="宋体" w:cs="宋体"/>
                <w:lang w:eastAsia="zh-CN"/>
              </w:rPr>
            </w:pPr>
          </w:p>
        </w:tc>
        <w:tc>
          <w:tcPr>
            <w:tcW w:w="978" w:type="dxa"/>
          </w:tcPr>
          <w:p w14:paraId="23D2CAC8">
            <w:pPr>
              <w:pStyle w:val="13"/>
              <w:rPr>
                <w:rFonts w:ascii="宋体" w:hAnsi="宋体" w:eastAsia="宋体" w:cs="宋体"/>
                <w:lang w:eastAsia="zh-CN"/>
              </w:rPr>
            </w:pPr>
          </w:p>
        </w:tc>
        <w:tc>
          <w:tcPr>
            <w:tcW w:w="1065" w:type="dxa"/>
          </w:tcPr>
          <w:p w14:paraId="6941F157">
            <w:pPr>
              <w:pStyle w:val="13"/>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47" w:type="dxa"/>
          </w:tcPr>
          <w:p w14:paraId="1ADB737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五、★付款方式（</w:t>
            </w:r>
            <w:r>
              <w:rPr>
                <w:rFonts w:hint="eastAsia" w:ascii="宋体" w:hAnsi="宋体" w:eastAsia="宋体" w:cs="宋体"/>
                <w:sz w:val="20"/>
                <w:szCs w:val="20"/>
                <w:lang w:val="en-US" w:eastAsia="zh-CN"/>
              </w:rPr>
              <w:t>提供承诺函，格式自拟）</w:t>
            </w:r>
          </w:p>
          <w:p w14:paraId="7FEDD32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付款方式：</w:t>
            </w:r>
          </w:p>
          <w:p w14:paraId="1E91F8F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期：签订合同之日起</w:t>
            </w:r>
            <w:r>
              <w:rPr>
                <w:rFonts w:hint="eastAsia" w:ascii="宋体" w:hAnsi="宋体" w:eastAsia="宋体" w:cs="宋体"/>
                <w:sz w:val="20"/>
                <w:szCs w:val="20"/>
                <w:lang w:val="en-US" w:eastAsia="zh-CN"/>
              </w:rPr>
              <w:t>6个月</w:t>
            </w:r>
            <w:r>
              <w:rPr>
                <w:rFonts w:hint="eastAsia" w:ascii="宋体" w:hAnsi="宋体" w:eastAsia="宋体" w:cs="宋体"/>
                <w:sz w:val="20"/>
                <w:szCs w:val="20"/>
                <w:lang w:eastAsia="zh-CN"/>
              </w:rPr>
              <w:t>内，支付服务费用总额50%。</w:t>
            </w:r>
          </w:p>
          <w:p w14:paraId="32A8525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期：项目通过验收后，</w:t>
            </w:r>
            <w:r>
              <w:rPr>
                <w:rFonts w:hint="eastAsia" w:ascii="宋体" w:hAnsi="宋体" w:eastAsia="宋体" w:cs="宋体"/>
                <w:sz w:val="20"/>
                <w:szCs w:val="20"/>
                <w:lang w:val="en-US" w:eastAsia="zh-CN"/>
              </w:rPr>
              <w:t>1个月</w:t>
            </w:r>
            <w:r>
              <w:rPr>
                <w:rFonts w:hint="eastAsia" w:ascii="宋体" w:hAnsi="宋体" w:eastAsia="宋体" w:cs="宋体"/>
                <w:sz w:val="20"/>
                <w:szCs w:val="20"/>
                <w:lang w:eastAsia="zh-CN"/>
              </w:rPr>
              <w:t>内支付服务费用总额3</w:t>
            </w:r>
            <w:r>
              <w:rPr>
                <w:rFonts w:hint="eastAsia" w:ascii="宋体" w:hAnsi="宋体" w:eastAsia="宋体" w:cs="宋体"/>
                <w:sz w:val="20"/>
                <w:szCs w:val="20"/>
                <w:lang w:val="en-US" w:eastAsia="zh-CN"/>
              </w:rPr>
              <w:t>0</w:t>
            </w:r>
            <w:r>
              <w:rPr>
                <w:rFonts w:hint="eastAsia" w:ascii="宋体" w:hAnsi="宋体" w:eastAsia="宋体" w:cs="宋体"/>
                <w:sz w:val="20"/>
                <w:szCs w:val="20"/>
                <w:lang w:eastAsia="zh-CN"/>
              </w:rPr>
              <w:t>%。</w:t>
            </w:r>
          </w:p>
          <w:p w14:paraId="4643326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期：在每</w:t>
            </w:r>
            <w:r>
              <w:rPr>
                <w:rFonts w:hint="eastAsia" w:ascii="宋体" w:hAnsi="宋体" w:eastAsia="宋体" w:cs="宋体"/>
                <w:sz w:val="20"/>
                <w:szCs w:val="20"/>
                <w:lang w:val="en-US" w:eastAsia="zh-CN"/>
              </w:rPr>
              <w:t>次</w:t>
            </w:r>
            <w:r>
              <w:rPr>
                <w:rFonts w:hint="eastAsia" w:ascii="宋体" w:hAnsi="宋体" w:eastAsia="宋体" w:cs="宋体"/>
                <w:sz w:val="20"/>
                <w:szCs w:val="20"/>
                <w:lang w:eastAsia="zh-CN"/>
              </w:rPr>
              <w:t>出具</w:t>
            </w:r>
            <w:r>
              <w:rPr>
                <w:rFonts w:hint="eastAsia" w:ascii="宋体" w:hAnsi="宋体" w:eastAsia="宋体" w:cs="宋体"/>
                <w:sz w:val="20"/>
                <w:szCs w:val="20"/>
                <w:lang w:val="en-US" w:eastAsia="zh-CN"/>
              </w:rPr>
              <w:t>项目</w:t>
            </w:r>
            <w:r>
              <w:rPr>
                <w:rFonts w:hint="eastAsia" w:ascii="宋体" w:hAnsi="宋体" w:eastAsia="宋体" w:cs="宋体"/>
                <w:sz w:val="20"/>
                <w:szCs w:val="20"/>
                <w:lang w:eastAsia="zh-CN"/>
              </w:rPr>
              <w:t>评估报告后</w:t>
            </w:r>
            <w:r>
              <w:rPr>
                <w:rFonts w:hint="eastAsia" w:ascii="宋体" w:hAnsi="宋体" w:eastAsia="宋体" w:cs="宋体"/>
                <w:sz w:val="20"/>
                <w:szCs w:val="20"/>
                <w:lang w:val="en-US" w:eastAsia="zh-CN"/>
              </w:rPr>
              <w:t>1个月内</w:t>
            </w:r>
            <w:r>
              <w:rPr>
                <w:rFonts w:hint="eastAsia" w:ascii="宋体" w:hAnsi="宋体" w:eastAsia="宋体" w:cs="宋体"/>
                <w:sz w:val="20"/>
                <w:szCs w:val="20"/>
                <w:lang w:eastAsia="zh-CN"/>
              </w:rPr>
              <w:t>支付服务费用总额</w:t>
            </w:r>
            <w:r>
              <w:rPr>
                <w:rFonts w:hint="eastAsia" w:ascii="宋体" w:hAnsi="宋体" w:eastAsia="宋体" w:cs="宋体"/>
                <w:sz w:val="20"/>
                <w:szCs w:val="20"/>
                <w:lang w:val="en-US" w:eastAsia="zh-CN"/>
              </w:rPr>
              <w:t>5</w:t>
            </w:r>
            <w:r>
              <w:rPr>
                <w:rFonts w:hint="eastAsia" w:ascii="宋体" w:hAnsi="宋体" w:eastAsia="宋体" w:cs="宋体"/>
                <w:sz w:val="20"/>
                <w:szCs w:val="20"/>
                <w:lang w:eastAsia="zh-CN"/>
              </w:rPr>
              <w:t>%。</w:t>
            </w:r>
          </w:p>
          <w:p w14:paraId="6B0231F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每次付款时，开具当期发票给采购人，收款方、出具发票方、合同乙方均必须与成交供应商名称一致。</w:t>
            </w:r>
          </w:p>
          <w:p w14:paraId="1DE0C96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lang w:eastAsia="zh-CN"/>
              </w:rPr>
              <w:t>成交供应商凭以下有效文件与采购人结算：</w:t>
            </w:r>
          </w:p>
          <w:p w14:paraId="75AF111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①</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合同；</w:t>
            </w:r>
          </w:p>
          <w:p w14:paraId="586B508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②</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成交供应商开具的正式发票；</w:t>
            </w:r>
          </w:p>
          <w:p w14:paraId="513FCE6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③</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验收报告（加盖采购人公章）（申请合同余款时）（如有）；</w:t>
            </w:r>
          </w:p>
          <w:p w14:paraId="2759B88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④</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成交通知书（首次提出付款申请）；</w:t>
            </w:r>
          </w:p>
          <w:p w14:paraId="22828BD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结算方式：转账结算（银行转账）；</w:t>
            </w:r>
          </w:p>
          <w:p w14:paraId="1314AA0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付款期间如因特殊情况需调整，由双方协商处理。</w:t>
            </w:r>
          </w:p>
          <w:p w14:paraId="6EFE7EB6">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6. 特别说明：合同约定的付款期限，遵守《保障中小企业款项支付条例》的规定。如成交供应商为中小企业，付款期限最长不超过60日。</w:t>
            </w:r>
          </w:p>
        </w:tc>
        <w:tc>
          <w:tcPr>
            <w:tcW w:w="1425" w:type="dxa"/>
          </w:tcPr>
          <w:p w14:paraId="556D3F97">
            <w:pPr>
              <w:pStyle w:val="13"/>
              <w:rPr>
                <w:rFonts w:ascii="宋体" w:hAnsi="宋体" w:eastAsia="宋体" w:cs="宋体"/>
                <w:lang w:eastAsia="zh-CN"/>
              </w:rPr>
            </w:pPr>
          </w:p>
        </w:tc>
        <w:tc>
          <w:tcPr>
            <w:tcW w:w="978" w:type="dxa"/>
          </w:tcPr>
          <w:p w14:paraId="59D2077F">
            <w:pPr>
              <w:pStyle w:val="13"/>
              <w:rPr>
                <w:rFonts w:ascii="宋体" w:hAnsi="宋体" w:eastAsia="宋体" w:cs="宋体"/>
                <w:lang w:eastAsia="zh-CN"/>
              </w:rPr>
            </w:pPr>
          </w:p>
        </w:tc>
        <w:tc>
          <w:tcPr>
            <w:tcW w:w="1065" w:type="dxa"/>
          </w:tcPr>
          <w:p w14:paraId="788F44CC">
            <w:pPr>
              <w:pStyle w:val="13"/>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775"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47" w:type="dxa"/>
          </w:tcPr>
          <w:p w14:paraId="70762BA6">
            <w:pPr>
              <w:widowControl w:val="0"/>
              <w:spacing w:line="240" w:lineRule="exact"/>
              <w:rPr>
                <w:rFonts w:hint="eastAsia" w:ascii="宋体" w:hAnsi="宋体" w:eastAsia="宋体" w:cs="宋体"/>
                <w:color w:val="auto"/>
                <w:sz w:val="20"/>
                <w:szCs w:val="20"/>
                <w:shd w:val="clear" w:color="auto" w:fill="FFFFFF"/>
                <w:lang w:val="zh-CN" w:eastAsia="zh-CN" w:bidi="ar"/>
              </w:rPr>
            </w:pPr>
            <w:r>
              <w:rPr>
                <w:rFonts w:hint="eastAsia" w:ascii="宋体" w:hAnsi="宋体" w:eastAsia="宋体" w:cs="宋体"/>
                <w:color w:val="auto"/>
                <w:sz w:val="20"/>
                <w:szCs w:val="20"/>
                <w:shd w:val="clear" w:color="auto" w:fill="FFFFFF"/>
                <w:lang w:val="en-US" w:eastAsia="zh-CN" w:bidi="ar"/>
              </w:rPr>
              <w:t>六、</w:t>
            </w:r>
            <w:r>
              <w:rPr>
                <w:rFonts w:hint="eastAsia" w:ascii="宋体" w:hAnsi="宋体" w:eastAsia="宋体" w:cs="宋体"/>
                <w:color w:val="auto"/>
                <w:sz w:val="20"/>
                <w:szCs w:val="20"/>
                <w:shd w:val="clear" w:color="auto" w:fill="FFFFFF"/>
                <w:lang w:val="zh-CN" w:eastAsia="zh-CN" w:bidi="ar"/>
              </w:rPr>
              <w:t>验收要求：</w:t>
            </w:r>
          </w:p>
          <w:p w14:paraId="4E37418F">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项目由采购人、成交供应商根据采购文件和行业相关规范要求进行验收。验收合格后根据双方签订的合同支付方式进行款项支付。</w:t>
            </w:r>
          </w:p>
        </w:tc>
        <w:tc>
          <w:tcPr>
            <w:tcW w:w="1425" w:type="dxa"/>
          </w:tcPr>
          <w:p w14:paraId="309C6D61">
            <w:pPr>
              <w:pStyle w:val="13"/>
              <w:rPr>
                <w:rFonts w:ascii="宋体" w:hAnsi="宋体" w:eastAsia="宋体" w:cs="宋体"/>
                <w:lang w:eastAsia="zh-CN"/>
              </w:rPr>
            </w:pPr>
          </w:p>
        </w:tc>
        <w:tc>
          <w:tcPr>
            <w:tcW w:w="978" w:type="dxa"/>
          </w:tcPr>
          <w:p w14:paraId="3DA9A9F7">
            <w:pPr>
              <w:pStyle w:val="13"/>
              <w:rPr>
                <w:rFonts w:ascii="宋体" w:hAnsi="宋体" w:eastAsia="宋体" w:cs="宋体"/>
                <w:lang w:eastAsia="zh-CN"/>
              </w:rPr>
            </w:pPr>
          </w:p>
        </w:tc>
        <w:tc>
          <w:tcPr>
            <w:tcW w:w="1065" w:type="dxa"/>
          </w:tcPr>
          <w:p w14:paraId="3217B854">
            <w:pPr>
              <w:pStyle w:val="13"/>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547" w:type="dxa"/>
          </w:tcPr>
          <w:p w14:paraId="656C9F3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七、</w:t>
            </w:r>
            <w:r>
              <w:rPr>
                <w:rFonts w:hint="eastAsia" w:ascii="宋体" w:hAnsi="宋体" w:eastAsia="宋体" w:cs="宋体"/>
                <w:color w:val="auto"/>
                <w:sz w:val="20"/>
                <w:szCs w:val="20"/>
                <w:shd w:val="clear" w:color="auto" w:fill="FFFFFF"/>
                <w:lang w:eastAsia="zh-CN" w:bidi="ar"/>
              </w:rPr>
              <w:t>保密要求</w:t>
            </w:r>
          </w:p>
          <w:p w14:paraId="07B698B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zh-CN" w:eastAsia="zh-CN" w:bidi="ar"/>
              </w:rPr>
              <w:t>成交供应商在项目实施过程中，对采购人所提供的所有相关资料、数据，未经采购人书面同意不得向任何第三人泄露，且保密责任不因合同的终止或解除而失效。如采购人提出要求，成交供应商须无条件与采购人签</w:t>
            </w:r>
            <w:r>
              <w:rPr>
                <w:rFonts w:hint="eastAsia" w:ascii="宋体" w:hAnsi="宋体" w:eastAsia="宋体" w:cs="宋体"/>
                <w:color w:val="auto"/>
                <w:sz w:val="20"/>
                <w:szCs w:val="20"/>
                <w:shd w:val="clear" w:color="auto" w:fill="FFFFFF"/>
                <w:lang w:val="en-US" w:eastAsia="zh-CN" w:bidi="ar"/>
              </w:rPr>
              <w:t>定</w:t>
            </w:r>
            <w:r>
              <w:rPr>
                <w:rFonts w:hint="eastAsia" w:ascii="宋体" w:hAnsi="宋体" w:eastAsia="宋体" w:cs="宋体"/>
                <w:color w:val="auto"/>
                <w:sz w:val="20"/>
                <w:szCs w:val="20"/>
                <w:shd w:val="clear" w:color="auto" w:fill="FFFFFF"/>
                <w:lang w:val="zh-CN" w:eastAsia="zh-CN" w:bidi="ar"/>
              </w:rPr>
              <w:t>保密协议。</w:t>
            </w:r>
          </w:p>
        </w:tc>
        <w:tc>
          <w:tcPr>
            <w:tcW w:w="1425" w:type="dxa"/>
          </w:tcPr>
          <w:p w14:paraId="63477C59">
            <w:pPr>
              <w:pStyle w:val="13"/>
              <w:rPr>
                <w:rFonts w:ascii="宋体" w:hAnsi="宋体" w:eastAsia="宋体" w:cs="宋体"/>
                <w:lang w:eastAsia="zh-CN"/>
              </w:rPr>
            </w:pPr>
          </w:p>
        </w:tc>
        <w:tc>
          <w:tcPr>
            <w:tcW w:w="978" w:type="dxa"/>
          </w:tcPr>
          <w:p w14:paraId="17855BC8">
            <w:pPr>
              <w:pStyle w:val="13"/>
              <w:rPr>
                <w:rFonts w:ascii="宋体" w:hAnsi="宋体" w:eastAsia="宋体" w:cs="宋体"/>
                <w:lang w:eastAsia="zh-CN"/>
              </w:rPr>
            </w:pPr>
          </w:p>
        </w:tc>
        <w:tc>
          <w:tcPr>
            <w:tcW w:w="1065" w:type="dxa"/>
          </w:tcPr>
          <w:p w14:paraId="6A11C7ED">
            <w:pPr>
              <w:pStyle w:val="13"/>
              <w:rPr>
                <w:rFonts w:ascii="宋体" w:hAnsi="宋体" w:eastAsia="宋体" w:cs="宋体"/>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547" w:type="dxa"/>
          </w:tcPr>
          <w:p w14:paraId="0715972D">
            <w:pPr>
              <w:widowControl w:val="0"/>
              <w:spacing w:line="240" w:lineRule="exact"/>
              <w:rPr>
                <w:rFonts w:hint="eastAsia" w:ascii="宋体" w:hAnsi="宋体" w:eastAsia="宋体" w:cs="宋体"/>
                <w:color w:val="auto"/>
                <w:sz w:val="20"/>
                <w:szCs w:val="20"/>
                <w:shd w:val="clear" w:color="auto" w:fill="FFFFFF"/>
                <w:lang w:eastAsia="zh-CN" w:bidi="ar"/>
              </w:rPr>
            </w:pPr>
            <w:bookmarkStart w:id="0" w:name="_Toc10108"/>
            <w:bookmarkStart w:id="1" w:name="_Toc21373"/>
            <w:r>
              <w:rPr>
                <w:rFonts w:hint="eastAsia" w:ascii="宋体" w:hAnsi="宋体" w:eastAsia="宋体" w:cs="宋体"/>
                <w:color w:val="auto"/>
                <w:sz w:val="20"/>
                <w:szCs w:val="20"/>
                <w:shd w:val="clear" w:color="auto" w:fill="FFFFFF"/>
                <w:lang w:val="en-US" w:eastAsia="zh-CN" w:bidi="ar"/>
              </w:rPr>
              <w:t>八、</w:t>
            </w:r>
            <w:r>
              <w:rPr>
                <w:rFonts w:hint="eastAsia" w:ascii="宋体" w:hAnsi="宋体" w:eastAsia="宋体" w:cs="宋体"/>
                <w:color w:val="auto"/>
                <w:sz w:val="20"/>
                <w:szCs w:val="20"/>
                <w:shd w:val="clear" w:color="auto" w:fill="FFFFFF"/>
                <w:lang w:eastAsia="zh-CN" w:bidi="ar"/>
              </w:rPr>
              <w:t>知识产权</w:t>
            </w:r>
            <w:bookmarkEnd w:id="0"/>
            <w:bookmarkEnd w:id="1"/>
          </w:p>
          <w:p w14:paraId="663B0AE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zh-CN" w:eastAsia="zh-CN" w:bidi="ar"/>
              </w:rPr>
              <w:t>项目要求的所有成果（包括文本、相关说明以及相应的电子文件）知识产权归采购人所有。</w:t>
            </w:r>
          </w:p>
        </w:tc>
        <w:tc>
          <w:tcPr>
            <w:tcW w:w="1425" w:type="dxa"/>
          </w:tcPr>
          <w:p w14:paraId="4EB37635">
            <w:pPr>
              <w:pStyle w:val="13"/>
              <w:rPr>
                <w:rFonts w:ascii="宋体" w:hAnsi="宋体" w:eastAsia="宋体" w:cs="宋体"/>
                <w:lang w:eastAsia="zh-CN"/>
              </w:rPr>
            </w:pPr>
          </w:p>
        </w:tc>
        <w:tc>
          <w:tcPr>
            <w:tcW w:w="978" w:type="dxa"/>
          </w:tcPr>
          <w:p w14:paraId="42F4AC19">
            <w:pPr>
              <w:pStyle w:val="13"/>
              <w:rPr>
                <w:rFonts w:ascii="宋体" w:hAnsi="宋体" w:eastAsia="宋体" w:cs="宋体"/>
                <w:lang w:eastAsia="zh-CN"/>
              </w:rPr>
            </w:pPr>
          </w:p>
        </w:tc>
        <w:tc>
          <w:tcPr>
            <w:tcW w:w="1065" w:type="dxa"/>
          </w:tcPr>
          <w:p w14:paraId="7C2EA142">
            <w:pPr>
              <w:pStyle w:val="13"/>
              <w:rPr>
                <w:rFonts w:ascii="宋体" w:hAnsi="宋体" w:eastAsia="宋体" w:cs="宋体"/>
                <w:lang w:eastAsia="zh-CN"/>
              </w:rPr>
            </w:pPr>
          </w:p>
        </w:tc>
      </w:tr>
      <w:tr w14:paraId="248F0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256AF9E6">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547" w:type="dxa"/>
          </w:tcPr>
          <w:p w14:paraId="5A89BA4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九、合同终止条款</w:t>
            </w:r>
          </w:p>
          <w:p w14:paraId="27F3F39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成交供应商提交的成果有下列情形之一的，采购人有权终止合同：</w:t>
            </w:r>
          </w:p>
          <w:p w14:paraId="39B6474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服务工作不符合本项目规定，或服务质量严重偏离采购人下达的任务要求。</w:t>
            </w:r>
          </w:p>
          <w:p w14:paraId="4105BAA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成交供应商未能履行合同义务，未能统筹协调整体服务工作。</w:t>
            </w:r>
          </w:p>
          <w:p w14:paraId="05BF148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发现成交供应商存在恶意串通等不诚信行为。</w:t>
            </w:r>
          </w:p>
          <w:p w14:paraId="6E4BAC2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泄露国家或企业秘密。</w:t>
            </w:r>
          </w:p>
          <w:p w14:paraId="5474960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出具虚假、不实报告。</w:t>
            </w:r>
          </w:p>
          <w:p w14:paraId="775794A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成交供应商未经采购人同意，随意调整本项目项目负责人或项目组主要成员。</w:t>
            </w:r>
          </w:p>
          <w:p w14:paraId="72A1FF7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成交供应商未经采购人同意，擅自将项目分包或转包。</w:t>
            </w:r>
          </w:p>
        </w:tc>
        <w:tc>
          <w:tcPr>
            <w:tcW w:w="1425" w:type="dxa"/>
          </w:tcPr>
          <w:p w14:paraId="69E926AE">
            <w:pPr>
              <w:pStyle w:val="13"/>
              <w:rPr>
                <w:rFonts w:ascii="宋体" w:hAnsi="宋体" w:eastAsia="宋体" w:cs="宋体"/>
                <w:lang w:eastAsia="zh-CN"/>
              </w:rPr>
            </w:pPr>
          </w:p>
        </w:tc>
        <w:tc>
          <w:tcPr>
            <w:tcW w:w="978" w:type="dxa"/>
          </w:tcPr>
          <w:p w14:paraId="05962F9D">
            <w:pPr>
              <w:pStyle w:val="13"/>
              <w:rPr>
                <w:rFonts w:ascii="宋体" w:hAnsi="宋体" w:eastAsia="宋体" w:cs="宋体"/>
                <w:lang w:eastAsia="zh-CN"/>
              </w:rPr>
            </w:pPr>
          </w:p>
        </w:tc>
        <w:tc>
          <w:tcPr>
            <w:tcW w:w="1065" w:type="dxa"/>
          </w:tcPr>
          <w:p w14:paraId="3CDFF772">
            <w:pPr>
              <w:pStyle w:val="13"/>
              <w:rPr>
                <w:rFonts w:ascii="宋体" w:hAnsi="宋体" w:eastAsia="宋体" w:cs="宋体"/>
                <w:lang w:eastAsia="zh-CN"/>
              </w:rPr>
            </w:pPr>
          </w:p>
        </w:tc>
      </w:tr>
      <w:tr w14:paraId="3234F0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F010E0F">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547" w:type="dxa"/>
          </w:tcPr>
          <w:p w14:paraId="7F691F9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十、违约责任与赔偿损失</w:t>
            </w:r>
          </w:p>
          <w:p w14:paraId="22D7DEC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违约责任按《中华人民共和国合同法》处理。</w:t>
            </w:r>
          </w:p>
          <w:p w14:paraId="6FB10B3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守约方为维护自身合法权益所产生的费用，包括但不限于仲裁或诉讼费、律师费、保全费、担保费、公证费、鉴定费等，由违约方承担。</w:t>
            </w:r>
          </w:p>
        </w:tc>
        <w:tc>
          <w:tcPr>
            <w:tcW w:w="1425" w:type="dxa"/>
          </w:tcPr>
          <w:p w14:paraId="447FAA3D">
            <w:pPr>
              <w:pStyle w:val="13"/>
              <w:rPr>
                <w:rFonts w:ascii="宋体" w:hAnsi="宋体" w:eastAsia="宋体" w:cs="宋体"/>
                <w:lang w:eastAsia="zh-CN"/>
              </w:rPr>
            </w:pPr>
          </w:p>
        </w:tc>
        <w:tc>
          <w:tcPr>
            <w:tcW w:w="978" w:type="dxa"/>
          </w:tcPr>
          <w:p w14:paraId="7449F7BA">
            <w:pPr>
              <w:pStyle w:val="13"/>
              <w:rPr>
                <w:rFonts w:ascii="宋体" w:hAnsi="宋体" w:eastAsia="宋体" w:cs="宋体"/>
                <w:lang w:eastAsia="zh-CN"/>
              </w:rPr>
            </w:pPr>
          </w:p>
        </w:tc>
        <w:tc>
          <w:tcPr>
            <w:tcW w:w="1065" w:type="dxa"/>
          </w:tcPr>
          <w:p w14:paraId="4FB7733C">
            <w:pPr>
              <w:pStyle w:val="13"/>
              <w:rPr>
                <w:rFonts w:ascii="宋体" w:hAnsi="宋体" w:eastAsia="宋体" w:cs="宋体"/>
                <w:lang w:eastAsia="zh-CN"/>
              </w:rPr>
            </w:pPr>
          </w:p>
        </w:tc>
      </w:tr>
      <w:tr w14:paraId="78758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6067CA5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5547" w:type="dxa"/>
          </w:tcPr>
          <w:p w14:paraId="6563A4D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十一、评审方式</w:t>
            </w:r>
          </w:p>
          <w:p w14:paraId="40FE4D4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的评审采用综合评分法，最低报价并非唯一评定标准（评分标准详见附件一《项目评分表》）。本项目评审流程为先开展资格性、符合性初审，评审合格方可进入商务、技术及价格综合详细评审；项目评审总分100分，其中商务技术部分分值70分，价格部分分值30分，综合得分最高者确定为拟中选供应商。若出现两家及以上供应商综合得分相同，优先按照投标报价由低至高排序；报价仍一致的，以平台响应报名时间更早者优先。</w:t>
            </w:r>
          </w:p>
        </w:tc>
        <w:tc>
          <w:tcPr>
            <w:tcW w:w="1425" w:type="dxa"/>
          </w:tcPr>
          <w:p w14:paraId="60D3CCBE">
            <w:pPr>
              <w:pStyle w:val="13"/>
              <w:rPr>
                <w:rFonts w:ascii="宋体" w:hAnsi="宋体" w:eastAsia="宋体" w:cs="宋体"/>
                <w:lang w:eastAsia="zh-CN"/>
              </w:rPr>
            </w:pPr>
          </w:p>
        </w:tc>
        <w:tc>
          <w:tcPr>
            <w:tcW w:w="978" w:type="dxa"/>
          </w:tcPr>
          <w:p w14:paraId="6E91261A">
            <w:pPr>
              <w:pStyle w:val="13"/>
              <w:rPr>
                <w:rFonts w:ascii="宋体" w:hAnsi="宋体" w:eastAsia="宋体" w:cs="宋体"/>
                <w:lang w:eastAsia="zh-CN"/>
              </w:rPr>
            </w:pPr>
          </w:p>
        </w:tc>
        <w:tc>
          <w:tcPr>
            <w:tcW w:w="1065" w:type="dxa"/>
          </w:tcPr>
          <w:p w14:paraId="6AB2DC91">
            <w:pPr>
              <w:pStyle w:val="13"/>
              <w:rPr>
                <w:rFonts w:ascii="宋体" w:hAnsi="宋体" w:eastAsia="宋体" w:cs="宋体"/>
                <w:lang w:eastAsia="zh-CN"/>
              </w:rPr>
            </w:pPr>
          </w:p>
        </w:tc>
      </w:tr>
    </w:tbl>
    <w:p w14:paraId="775B0CB5">
      <w:pPr>
        <w:rPr>
          <w:lang w:eastAsia="zh-CN"/>
        </w:rPr>
      </w:pPr>
    </w:p>
    <w:p w14:paraId="3447D6D1">
      <w:pPr>
        <w:rPr>
          <w:lang w:eastAsia="zh-CN"/>
        </w:rPr>
      </w:pPr>
      <w:r>
        <w:rPr>
          <w:lang w:eastAsia="zh-CN"/>
        </w:rPr>
        <w:br w:type="page"/>
      </w:r>
    </w:p>
    <w:p w14:paraId="60307296">
      <w:pPr>
        <w:spacing w:before="41" w:line="227" w:lineRule="auto"/>
        <w:jc w:val="both"/>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十二、提供综合能力方面相关证书复印件并加盖公章，包括但不限于：CMA证书及附表、质量管理体系认证证书等。</w:t>
      </w:r>
    </w:p>
    <w:p w14:paraId="3A60E929">
      <w:pPr>
        <w:spacing w:before="41" w:line="227" w:lineRule="auto"/>
        <w:jc w:val="both"/>
        <w:rPr>
          <w:rFonts w:hint="eastAsia" w:ascii="宋体" w:hAnsi="宋体" w:eastAsia="宋体" w:cs="宋体"/>
          <w:b/>
          <w:bCs/>
          <w:spacing w:val="5"/>
          <w:sz w:val="20"/>
          <w:szCs w:val="20"/>
          <w:lang w:val="en-US" w:eastAsia="zh-CN"/>
        </w:rPr>
        <w:sectPr>
          <w:pgSz w:w="11900" w:h="16840"/>
          <w:pgMar w:top="907" w:right="1701" w:bottom="907" w:left="1701" w:header="851" w:footer="992" w:gutter="0"/>
          <w:cols w:space="425" w:num="1"/>
          <w:docGrid w:linePitch="312" w:charSpace="0"/>
        </w:sectPr>
      </w:pP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十三、提供2021年8月1日（以合同签订的时间为准）以来的具有公共机构能源审计、节能技术改造测试评估、公共机构能源管理服务等相关工作业绩相关证明文件，须提供合同关键页复印件（加盖公章）。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2"/>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3"/>
            </w:pPr>
          </w:p>
        </w:tc>
        <w:tc>
          <w:tcPr>
            <w:tcW w:w="1854" w:type="dxa"/>
          </w:tcPr>
          <w:p w14:paraId="43601105">
            <w:pPr>
              <w:pStyle w:val="13"/>
            </w:pPr>
          </w:p>
        </w:tc>
        <w:tc>
          <w:tcPr>
            <w:tcW w:w="1986" w:type="dxa"/>
          </w:tcPr>
          <w:p w14:paraId="6311272B">
            <w:pPr>
              <w:pStyle w:val="13"/>
            </w:pPr>
          </w:p>
        </w:tc>
        <w:tc>
          <w:tcPr>
            <w:tcW w:w="1722" w:type="dxa"/>
          </w:tcPr>
          <w:p w14:paraId="3768DC7F">
            <w:pPr>
              <w:pStyle w:val="13"/>
            </w:pPr>
          </w:p>
        </w:tc>
        <w:tc>
          <w:tcPr>
            <w:tcW w:w="1191" w:type="dxa"/>
          </w:tcPr>
          <w:p w14:paraId="2305DC57">
            <w:pPr>
              <w:pStyle w:val="13"/>
            </w:pPr>
          </w:p>
        </w:tc>
        <w:tc>
          <w:tcPr>
            <w:tcW w:w="1471" w:type="dxa"/>
            <w:tcBorders>
              <w:right w:val="single" w:color="000000" w:sz="2" w:space="0"/>
            </w:tcBorders>
          </w:tcPr>
          <w:p w14:paraId="1DC4DC5D">
            <w:pPr>
              <w:pStyle w:val="13"/>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3"/>
            </w:pPr>
          </w:p>
        </w:tc>
        <w:tc>
          <w:tcPr>
            <w:tcW w:w="1854" w:type="dxa"/>
          </w:tcPr>
          <w:p w14:paraId="26C3F9DC">
            <w:pPr>
              <w:pStyle w:val="13"/>
            </w:pPr>
          </w:p>
        </w:tc>
        <w:tc>
          <w:tcPr>
            <w:tcW w:w="1986" w:type="dxa"/>
          </w:tcPr>
          <w:p w14:paraId="0C8FC5A6">
            <w:pPr>
              <w:pStyle w:val="13"/>
            </w:pPr>
          </w:p>
        </w:tc>
        <w:tc>
          <w:tcPr>
            <w:tcW w:w="1722" w:type="dxa"/>
          </w:tcPr>
          <w:p w14:paraId="036176B2">
            <w:pPr>
              <w:pStyle w:val="13"/>
            </w:pPr>
          </w:p>
        </w:tc>
        <w:tc>
          <w:tcPr>
            <w:tcW w:w="1191" w:type="dxa"/>
          </w:tcPr>
          <w:p w14:paraId="69BDA775">
            <w:pPr>
              <w:pStyle w:val="13"/>
            </w:pPr>
          </w:p>
        </w:tc>
        <w:tc>
          <w:tcPr>
            <w:tcW w:w="1471" w:type="dxa"/>
            <w:tcBorders>
              <w:right w:val="single" w:color="000000" w:sz="2" w:space="0"/>
            </w:tcBorders>
          </w:tcPr>
          <w:p w14:paraId="74EE419A">
            <w:pPr>
              <w:pStyle w:val="13"/>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3"/>
            </w:pPr>
          </w:p>
        </w:tc>
        <w:tc>
          <w:tcPr>
            <w:tcW w:w="1854" w:type="dxa"/>
            <w:tcBorders>
              <w:bottom w:val="single" w:color="000000" w:sz="2" w:space="0"/>
            </w:tcBorders>
          </w:tcPr>
          <w:p w14:paraId="40B04108">
            <w:pPr>
              <w:pStyle w:val="13"/>
            </w:pPr>
          </w:p>
        </w:tc>
        <w:tc>
          <w:tcPr>
            <w:tcW w:w="1986" w:type="dxa"/>
            <w:tcBorders>
              <w:bottom w:val="single" w:color="000000" w:sz="2" w:space="0"/>
            </w:tcBorders>
          </w:tcPr>
          <w:p w14:paraId="4C40CFD8">
            <w:pPr>
              <w:pStyle w:val="13"/>
            </w:pPr>
          </w:p>
        </w:tc>
        <w:tc>
          <w:tcPr>
            <w:tcW w:w="1722" w:type="dxa"/>
            <w:tcBorders>
              <w:bottom w:val="single" w:color="000000" w:sz="2" w:space="0"/>
            </w:tcBorders>
          </w:tcPr>
          <w:p w14:paraId="4F595AE5">
            <w:pPr>
              <w:pStyle w:val="13"/>
            </w:pPr>
          </w:p>
        </w:tc>
        <w:tc>
          <w:tcPr>
            <w:tcW w:w="1191" w:type="dxa"/>
            <w:tcBorders>
              <w:bottom w:val="single" w:color="000000" w:sz="2" w:space="0"/>
            </w:tcBorders>
          </w:tcPr>
          <w:p w14:paraId="7692FA63">
            <w:pPr>
              <w:pStyle w:val="13"/>
            </w:pPr>
          </w:p>
        </w:tc>
        <w:tc>
          <w:tcPr>
            <w:tcW w:w="1471" w:type="dxa"/>
            <w:tcBorders>
              <w:bottom w:val="single" w:color="000000" w:sz="2" w:space="0"/>
              <w:right w:val="single" w:color="000000" w:sz="2" w:space="0"/>
            </w:tcBorders>
          </w:tcPr>
          <w:p w14:paraId="48AC055B">
            <w:pPr>
              <w:pStyle w:val="13"/>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1"/>
          <w:szCs w:val="21"/>
          <w:lang w:eastAsia="zh-CN"/>
        </w:rPr>
      </w:pPr>
      <w:r>
        <w:rPr>
          <w:rFonts w:hint="eastAsia" w:ascii="宋体" w:hAnsi="宋体" w:eastAsia="宋体" w:cs="宋体"/>
          <w:spacing w:val="8"/>
          <w:sz w:val="21"/>
          <w:szCs w:val="21"/>
          <w:lang w:val="en-US" w:eastAsia="zh-CN"/>
        </w:rPr>
        <w:t>供应商</w:t>
      </w:r>
      <w:r>
        <w:rPr>
          <w:rFonts w:ascii="宋体" w:hAnsi="宋体" w:eastAsia="宋体" w:cs="宋体"/>
          <w:spacing w:val="8"/>
          <w:sz w:val="21"/>
          <w:szCs w:val="21"/>
          <w:lang w:eastAsia="zh-CN"/>
        </w:rPr>
        <w:t>名称（盖章</w:t>
      </w:r>
      <w:r>
        <w:rPr>
          <w:rFonts w:ascii="宋体" w:hAnsi="宋体" w:eastAsia="宋体" w:cs="宋体"/>
          <w:spacing w:val="13"/>
          <w:sz w:val="21"/>
          <w:szCs w:val="21"/>
          <w:lang w:eastAsia="zh-CN"/>
        </w:rPr>
        <w:t>）：</w:t>
      </w:r>
      <w:r>
        <w:rPr>
          <w:rFonts w:ascii="宋体" w:hAnsi="宋体" w:eastAsia="宋体" w:cs="宋体"/>
          <w:sz w:val="21"/>
          <w:szCs w:val="21"/>
          <w:u w:val="single"/>
          <w:lang w:eastAsia="zh-CN"/>
        </w:rPr>
        <w:t xml:space="preserve">                          </w:t>
      </w:r>
    </w:p>
    <w:p w14:paraId="5B5A1280">
      <w:pPr>
        <w:spacing w:before="65" w:line="227" w:lineRule="auto"/>
        <w:ind w:left="22"/>
        <w:rPr>
          <w:rFonts w:ascii="宋体" w:hAnsi="宋体" w:eastAsia="宋体" w:cs="宋体"/>
          <w:spacing w:val="9"/>
          <w:sz w:val="21"/>
          <w:szCs w:val="21"/>
          <w:lang w:eastAsia="zh-CN"/>
        </w:rPr>
      </w:pPr>
    </w:p>
    <w:p w14:paraId="73AB7F11">
      <w:pPr>
        <w:spacing w:before="65" w:line="227" w:lineRule="auto"/>
        <w:ind w:left="22"/>
        <w:rPr>
          <w:rFonts w:ascii="宋体" w:hAnsi="宋体" w:eastAsia="宋体" w:cs="宋体"/>
          <w:sz w:val="21"/>
          <w:szCs w:val="21"/>
          <w:lang w:eastAsia="zh-CN"/>
        </w:rPr>
      </w:pPr>
      <w:r>
        <w:rPr>
          <w:rFonts w:hint="eastAsia" w:ascii="宋体" w:hAnsi="宋体" w:eastAsia="宋体" w:cs="宋体"/>
          <w:spacing w:val="9"/>
          <w:sz w:val="21"/>
          <w:szCs w:val="21"/>
          <w:lang w:val="en-US" w:eastAsia="zh-CN"/>
        </w:rPr>
        <w:t>供应商</w:t>
      </w:r>
      <w:r>
        <w:rPr>
          <w:rFonts w:ascii="宋体" w:hAnsi="宋体" w:eastAsia="宋体" w:cs="宋体"/>
          <w:spacing w:val="9"/>
          <w:sz w:val="21"/>
          <w:szCs w:val="21"/>
          <w:lang w:eastAsia="zh-CN"/>
        </w:rPr>
        <w:t>法定代表人（或法定代表人授权代表）签字：</w:t>
      </w:r>
      <w:r>
        <w:rPr>
          <w:rFonts w:ascii="宋体" w:hAnsi="宋体" w:eastAsia="宋体" w:cs="宋体"/>
          <w:sz w:val="21"/>
          <w:szCs w:val="21"/>
          <w:u w:val="single"/>
          <w:lang w:eastAsia="zh-CN"/>
        </w:rPr>
        <w:t xml:space="preserve">                    </w:t>
      </w:r>
    </w:p>
    <w:p w14:paraId="1B30ABE4">
      <w:pPr>
        <w:spacing w:before="41" w:line="227" w:lineRule="auto"/>
        <w:rPr>
          <w:rFonts w:hint="eastAsia" w:ascii="宋体" w:hAnsi="宋体" w:eastAsia="宋体" w:cs="宋体"/>
          <w:b/>
          <w:bCs/>
          <w:spacing w:val="7"/>
          <w:sz w:val="21"/>
          <w:szCs w:val="21"/>
          <w:lang w:val="en-US" w:eastAsia="zh-CN"/>
        </w:rPr>
      </w:pPr>
      <w:r>
        <w:rPr>
          <w:rFonts w:ascii="宋体" w:hAnsi="宋体" w:eastAsia="宋体" w:cs="宋体"/>
          <w:spacing w:val="-6"/>
          <w:sz w:val="21"/>
          <w:szCs w:val="21"/>
          <w:lang w:eastAsia="zh-CN"/>
        </w:rPr>
        <w:t>日期：</w:t>
      </w:r>
      <w:r>
        <w:rPr>
          <w:rFonts w:ascii="宋体" w:hAnsi="宋体" w:eastAsia="宋体" w:cs="宋体"/>
          <w:spacing w:val="13"/>
          <w:sz w:val="21"/>
          <w:szCs w:val="21"/>
          <w:lang w:eastAsia="zh-CN"/>
        </w:rPr>
        <w:t xml:space="preserve">   </w:t>
      </w:r>
      <w:r>
        <w:rPr>
          <w:rFonts w:ascii="宋体" w:hAnsi="宋体" w:eastAsia="宋体" w:cs="宋体"/>
          <w:spacing w:val="-6"/>
          <w:sz w:val="21"/>
          <w:szCs w:val="21"/>
          <w:lang w:eastAsia="zh-CN"/>
        </w:rPr>
        <w:t>年</w:t>
      </w:r>
      <w:r>
        <w:rPr>
          <w:rFonts w:ascii="宋体" w:hAnsi="宋体" w:eastAsia="宋体" w:cs="宋体"/>
          <w:spacing w:val="9"/>
          <w:sz w:val="21"/>
          <w:szCs w:val="21"/>
          <w:lang w:eastAsia="zh-CN"/>
        </w:rPr>
        <w:t xml:space="preserve">   </w:t>
      </w:r>
      <w:r>
        <w:rPr>
          <w:rFonts w:ascii="宋体" w:hAnsi="宋体" w:eastAsia="宋体" w:cs="宋体"/>
          <w:spacing w:val="-6"/>
          <w:sz w:val="21"/>
          <w:szCs w:val="21"/>
          <w:lang w:eastAsia="zh-CN"/>
        </w:rPr>
        <w:t>月</w:t>
      </w:r>
      <w:r>
        <w:rPr>
          <w:rFonts w:ascii="宋体" w:hAnsi="宋体" w:eastAsia="宋体" w:cs="宋体"/>
          <w:spacing w:val="21"/>
          <w:sz w:val="21"/>
          <w:szCs w:val="21"/>
          <w:lang w:eastAsia="zh-CN"/>
        </w:rPr>
        <w:t xml:space="preserve">   </w:t>
      </w:r>
      <w:r>
        <w:rPr>
          <w:rFonts w:ascii="宋体" w:hAnsi="宋体" w:eastAsia="宋体" w:cs="宋体"/>
          <w:spacing w:val="-6"/>
          <w:sz w:val="21"/>
          <w:szCs w:val="21"/>
          <w:lang w:eastAsia="zh-CN"/>
        </w:rPr>
        <w:t>日</w:t>
      </w:r>
    </w:p>
    <w:p w14:paraId="11B8DEC0">
      <w:pPr>
        <w:pStyle w:val="11"/>
        <w:rPr>
          <w:rFonts w:hint="eastAsia"/>
          <w:sz w:val="28"/>
          <w:szCs w:val="28"/>
          <w:lang w:val="en-US" w:eastAsia="zh-CN"/>
        </w:rPr>
      </w:pPr>
    </w:p>
    <w:p w14:paraId="01E65466">
      <w:pPr>
        <w:spacing w:before="41" w:line="227" w:lineRule="auto"/>
        <w:rPr>
          <w:rFonts w:hint="eastAsia" w:ascii="宋体" w:hAnsi="宋体" w:eastAsia="宋体" w:cs="宋体"/>
          <w:b/>
          <w:bCs/>
          <w:spacing w:val="7"/>
          <w:sz w:val="21"/>
          <w:szCs w:val="21"/>
          <w:lang w:val="en-US" w:eastAsia="zh-CN"/>
        </w:rPr>
        <w:sectPr>
          <w:pgSz w:w="11900" w:h="16840"/>
          <w:pgMar w:top="907" w:right="1701" w:bottom="907" w:left="1701" w:header="851" w:footer="992" w:gutter="0"/>
          <w:cols w:space="425" w:num="1"/>
          <w:docGrid w:linePitch="312" w:charSpace="0"/>
        </w:sectPr>
      </w:pPr>
    </w:p>
    <w:p w14:paraId="0B84180D">
      <w:pPr>
        <w:keepNext w:val="0"/>
        <w:keepLines w:val="0"/>
        <w:pageBreakBefore w:val="0"/>
        <w:widowControl/>
        <w:kinsoku w:val="0"/>
        <w:wordWrap/>
        <w:overflowPunct/>
        <w:topLinePunct w:val="0"/>
        <w:autoSpaceDE w:val="0"/>
        <w:autoSpaceDN w:val="0"/>
        <w:bidi w:val="0"/>
        <w:adjustRightInd w:val="0"/>
        <w:snapToGrid w:val="0"/>
        <w:spacing w:before="41" w:after="313" w:after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十四、拟投入人员配置清单（加盖公章）：</w:t>
      </w:r>
    </w:p>
    <w:p w14:paraId="36EC6B10">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项目组主要负责人员：须按其签订合同中承诺提供的项目组主要负责人员必须按要求投入到本项目中，在合同期内不得擅自更换。成交供应商如因工作安排或其他原因，需要更换项目组主要负责人员时，应事前向采购人书面提出申请；未经采购人同意，不得更换人员。</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12"/>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2F80469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项目组</w:t>
            </w:r>
          </w:p>
          <w:p w14:paraId="05049427">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主要负责人员</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72E53CBE">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5"/>
          <w:sz w:val="20"/>
          <w:szCs w:val="20"/>
          <w:lang w:val="en-US" w:eastAsia="zh-CN"/>
        </w:rPr>
        <w:t>注：供应商必须如实填写此表格。（此表可延长）</w:t>
      </w:r>
    </w:p>
    <w:p w14:paraId="1595EA9F">
      <w:pPr>
        <w:spacing w:before="41" w:line="227" w:lineRule="auto"/>
        <w:rPr>
          <w:rFonts w:hint="eastAsia" w:ascii="宋体" w:hAnsi="宋体" w:eastAsia="宋体" w:cs="宋体"/>
          <w:b/>
          <w:bCs/>
          <w:spacing w:val="7"/>
          <w:sz w:val="20"/>
          <w:szCs w:val="20"/>
          <w:lang w:val="en-US" w:eastAsia="zh-CN"/>
        </w:rPr>
      </w:pPr>
    </w:p>
    <w:p w14:paraId="77104F6A">
      <w:pPr>
        <w:spacing w:before="41" w:line="227" w:lineRule="auto"/>
        <w:rPr>
          <w:rFonts w:hint="eastAsia" w:ascii="宋体" w:hAnsi="宋体" w:eastAsia="宋体" w:cs="宋体"/>
          <w:b/>
          <w:bCs/>
          <w:spacing w:val="7"/>
          <w:sz w:val="20"/>
          <w:szCs w:val="20"/>
          <w:lang w:val="en-US" w:eastAsia="zh-CN"/>
        </w:rPr>
        <w:sectPr>
          <w:pgSz w:w="11900" w:h="16840"/>
          <w:pgMar w:top="907" w:right="1701" w:bottom="907" w:left="1701" w:header="851" w:footer="992" w:gutter="0"/>
          <w:cols w:space="425" w:num="1"/>
          <w:docGrid w:linePitch="312" w:charSpace="0"/>
        </w:sectPr>
      </w:pPr>
    </w:p>
    <w:p w14:paraId="29F45D08">
      <w:pPr>
        <w:spacing w:before="41"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十五、承诺函（格式自拟，加盖公章），包括但不限于：付款方式。</w:t>
      </w:r>
    </w:p>
    <w:p w14:paraId="093ECB0B">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val="en-US" w:eastAsia="zh-CN"/>
        </w:rPr>
        <w:t>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内容包括但不限于：项目实施、应急处置、售后服务、内部管理制度及规章制度、运作流程等。</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十七</w:t>
      </w:r>
      <w:bookmarkStart w:id="2" w:name="_GoBack"/>
      <w:bookmarkEnd w:id="2"/>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包括但不限于：中小企业声明函等其他证明文件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格式自拟并加盖公章，</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B3097E"/>
    <w:rsid w:val="01E26336"/>
    <w:rsid w:val="01E76CB4"/>
    <w:rsid w:val="03945D38"/>
    <w:rsid w:val="046917C8"/>
    <w:rsid w:val="048D4A4C"/>
    <w:rsid w:val="04CE0985"/>
    <w:rsid w:val="05D250F6"/>
    <w:rsid w:val="06794550"/>
    <w:rsid w:val="06BE352D"/>
    <w:rsid w:val="07D772C8"/>
    <w:rsid w:val="07DE22A7"/>
    <w:rsid w:val="0851471E"/>
    <w:rsid w:val="08805332"/>
    <w:rsid w:val="0A1B60BD"/>
    <w:rsid w:val="0A382368"/>
    <w:rsid w:val="0D5D5C42"/>
    <w:rsid w:val="0E881903"/>
    <w:rsid w:val="0E9C78E3"/>
    <w:rsid w:val="0F846B80"/>
    <w:rsid w:val="107F61F2"/>
    <w:rsid w:val="10D939A5"/>
    <w:rsid w:val="11890621"/>
    <w:rsid w:val="1247068A"/>
    <w:rsid w:val="126C008B"/>
    <w:rsid w:val="1291195C"/>
    <w:rsid w:val="13666B31"/>
    <w:rsid w:val="152A0F41"/>
    <w:rsid w:val="15DE349E"/>
    <w:rsid w:val="16820E36"/>
    <w:rsid w:val="16CC646C"/>
    <w:rsid w:val="16DD5993"/>
    <w:rsid w:val="17192449"/>
    <w:rsid w:val="18C80C4B"/>
    <w:rsid w:val="1A923556"/>
    <w:rsid w:val="1C616530"/>
    <w:rsid w:val="1E9D0594"/>
    <w:rsid w:val="1EA01408"/>
    <w:rsid w:val="1EA21FDF"/>
    <w:rsid w:val="1EDF5020"/>
    <w:rsid w:val="1F29593C"/>
    <w:rsid w:val="1F51709C"/>
    <w:rsid w:val="1FCB0CC2"/>
    <w:rsid w:val="1FD41861"/>
    <w:rsid w:val="20607AD1"/>
    <w:rsid w:val="20BE2A44"/>
    <w:rsid w:val="22732647"/>
    <w:rsid w:val="23197101"/>
    <w:rsid w:val="231E7145"/>
    <w:rsid w:val="23487B36"/>
    <w:rsid w:val="238B6F39"/>
    <w:rsid w:val="23CE2811"/>
    <w:rsid w:val="267A1EFC"/>
    <w:rsid w:val="2695736E"/>
    <w:rsid w:val="26B446CD"/>
    <w:rsid w:val="27867BF7"/>
    <w:rsid w:val="2801515C"/>
    <w:rsid w:val="281105FD"/>
    <w:rsid w:val="28580DF7"/>
    <w:rsid w:val="28993050"/>
    <w:rsid w:val="28BC68C6"/>
    <w:rsid w:val="2AB638E3"/>
    <w:rsid w:val="2C820DC9"/>
    <w:rsid w:val="2CF021D7"/>
    <w:rsid w:val="2F5129F3"/>
    <w:rsid w:val="2F7E615E"/>
    <w:rsid w:val="30C13E31"/>
    <w:rsid w:val="314F5556"/>
    <w:rsid w:val="321F317F"/>
    <w:rsid w:val="336C189B"/>
    <w:rsid w:val="36073C0B"/>
    <w:rsid w:val="3A9A25B0"/>
    <w:rsid w:val="3B082DE1"/>
    <w:rsid w:val="3BA01D4C"/>
    <w:rsid w:val="3BF07AFD"/>
    <w:rsid w:val="3D2A69F0"/>
    <w:rsid w:val="3EB26D88"/>
    <w:rsid w:val="3EC85642"/>
    <w:rsid w:val="3F7A12F5"/>
    <w:rsid w:val="40671DCB"/>
    <w:rsid w:val="40C03509"/>
    <w:rsid w:val="40C56703"/>
    <w:rsid w:val="411E510D"/>
    <w:rsid w:val="418005E1"/>
    <w:rsid w:val="41C53BAE"/>
    <w:rsid w:val="433379C8"/>
    <w:rsid w:val="440B586E"/>
    <w:rsid w:val="4427517F"/>
    <w:rsid w:val="44E4666D"/>
    <w:rsid w:val="45D109A0"/>
    <w:rsid w:val="471B2DEA"/>
    <w:rsid w:val="49A32D66"/>
    <w:rsid w:val="49BE56DF"/>
    <w:rsid w:val="4A4831FA"/>
    <w:rsid w:val="4B3C5B28"/>
    <w:rsid w:val="4C030C69"/>
    <w:rsid w:val="4D6D55DC"/>
    <w:rsid w:val="4FAF7B58"/>
    <w:rsid w:val="50573AD2"/>
    <w:rsid w:val="5178029F"/>
    <w:rsid w:val="52163CF5"/>
    <w:rsid w:val="533C744B"/>
    <w:rsid w:val="54B97F1A"/>
    <w:rsid w:val="5500455B"/>
    <w:rsid w:val="556A1102"/>
    <w:rsid w:val="5774562F"/>
    <w:rsid w:val="57F95B34"/>
    <w:rsid w:val="58514D81"/>
    <w:rsid w:val="58EA5D45"/>
    <w:rsid w:val="590B523B"/>
    <w:rsid w:val="5A276988"/>
    <w:rsid w:val="5CCF29EE"/>
    <w:rsid w:val="5E5E5F4E"/>
    <w:rsid w:val="5F1A2F60"/>
    <w:rsid w:val="603E2DBB"/>
    <w:rsid w:val="619310C7"/>
    <w:rsid w:val="64F80876"/>
    <w:rsid w:val="66477914"/>
    <w:rsid w:val="66CD13A4"/>
    <w:rsid w:val="6A702141"/>
    <w:rsid w:val="6AE7340E"/>
    <w:rsid w:val="6B147BF9"/>
    <w:rsid w:val="6B781554"/>
    <w:rsid w:val="6C143FC0"/>
    <w:rsid w:val="6C6F0A68"/>
    <w:rsid w:val="6CA46403"/>
    <w:rsid w:val="73252077"/>
    <w:rsid w:val="7372318C"/>
    <w:rsid w:val="75E87F4B"/>
    <w:rsid w:val="76F02CAF"/>
    <w:rsid w:val="790F76AC"/>
    <w:rsid w:val="79517126"/>
    <w:rsid w:val="796901D9"/>
    <w:rsid w:val="7C2A47DB"/>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w:basedOn w:val="1"/>
    <w:qFormat/>
    <w:uiPriority w:val="0"/>
    <w:pPr>
      <w:adjustRightInd w:val="0"/>
      <w:snapToGrid w:val="0"/>
      <w:spacing w:line="360" w:lineRule="auto"/>
      <w:ind w:firstLine="170"/>
      <w:jc w:val="center"/>
    </w:pPr>
    <w:rPr>
      <w:rFonts w:ascii="宋体" w:hAnsi="宋体"/>
      <w:b/>
      <w:color w:val="000000"/>
      <w:sz w:val="44"/>
    </w:rPr>
  </w:style>
  <w:style w:type="paragraph" w:styleId="5">
    <w:name w:val="Body Text Indent 2"/>
    <w:basedOn w:val="1"/>
    <w:link w:val="14"/>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paragraph" w:styleId="7">
    <w:name w:val="Body Text First Indent 2"/>
    <w:basedOn w:val="4"/>
    <w:qFormat/>
    <w:uiPriority w:val="0"/>
    <w:pPr>
      <w:adjustRightInd/>
      <w:snapToGrid/>
      <w:spacing w:after="120" w:line="240" w:lineRule="auto"/>
      <w:ind w:left="420" w:leftChars="200" w:firstLine="420" w:firstLineChars="200"/>
      <w:jc w:val="both"/>
    </w:pPr>
    <w:rPr>
      <w:rFonts w:ascii="Times New Roman" w:hAnsi="Times New Roman"/>
      <w:b w:val="0"/>
      <w:color w:val="auto"/>
      <w:kern w:val="0"/>
      <w:sz w:val="21"/>
      <w:szCs w:val="20"/>
    </w:rPr>
  </w:style>
  <w:style w:type="character" w:styleId="10">
    <w:name w:val="Strong"/>
    <w:basedOn w:val="9"/>
    <w:qFormat/>
    <w:uiPriority w:val="0"/>
    <w:rPr>
      <w:b/>
    </w:rPr>
  </w:style>
  <w:style w:type="paragraph" w:customStyle="1" w:styleId="1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style>
  <w:style w:type="character" w:customStyle="1" w:styleId="14">
    <w:name w:val="正文文本缩进 2 Char"/>
    <w:link w:val="5"/>
    <w:autoRedefine/>
    <w:qFormat/>
    <w:uiPriority w:val="0"/>
    <w:rPr>
      <w:szCs w:val="20"/>
    </w:rPr>
  </w:style>
  <w:style w:type="character" w:customStyle="1" w:styleId="15">
    <w:name w:val="font11"/>
    <w:basedOn w:val="9"/>
    <w:autoRedefine/>
    <w:qFormat/>
    <w:uiPriority w:val="0"/>
    <w:rPr>
      <w:rFonts w:hint="eastAsia" w:ascii="宋体" w:hAnsi="宋体" w:eastAsia="宋体" w:cs="宋体"/>
      <w:color w:val="000000"/>
      <w:sz w:val="22"/>
      <w:szCs w:val="22"/>
      <w:u w:val="single"/>
    </w:rPr>
  </w:style>
  <w:style w:type="character" w:customStyle="1" w:styleId="16">
    <w:name w:val="font31"/>
    <w:basedOn w:val="9"/>
    <w:qFormat/>
    <w:uiPriority w:val="0"/>
    <w:rPr>
      <w:rFonts w:hint="eastAsia" w:ascii="宋体" w:hAnsi="宋体" w:eastAsia="宋体" w:cs="宋体"/>
      <w:color w:val="000000"/>
      <w:sz w:val="21"/>
      <w:szCs w:val="21"/>
      <w:u w:val="none"/>
    </w:rPr>
  </w:style>
  <w:style w:type="paragraph" w:styleId="17">
    <w:name w:val="List Paragraph"/>
    <w:basedOn w:val="1"/>
    <w:qFormat/>
    <w:uiPriority w:val="34"/>
    <w:pPr>
      <w:widowControl/>
      <w:ind w:firstLine="420" w:firstLineChars="200"/>
      <w:jc w:val="left"/>
    </w:pPr>
    <w:rPr>
      <w:kern w:val="0"/>
      <w:szCs w:val="20"/>
    </w:r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6821</Words>
  <Characters>7024</Characters>
  <Lines>55</Lines>
  <Paragraphs>15</Paragraphs>
  <TotalTime>1</TotalTime>
  <ScaleCrop>false</ScaleCrop>
  <LinksUpToDate>false</LinksUpToDate>
  <CharactersWithSpaces>7466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2026-09-15T01:26:53Z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