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67771">
      <w:pPr>
        <w:jc w:val="center"/>
        <w:rPr>
          <w:rFonts w:hint="eastAsia" w:ascii="宋体" w:hAnsi="宋体"/>
          <w:b/>
          <w:color w:val="auto"/>
          <w:kern w:val="28"/>
          <w:sz w:val="44"/>
          <w:szCs w:val="36"/>
        </w:rPr>
      </w:pPr>
      <w:r>
        <w:rPr>
          <w:rFonts w:hint="eastAsia" w:ascii="宋体" w:hAnsi="宋体"/>
          <w:b/>
          <w:color w:val="auto"/>
          <w:kern w:val="28"/>
          <w:sz w:val="44"/>
          <w:szCs w:val="36"/>
          <w:lang w:val="en-US" w:eastAsia="zh-CN"/>
        </w:rPr>
        <w:t xml:space="preserve">附件一 </w:t>
      </w:r>
      <w:r>
        <w:rPr>
          <w:rFonts w:hint="eastAsia" w:ascii="宋体" w:hAnsi="宋体"/>
          <w:b/>
          <w:color w:val="auto"/>
          <w:kern w:val="28"/>
          <w:sz w:val="44"/>
          <w:szCs w:val="36"/>
        </w:rPr>
        <w:t>采购</w:t>
      </w:r>
      <w:r>
        <w:rPr>
          <w:rFonts w:ascii="宋体" w:hAnsi="宋体"/>
          <w:b/>
          <w:color w:val="auto"/>
          <w:kern w:val="28"/>
          <w:sz w:val="44"/>
          <w:szCs w:val="36"/>
        </w:rPr>
        <w:t>需求书</w:t>
      </w:r>
    </w:p>
    <w:p w14:paraId="3790EF5C">
      <w:pPr>
        <w:numPr>
          <w:ilvl w:val="0"/>
          <w:numId w:val="1"/>
        </w:numPr>
        <w:spacing w:line="440" w:lineRule="exact"/>
        <w:rPr>
          <w:rFonts w:hint="eastAsia" w:ascii="仿宋" w:hAnsi="仿宋" w:eastAsia="仿宋" w:cs="仿宋"/>
          <w:b/>
          <w:color w:val="auto"/>
          <w:sz w:val="24"/>
        </w:rPr>
      </w:pPr>
      <w:r>
        <w:rPr>
          <w:rFonts w:hint="eastAsia" w:ascii="仿宋" w:hAnsi="仿宋" w:eastAsia="仿宋" w:cs="仿宋"/>
          <w:b/>
          <w:color w:val="auto"/>
          <w:sz w:val="24"/>
        </w:rPr>
        <w:t>总则：</w:t>
      </w:r>
    </w:p>
    <w:p w14:paraId="4E3B76EF">
      <w:pPr>
        <w:spacing w:line="440" w:lineRule="exact"/>
        <w:rPr>
          <w:rFonts w:hint="eastAsia" w:ascii="仿宋" w:hAnsi="仿宋" w:eastAsia="仿宋" w:cs="仿宋"/>
          <w:color w:val="auto"/>
          <w:sz w:val="24"/>
        </w:rPr>
      </w:pPr>
      <w:r>
        <w:rPr>
          <w:rFonts w:hint="eastAsia" w:ascii="仿宋" w:hAnsi="仿宋" w:eastAsia="仿宋" w:cs="仿宋"/>
          <w:color w:val="auto"/>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5A4E98D9">
      <w:pPr>
        <w:spacing w:line="440" w:lineRule="exact"/>
        <w:rPr>
          <w:rFonts w:hint="eastAsia" w:ascii="仿宋" w:hAnsi="仿宋" w:eastAsia="仿宋" w:cs="仿宋"/>
          <w:color w:val="auto"/>
          <w:sz w:val="24"/>
        </w:rPr>
      </w:pPr>
      <w:r>
        <w:rPr>
          <w:rFonts w:hint="eastAsia" w:ascii="仿宋" w:hAnsi="仿宋" w:eastAsia="仿宋" w:cs="仿宋"/>
          <w:color w:val="auto"/>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144A9780">
      <w:pPr>
        <w:spacing w:line="440" w:lineRule="exact"/>
        <w:rPr>
          <w:rFonts w:hint="eastAsia" w:ascii="仿宋" w:hAnsi="仿宋" w:eastAsia="仿宋" w:cs="仿宋"/>
          <w:color w:val="auto"/>
          <w:sz w:val="24"/>
        </w:rPr>
      </w:pPr>
      <w:r>
        <w:rPr>
          <w:rFonts w:hint="eastAsia" w:ascii="仿宋" w:hAnsi="仿宋" w:eastAsia="仿宋" w:cs="仿宋"/>
          <w:color w:val="auto"/>
          <w:sz w:val="24"/>
        </w:rPr>
        <w:t>3.★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0CA2B4BD">
      <w:pPr>
        <w:spacing w:line="440" w:lineRule="exact"/>
        <w:rPr>
          <w:rFonts w:hint="eastAsia" w:ascii="仿宋" w:hAnsi="仿宋" w:eastAsia="仿宋" w:cs="仿宋"/>
          <w:color w:val="auto"/>
          <w:sz w:val="24"/>
        </w:rPr>
      </w:pPr>
      <w:r>
        <w:rPr>
          <w:rFonts w:hint="eastAsia" w:ascii="仿宋" w:hAnsi="仿宋" w:eastAsia="仿宋" w:cs="仿宋"/>
          <w:color w:val="auto"/>
          <w:sz w:val="24"/>
        </w:rPr>
        <w:t>4.本文的“质保期”是指中标标的物经约定的验收机构完成验收之日起算，截至中标人承诺的期限。</w:t>
      </w:r>
    </w:p>
    <w:p w14:paraId="089C115F">
      <w:pPr>
        <w:spacing w:line="440" w:lineRule="exact"/>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5.</w:t>
      </w:r>
      <w:r>
        <w:rPr>
          <w:rFonts w:hint="eastAsia" w:ascii="仿宋" w:hAnsi="仿宋" w:eastAsia="仿宋" w:cs="仿宋"/>
          <w:color w:val="auto"/>
          <w:sz w:val="24"/>
        </w:rPr>
        <w:t>★</w:t>
      </w:r>
      <w:r>
        <w:rPr>
          <w:rFonts w:hint="eastAsia" w:ascii="仿宋" w:hAnsi="仿宋" w:eastAsia="仿宋" w:cs="仿宋"/>
          <w:b/>
          <w:color w:val="auto"/>
          <w:sz w:val="24"/>
          <w:lang w:val="en-US" w:eastAsia="zh-CN"/>
        </w:rPr>
        <w:t>本项目的台</w:t>
      </w:r>
      <w:bookmarkStart w:id="0" w:name="_GoBack"/>
      <w:bookmarkEnd w:id="0"/>
      <w:r>
        <w:rPr>
          <w:rFonts w:hint="eastAsia" w:ascii="仿宋" w:hAnsi="仿宋" w:eastAsia="仿宋" w:cs="仿宋"/>
          <w:b/>
          <w:color w:val="auto"/>
          <w:sz w:val="24"/>
          <w:lang w:val="en-US" w:eastAsia="zh-CN"/>
        </w:rPr>
        <w:t>式和便携式免疫分析仪必须同时响应，只报其中之一视为无效报名。</w:t>
      </w:r>
    </w:p>
    <w:p w14:paraId="79C38FB2">
      <w:pPr>
        <w:spacing w:line="440" w:lineRule="exact"/>
        <w:rPr>
          <w:rFonts w:hint="default" w:ascii="仿宋" w:hAnsi="仿宋" w:eastAsia="仿宋" w:cs="仿宋"/>
          <w:b/>
          <w:color w:val="auto"/>
          <w:sz w:val="24"/>
          <w:lang w:val="en-US" w:eastAsia="zh-CN"/>
        </w:rPr>
      </w:pPr>
      <w:r>
        <w:rPr>
          <w:rFonts w:hint="eastAsia" w:ascii="仿宋" w:hAnsi="仿宋" w:eastAsia="仿宋" w:cs="仿宋"/>
          <w:b/>
          <w:color w:val="auto"/>
          <w:sz w:val="24"/>
          <w:lang w:val="en-US" w:eastAsia="zh-CN"/>
        </w:rPr>
        <w:t>6.本项目的价格部分，由设备及试剂共同组成。</w:t>
      </w:r>
    </w:p>
    <w:p w14:paraId="58FC62B8">
      <w:pPr>
        <w:numPr>
          <w:ilvl w:val="0"/>
          <w:numId w:val="1"/>
        </w:numPr>
        <w:spacing w:line="440" w:lineRule="exact"/>
        <w:rPr>
          <w:rFonts w:hint="eastAsia" w:ascii="仿宋" w:hAnsi="仿宋" w:eastAsia="仿宋" w:cs="仿宋"/>
          <w:b/>
          <w:color w:val="auto"/>
          <w:sz w:val="24"/>
        </w:rPr>
      </w:pPr>
      <w:r>
        <w:rPr>
          <w:rFonts w:hint="eastAsia" w:ascii="仿宋" w:hAnsi="仿宋" w:eastAsia="仿宋" w:cs="仿宋"/>
          <w:b/>
          <w:color w:val="auto"/>
          <w:sz w:val="24"/>
        </w:rPr>
        <w:t>基本需求</w:t>
      </w:r>
    </w:p>
    <w:tbl>
      <w:tblPr>
        <w:tblStyle w:val="11"/>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13"/>
        <w:gridCol w:w="1313"/>
        <w:gridCol w:w="2097"/>
        <w:gridCol w:w="2097"/>
      </w:tblGrid>
      <w:tr w14:paraId="5C47D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3013" w:type="dxa"/>
            <w:vAlign w:val="center"/>
          </w:tcPr>
          <w:p w14:paraId="6563FF30">
            <w:pPr>
              <w:snapToGrid w:val="0"/>
              <w:jc w:val="center"/>
              <w:rPr>
                <w:rFonts w:hint="eastAsia" w:ascii="仿宋" w:hAnsi="仿宋" w:eastAsia="仿宋" w:cs="仿宋"/>
                <w:b/>
                <w:color w:val="auto"/>
                <w:sz w:val="24"/>
              </w:rPr>
            </w:pPr>
            <w:r>
              <w:rPr>
                <w:rFonts w:hint="eastAsia" w:ascii="仿宋" w:hAnsi="仿宋" w:eastAsia="仿宋" w:cs="仿宋"/>
                <w:b/>
                <w:color w:val="auto"/>
                <w:sz w:val="24"/>
              </w:rPr>
              <w:t>项目名称</w:t>
            </w:r>
          </w:p>
        </w:tc>
        <w:tc>
          <w:tcPr>
            <w:tcW w:w="1313" w:type="dxa"/>
            <w:vAlign w:val="center"/>
          </w:tcPr>
          <w:p w14:paraId="1E5CA236">
            <w:pPr>
              <w:snapToGrid w:val="0"/>
              <w:jc w:val="center"/>
              <w:rPr>
                <w:rFonts w:hint="eastAsia" w:ascii="仿宋" w:hAnsi="仿宋" w:eastAsia="仿宋" w:cs="仿宋"/>
                <w:b/>
                <w:color w:val="auto"/>
                <w:sz w:val="24"/>
              </w:rPr>
            </w:pPr>
            <w:r>
              <w:rPr>
                <w:rFonts w:hint="eastAsia" w:ascii="仿宋" w:hAnsi="仿宋" w:eastAsia="仿宋" w:cs="仿宋"/>
                <w:b/>
                <w:color w:val="auto"/>
                <w:sz w:val="24"/>
              </w:rPr>
              <w:t>数量（套）</w:t>
            </w:r>
          </w:p>
        </w:tc>
        <w:tc>
          <w:tcPr>
            <w:tcW w:w="2097" w:type="dxa"/>
            <w:vAlign w:val="center"/>
          </w:tcPr>
          <w:p w14:paraId="62C7C0BD">
            <w:pPr>
              <w:snapToGrid w:val="0"/>
              <w:jc w:val="center"/>
              <w:rPr>
                <w:rFonts w:hint="eastAsia" w:ascii="仿宋" w:hAnsi="仿宋" w:eastAsia="仿宋" w:cs="仿宋"/>
                <w:b/>
                <w:color w:val="auto"/>
                <w:sz w:val="24"/>
              </w:rPr>
            </w:pPr>
            <w:r>
              <w:rPr>
                <w:rFonts w:hint="eastAsia" w:ascii="仿宋" w:hAnsi="仿宋" w:eastAsia="仿宋" w:cs="仿宋"/>
                <w:b/>
                <w:color w:val="auto"/>
                <w:sz w:val="24"/>
              </w:rPr>
              <w:t>最高限价（元）</w:t>
            </w:r>
          </w:p>
        </w:tc>
        <w:tc>
          <w:tcPr>
            <w:tcW w:w="2097" w:type="dxa"/>
            <w:vAlign w:val="center"/>
          </w:tcPr>
          <w:p w14:paraId="76D803D4">
            <w:pPr>
              <w:snapToGrid w:val="0"/>
              <w:jc w:val="center"/>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合计（元）</w:t>
            </w:r>
          </w:p>
        </w:tc>
      </w:tr>
      <w:tr w14:paraId="3C56D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13" w:type="dxa"/>
            <w:vAlign w:val="center"/>
          </w:tcPr>
          <w:p w14:paraId="61DE865F">
            <w:pPr>
              <w:numPr>
                <w:ilvl w:val="-1"/>
                <w:numId w:val="0"/>
              </w:numPr>
              <w:snapToGrid w:val="0"/>
              <w:ind w:left="0" w:firstLine="0"/>
              <w:jc w:val="left"/>
              <w:rPr>
                <w:rFonts w:hint="eastAsia" w:ascii="仿宋" w:hAnsi="仿宋" w:eastAsia="仿宋" w:cs="仿宋"/>
                <w:color w:val="auto"/>
                <w:sz w:val="24"/>
              </w:rPr>
            </w:pPr>
            <w:r>
              <w:rPr>
                <w:rFonts w:hint="eastAsia" w:ascii="仿宋" w:eastAsia="仿宋" w:hAnsiTheme="majorEastAsia" w:cstheme="majorEastAsia"/>
                <w:color w:val="auto"/>
                <w:sz w:val="24"/>
                <w:lang w:val="en-US" w:eastAsia="zh-CN"/>
              </w:rPr>
              <w:t>床旁免疫分析仪（台式）</w:t>
            </w:r>
          </w:p>
        </w:tc>
        <w:tc>
          <w:tcPr>
            <w:tcW w:w="1313" w:type="dxa"/>
            <w:vAlign w:val="center"/>
          </w:tcPr>
          <w:p w14:paraId="15952E74">
            <w:pPr>
              <w:snapToGrid w:val="0"/>
              <w:jc w:val="center"/>
              <w:rPr>
                <w:rFonts w:hint="eastAsia" w:ascii="仿宋" w:hAnsi="仿宋" w:eastAsia="仿宋" w:cs="仿宋"/>
                <w:color w:val="auto"/>
                <w:sz w:val="24"/>
              </w:rPr>
            </w:pPr>
            <w:r>
              <w:rPr>
                <w:rFonts w:hint="eastAsia" w:ascii="仿宋" w:hAnsi="仿宋" w:eastAsia="仿宋" w:cs="仿宋"/>
                <w:color w:val="auto"/>
                <w:sz w:val="24"/>
                <w:lang w:val="en-US" w:eastAsia="zh-CN"/>
              </w:rPr>
              <w:t>3</w:t>
            </w:r>
          </w:p>
        </w:tc>
        <w:tc>
          <w:tcPr>
            <w:tcW w:w="2097" w:type="dxa"/>
            <w:vAlign w:val="center"/>
          </w:tcPr>
          <w:p w14:paraId="1723DCB4">
            <w:pPr>
              <w:snapToGrid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2430</w:t>
            </w:r>
          </w:p>
        </w:tc>
        <w:tc>
          <w:tcPr>
            <w:tcW w:w="2097" w:type="dxa"/>
            <w:vMerge w:val="restart"/>
            <w:vAlign w:val="center"/>
          </w:tcPr>
          <w:p w14:paraId="5D877BE8">
            <w:pPr>
              <w:snapToGrid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8886</w:t>
            </w:r>
          </w:p>
        </w:tc>
      </w:tr>
      <w:tr w14:paraId="247DC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13" w:type="dxa"/>
            <w:vAlign w:val="center"/>
          </w:tcPr>
          <w:p w14:paraId="7D393BF5">
            <w:pPr>
              <w:numPr>
                <w:ilvl w:val="-1"/>
                <w:numId w:val="0"/>
              </w:numPr>
              <w:snapToGrid w:val="0"/>
              <w:ind w:left="0" w:firstLine="0"/>
              <w:jc w:val="left"/>
              <w:rPr>
                <w:rFonts w:hint="eastAsia" w:ascii="仿宋" w:eastAsia="仿宋" w:hAnsiTheme="majorEastAsia" w:cstheme="majorEastAsia"/>
                <w:color w:val="auto"/>
                <w:sz w:val="24"/>
                <w:lang w:val="en-US" w:eastAsia="zh-CN"/>
              </w:rPr>
            </w:pPr>
            <w:r>
              <w:rPr>
                <w:rFonts w:hint="eastAsia" w:ascii="仿宋" w:eastAsia="仿宋" w:hAnsiTheme="majorEastAsia" w:cstheme="majorEastAsia"/>
                <w:color w:val="auto"/>
                <w:sz w:val="24"/>
                <w:lang w:val="en-US" w:eastAsia="zh-CN"/>
              </w:rPr>
              <w:t>床旁免疫分析仪（便携式）</w:t>
            </w:r>
          </w:p>
        </w:tc>
        <w:tc>
          <w:tcPr>
            <w:tcW w:w="1313" w:type="dxa"/>
            <w:vAlign w:val="center"/>
          </w:tcPr>
          <w:p w14:paraId="276CB59D">
            <w:pPr>
              <w:snapToGrid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2097" w:type="dxa"/>
            <w:vAlign w:val="center"/>
          </w:tcPr>
          <w:p w14:paraId="6CA9E85F">
            <w:pPr>
              <w:snapToGrid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1596</w:t>
            </w:r>
          </w:p>
        </w:tc>
        <w:tc>
          <w:tcPr>
            <w:tcW w:w="2097" w:type="dxa"/>
            <w:vMerge w:val="continue"/>
            <w:vAlign w:val="center"/>
          </w:tcPr>
          <w:p w14:paraId="789A0C86">
            <w:pPr>
              <w:snapToGrid w:val="0"/>
              <w:jc w:val="right"/>
              <w:rPr>
                <w:rFonts w:hint="eastAsia" w:ascii="仿宋" w:hAnsi="仿宋" w:eastAsia="仿宋" w:cs="仿宋"/>
                <w:color w:val="auto"/>
                <w:sz w:val="24"/>
                <w:lang w:val="en-US" w:eastAsia="zh-CN"/>
              </w:rPr>
            </w:pPr>
          </w:p>
        </w:tc>
      </w:tr>
    </w:tbl>
    <w:p w14:paraId="6C2513EA">
      <w:pPr>
        <w:numPr>
          <w:ilvl w:val="0"/>
          <w:numId w:val="1"/>
        </w:numPr>
        <w:spacing w:line="440" w:lineRule="exact"/>
        <w:rPr>
          <w:rFonts w:hint="eastAsia" w:ascii="仿宋" w:hAnsi="仿宋" w:eastAsia="仿宋" w:cs="仿宋"/>
          <w:b/>
          <w:color w:val="auto"/>
          <w:sz w:val="24"/>
        </w:rPr>
      </w:pPr>
      <w:r>
        <w:rPr>
          <w:rFonts w:hint="eastAsia" w:ascii="仿宋" w:hAnsi="仿宋" w:eastAsia="仿宋" w:cs="仿宋"/>
          <w:b/>
          <w:color w:val="auto"/>
          <w:sz w:val="24"/>
        </w:rPr>
        <w:t>技术参数：</w:t>
      </w:r>
    </w:p>
    <w:p w14:paraId="4962034C">
      <w:pPr>
        <w:numPr>
          <w:ilvl w:val="-1"/>
          <w:numId w:val="0"/>
        </w:numPr>
        <w:spacing w:line="440" w:lineRule="exact"/>
        <w:rPr>
          <w:rFonts w:hint="default" w:ascii="仿宋" w:hAnsi="仿宋" w:eastAsia="仿宋" w:cs="仿宋"/>
          <w:b/>
          <w:color w:val="auto"/>
          <w:sz w:val="24"/>
          <w:lang w:val="en-US" w:eastAsia="zh-CN"/>
        </w:rPr>
      </w:pPr>
      <w:r>
        <w:rPr>
          <w:rFonts w:hint="eastAsia" w:ascii="仿宋" w:hAnsi="仿宋" w:eastAsia="仿宋" w:cs="仿宋"/>
          <w:b/>
          <w:color w:val="auto"/>
          <w:sz w:val="24"/>
          <w:lang w:eastAsia="zh-CN"/>
        </w:rPr>
        <w:t>（</w:t>
      </w:r>
      <w:r>
        <w:rPr>
          <w:rFonts w:hint="eastAsia" w:ascii="仿宋" w:hAnsi="仿宋" w:eastAsia="仿宋" w:cs="仿宋"/>
          <w:b/>
          <w:color w:val="auto"/>
          <w:sz w:val="24"/>
          <w:lang w:val="en-US" w:eastAsia="zh-CN"/>
        </w:rPr>
        <w:t>一）床旁免疫分析仪（台式）</w:t>
      </w:r>
    </w:p>
    <w:p w14:paraId="5C947A4F">
      <w:pPr>
        <w:numPr>
          <w:ilvl w:val="-1"/>
          <w:numId w:val="0"/>
        </w:numPr>
        <w:spacing w:line="480" w:lineRule="exact"/>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i w:val="0"/>
          <w:iCs w:val="0"/>
          <w:caps w:val="0"/>
          <w:color w:val="auto"/>
          <w:spacing w:val="0"/>
          <w:sz w:val="24"/>
          <w:szCs w:val="24"/>
          <w:shd w:val="clear" w:fill="FFFFFF"/>
        </w:rPr>
        <w:t>用于心血管疾病等相关标志物的快速检测</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rPr>
        <w:t>满足胸痛中心等临床科室的即时检测（POCT）需求，能够对急性心肌梗死、心力衰竭、静脉血栓栓塞等疾病进行早期筛查、诊断及预后监测</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lang w:val="en-US" w:eastAsia="zh-CN"/>
        </w:rPr>
        <w:t>包括但不限于全血标本检测。</w:t>
      </w:r>
    </w:p>
    <w:p w14:paraId="37D69F38">
      <w:pPr>
        <w:numPr>
          <w:ilvl w:val="-1"/>
          <w:numId w:val="0"/>
        </w:numPr>
        <w:spacing w:line="480" w:lineRule="exact"/>
        <w:rPr>
          <w:rFonts w:hint="eastAsia" w:ascii="仿宋" w:hAnsi="仿宋" w:eastAsia="仿宋" w:cs="仿宋"/>
          <w:i w:val="0"/>
          <w:iCs w:val="0"/>
          <w:caps w:val="0"/>
          <w:color w:val="auto"/>
          <w:spacing w:val="0"/>
          <w:sz w:val="24"/>
          <w:szCs w:val="24"/>
          <w:shd w:val="clear" w:fill="FFFFFF"/>
          <w:lang w:val="en-US"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2.</w:t>
      </w:r>
      <w:r>
        <w:rPr>
          <w:rFonts w:hint="eastAsia" w:ascii="仿宋" w:hAnsi="仿宋" w:eastAsia="仿宋" w:cs="仿宋"/>
          <w:i w:val="0"/>
          <w:iCs w:val="0"/>
          <w:caps w:val="0"/>
          <w:color w:val="auto"/>
          <w:spacing w:val="0"/>
          <w:sz w:val="24"/>
          <w:szCs w:val="24"/>
          <w:shd w:val="clear" w:fill="FFFFFF"/>
          <w:lang w:val="en-US" w:eastAsia="zh-CN"/>
        </w:rPr>
        <w:t>床旁使用，</w:t>
      </w:r>
      <w:r>
        <w:rPr>
          <w:rFonts w:hint="eastAsia" w:ascii="仿宋" w:hAnsi="仿宋" w:eastAsia="仿宋" w:cs="仿宋"/>
          <w:i w:val="0"/>
          <w:iCs w:val="0"/>
          <w:caps w:val="0"/>
          <w:color w:val="auto"/>
          <w:spacing w:val="0"/>
          <w:sz w:val="24"/>
          <w:szCs w:val="24"/>
          <w:highlight w:val="none"/>
          <w:shd w:val="clear" w:fill="FFFFFF"/>
          <w:lang w:val="en-US" w:eastAsia="zh-CN"/>
        </w:rPr>
        <w:t>使用免疫分析法</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highlight w:val="none"/>
          <w:shd w:val="clear" w:fill="FFFFFF"/>
          <w:lang w:val="en-US" w:eastAsia="zh-CN"/>
        </w:rPr>
        <w:t>样本数大于9个，支持连续上样</w:t>
      </w:r>
      <w:r>
        <w:rPr>
          <w:rFonts w:hint="eastAsia" w:ascii="仿宋" w:hAnsi="仿宋" w:eastAsia="仿宋" w:cs="仿宋"/>
          <w:i w:val="0"/>
          <w:iCs w:val="0"/>
          <w:caps w:val="0"/>
          <w:color w:val="auto"/>
          <w:spacing w:val="0"/>
          <w:sz w:val="24"/>
          <w:szCs w:val="24"/>
          <w:shd w:val="clear" w:fill="FFFFFF"/>
          <w:lang w:val="en-US" w:eastAsia="zh-CN"/>
        </w:rPr>
        <w:t>。</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18752CBA">
      <w:pPr>
        <w:numPr>
          <w:ilvl w:val="-1"/>
          <w:numId w:val="0"/>
        </w:numPr>
        <w:spacing w:line="480" w:lineRule="exact"/>
        <w:rPr>
          <w:rFonts w:hint="eastAsia" w:ascii="仿宋" w:hAnsi="仿宋" w:eastAsia="仿宋" w:cs="仿宋"/>
          <w:i w:val="0"/>
          <w:iCs w:val="0"/>
          <w:caps w:val="0"/>
          <w:color w:val="auto"/>
          <w:spacing w:val="0"/>
          <w:sz w:val="24"/>
          <w:szCs w:val="24"/>
          <w:shd w:val="clear" w:color="auto" w:fill="auto"/>
          <w:lang w:val="en-US" w:eastAsia="zh-CN"/>
        </w:rPr>
      </w:pPr>
      <w:r>
        <w:rPr>
          <w:rFonts w:hint="eastAsia" w:ascii="仿宋" w:hAnsi="仿宋" w:eastAsia="仿宋" w:cs="仿宋"/>
          <w:color w:val="auto"/>
          <w:sz w:val="24"/>
          <w:shd w:val="clear" w:color="auto" w:fill="auto"/>
        </w:rPr>
        <w:t>★</w:t>
      </w:r>
      <w:r>
        <w:rPr>
          <w:rFonts w:hint="eastAsia" w:ascii="仿宋" w:hAnsi="仿宋" w:eastAsia="仿宋" w:cs="仿宋"/>
          <w:color w:val="auto"/>
          <w:sz w:val="24"/>
          <w:shd w:val="clear" w:color="auto" w:fill="auto"/>
          <w:lang w:val="en-US" w:eastAsia="zh-CN"/>
        </w:rPr>
        <w:t>3.</w:t>
      </w:r>
      <w:r>
        <w:rPr>
          <w:rFonts w:hint="eastAsia" w:ascii="仿宋" w:hAnsi="仿宋" w:eastAsia="仿宋" w:cs="仿宋"/>
          <w:i w:val="0"/>
          <w:iCs w:val="0"/>
          <w:caps w:val="0"/>
          <w:color w:val="auto"/>
          <w:spacing w:val="0"/>
          <w:sz w:val="24"/>
          <w:szCs w:val="24"/>
          <w:shd w:val="clear" w:color="auto" w:fill="auto"/>
        </w:rPr>
        <w:t>开展血清肌钙蛋白I测定、血浆D-二聚体测定(D-Dimer）、氨基末端钠尿肽前体或N末端B型钠尿肽原（NT—proBNP）测定</w:t>
      </w:r>
      <w:r>
        <w:rPr>
          <w:rFonts w:hint="eastAsia" w:ascii="仿宋" w:hAnsi="仿宋" w:eastAsia="仿宋" w:cs="仿宋"/>
          <w:i w:val="0"/>
          <w:iCs w:val="0"/>
          <w:caps w:val="0"/>
          <w:color w:val="auto"/>
          <w:spacing w:val="0"/>
          <w:sz w:val="24"/>
          <w:szCs w:val="24"/>
          <w:shd w:val="clear" w:color="auto" w:fill="auto"/>
          <w:lang w:val="en-US" w:eastAsia="zh-CN"/>
        </w:rPr>
        <w:t>；与免疫分析仪（便携式）</w:t>
      </w:r>
      <w:r>
        <w:rPr>
          <w:rFonts w:hint="eastAsia" w:ascii="仿宋" w:hAnsi="仿宋" w:eastAsia="仿宋" w:cs="仿宋"/>
          <w:i w:val="0"/>
          <w:iCs w:val="0"/>
          <w:caps w:val="0"/>
          <w:color w:val="auto"/>
          <w:spacing w:val="0"/>
          <w:sz w:val="24"/>
          <w:szCs w:val="24"/>
          <w:shd w:val="clear" w:color="auto" w:fill="auto"/>
        </w:rPr>
        <w:t>使用相同的专用或通用试剂</w:t>
      </w:r>
      <w:r>
        <w:rPr>
          <w:rFonts w:hint="eastAsia" w:ascii="仿宋" w:hAnsi="仿宋" w:eastAsia="仿宋" w:cs="仿宋"/>
          <w:i w:val="0"/>
          <w:iCs w:val="0"/>
          <w:caps w:val="0"/>
          <w:color w:val="auto"/>
          <w:spacing w:val="0"/>
          <w:sz w:val="24"/>
          <w:szCs w:val="24"/>
          <w:shd w:val="clear" w:color="auto" w:fill="auto"/>
          <w:lang w:val="en-US" w:eastAsia="zh-CN"/>
        </w:rPr>
        <w:t>，</w:t>
      </w:r>
      <w:r>
        <w:rPr>
          <w:rFonts w:hint="eastAsia" w:ascii="仿宋" w:hAnsi="仿宋" w:eastAsia="仿宋" w:cs="仿宋"/>
          <w:i w:val="0"/>
          <w:iCs w:val="0"/>
          <w:caps w:val="0"/>
          <w:color w:val="auto"/>
          <w:spacing w:val="0"/>
          <w:sz w:val="24"/>
          <w:szCs w:val="24"/>
          <w:shd w:val="clear" w:color="auto" w:fill="auto"/>
        </w:rPr>
        <w:t>试剂能同时在</w:t>
      </w:r>
      <w:r>
        <w:rPr>
          <w:rFonts w:hint="eastAsia" w:ascii="仿宋" w:hAnsi="仿宋" w:eastAsia="仿宋" w:cs="仿宋"/>
          <w:i w:val="0"/>
          <w:iCs w:val="0"/>
          <w:caps w:val="0"/>
          <w:color w:val="auto"/>
          <w:spacing w:val="0"/>
          <w:sz w:val="24"/>
          <w:szCs w:val="24"/>
          <w:shd w:val="clear" w:color="auto" w:fill="auto"/>
          <w:lang w:val="en-US" w:eastAsia="zh-CN"/>
        </w:rPr>
        <w:t>两台</w:t>
      </w:r>
      <w:r>
        <w:rPr>
          <w:rFonts w:hint="eastAsia" w:ascii="仿宋" w:hAnsi="仿宋" w:eastAsia="仿宋" w:cs="仿宋"/>
          <w:i w:val="0"/>
          <w:iCs w:val="0"/>
          <w:caps w:val="0"/>
          <w:color w:val="auto"/>
          <w:spacing w:val="0"/>
          <w:sz w:val="24"/>
          <w:szCs w:val="24"/>
          <w:shd w:val="clear" w:color="auto" w:fill="auto"/>
        </w:rPr>
        <w:t>设备上使用</w:t>
      </w:r>
      <w:r>
        <w:rPr>
          <w:rFonts w:hint="eastAsia" w:ascii="仿宋" w:hAnsi="仿宋" w:eastAsia="仿宋" w:cs="仿宋"/>
          <w:i w:val="0"/>
          <w:iCs w:val="0"/>
          <w:caps w:val="0"/>
          <w:color w:val="auto"/>
          <w:spacing w:val="0"/>
          <w:sz w:val="24"/>
          <w:szCs w:val="24"/>
          <w:shd w:val="clear" w:color="auto" w:fill="auto"/>
          <w:lang w:val="en-US" w:eastAsia="zh-CN"/>
        </w:rPr>
        <w:t>；单个试剂独立包装。</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2BED1960">
      <w:pPr>
        <w:numPr>
          <w:ilvl w:val="-1"/>
          <w:numId w:val="0"/>
        </w:numPr>
        <w:spacing w:line="480" w:lineRule="exact"/>
        <w:rPr>
          <w:rFonts w:hint="eastAsia" w:ascii="仿宋" w:hAnsi="仿宋" w:eastAsia="仿宋" w:cs="仿宋"/>
          <w:i w:val="0"/>
          <w:iCs w:val="0"/>
          <w:caps w:val="0"/>
          <w:color w:val="auto"/>
          <w:spacing w:val="0"/>
          <w:sz w:val="24"/>
          <w:szCs w:val="24"/>
          <w:shd w:val="clear" w:color="auto" w:fill="auto"/>
          <w:lang w:eastAsia="zh-CN"/>
        </w:rPr>
      </w:pPr>
      <w:r>
        <w:rPr>
          <w:rFonts w:hint="eastAsia" w:ascii="仿宋" w:hAnsi="仿宋" w:eastAsia="仿宋" w:cs="仿宋"/>
          <w:color w:val="auto"/>
          <w:sz w:val="24"/>
          <w:shd w:val="clear" w:color="auto" w:fill="auto"/>
        </w:rPr>
        <w:t>★</w:t>
      </w:r>
      <w:r>
        <w:rPr>
          <w:rFonts w:hint="eastAsia" w:ascii="仿宋" w:hAnsi="仿宋" w:eastAsia="仿宋" w:cs="仿宋"/>
          <w:i w:val="0"/>
          <w:iCs w:val="0"/>
          <w:caps w:val="0"/>
          <w:color w:val="auto"/>
          <w:spacing w:val="0"/>
          <w:sz w:val="24"/>
          <w:szCs w:val="24"/>
          <w:shd w:val="clear" w:color="auto" w:fill="auto"/>
          <w:lang w:val="en-US" w:eastAsia="zh-CN"/>
        </w:rPr>
        <w:t>4.</w:t>
      </w:r>
      <w:r>
        <w:rPr>
          <w:rFonts w:hint="eastAsia" w:ascii="仿宋" w:hAnsi="仿宋" w:eastAsia="仿宋" w:cs="仿宋"/>
          <w:i w:val="0"/>
          <w:iCs w:val="0"/>
          <w:caps w:val="0"/>
          <w:color w:val="auto"/>
          <w:spacing w:val="0"/>
          <w:sz w:val="24"/>
          <w:szCs w:val="24"/>
          <w:shd w:val="clear" w:color="auto" w:fill="auto"/>
        </w:rPr>
        <w:t>检测时间：血清肌钙蛋白I测定从进样到出结果不超过1</w:t>
      </w:r>
      <w:r>
        <w:rPr>
          <w:rFonts w:hint="eastAsia" w:ascii="仿宋" w:hAnsi="仿宋" w:eastAsia="仿宋" w:cs="仿宋"/>
          <w:i w:val="0"/>
          <w:iCs w:val="0"/>
          <w:caps w:val="0"/>
          <w:color w:val="auto"/>
          <w:spacing w:val="0"/>
          <w:sz w:val="24"/>
          <w:szCs w:val="24"/>
          <w:shd w:val="clear" w:color="auto" w:fill="auto"/>
          <w:lang w:val="en-US" w:eastAsia="zh-CN"/>
        </w:rPr>
        <w:t>5</w:t>
      </w:r>
      <w:r>
        <w:rPr>
          <w:rFonts w:hint="eastAsia" w:ascii="仿宋" w:hAnsi="仿宋" w:eastAsia="仿宋" w:cs="仿宋"/>
          <w:i w:val="0"/>
          <w:iCs w:val="0"/>
          <w:caps w:val="0"/>
          <w:color w:val="auto"/>
          <w:spacing w:val="0"/>
          <w:sz w:val="24"/>
          <w:szCs w:val="24"/>
          <w:shd w:val="clear" w:color="auto" w:fill="auto"/>
        </w:rPr>
        <w:t>分钟</w:t>
      </w:r>
      <w:r>
        <w:rPr>
          <w:rFonts w:hint="eastAsia" w:ascii="仿宋" w:hAnsi="仿宋" w:eastAsia="仿宋" w:cs="仿宋"/>
          <w:i w:val="0"/>
          <w:iCs w:val="0"/>
          <w:caps w:val="0"/>
          <w:color w:val="auto"/>
          <w:spacing w:val="0"/>
          <w:sz w:val="24"/>
          <w:szCs w:val="24"/>
          <w:shd w:val="clear" w:color="auto" w:fill="auto"/>
          <w:lang w:val="en-US" w:eastAsia="zh-CN"/>
        </w:rPr>
        <w:t>；</w:t>
      </w:r>
      <w:r>
        <w:rPr>
          <w:rFonts w:hint="eastAsia" w:ascii="仿宋" w:hAnsi="仿宋" w:eastAsia="仿宋" w:cs="仿宋"/>
          <w:i w:val="0"/>
          <w:iCs w:val="0"/>
          <w:caps w:val="0"/>
          <w:color w:val="auto"/>
          <w:spacing w:val="0"/>
          <w:sz w:val="24"/>
          <w:szCs w:val="24"/>
          <w:shd w:val="clear" w:color="auto" w:fill="auto"/>
        </w:rPr>
        <w:t>血浆D-二聚体测定(D-Dimer）、氨基末端钠尿肽前体或N末端B型钠尿肽原（NT—proBNP）测定从进样到出结果不超过10分钟</w:t>
      </w:r>
      <w:r>
        <w:rPr>
          <w:rFonts w:hint="eastAsia" w:ascii="仿宋" w:hAnsi="仿宋" w:eastAsia="仿宋" w:cs="仿宋"/>
          <w:i w:val="0"/>
          <w:iCs w:val="0"/>
          <w:caps w:val="0"/>
          <w:color w:val="auto"/>
          <w:spacing w:val="0"/>
          <w:sz w:val="24"/>
          <w:szCs w:val="24"/>
          <w:shd w:val="clear" w:color="auto" w:fill="auto"/>
          <w:lang w:eastAsia="zh-CN"/>
        </w:rPr>
        <w:t>。</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056C3985">
      <w:pPr>
        <w:numPr>
          <w:ilvl w:val="-1"/>
          <w:numId w:val="0"/>
        </w:numPr>
        <w:spacing w:line="480" w:lineRule="exact"/>
        <w:rPr>
          <w:rFonts w:hint="eastAsia" w:ascii="仿宋" w:hAnsi="仿宋" w:eastAsia="仿宋" w:cs="仿宋"/>
          <w:color w:val="auto"/>
          <w:sz w:val="24"/>
          <w:szCs w:val="24"/>
          <w:shd w:val="clear" w:color="auto" w:fill="auto"/>
          <w:lang w:eastAsia="zh-CN"/>
        </w:rPr>
      </w:pPr>
      <w:r>
        <w:rPr>
          <w:rFonts w:hint="eastAsia" w:ascii="仿宋" w:hAnsi="仿宋" w:eastAsia="仿宋" w:cs="仿宋"/>
          <w:color w:val="auto"/>
          <w:sz w:val="24"/>
          <w:shd w:val="clear" w:color="auto" w:fill="auto"/>
        </w:rPr>
        <w:t>★</w:t>
      </w:r>
      <w:r>
        <w:rPr>
          <w:rFonts w:hint="eastAsia" w:ascii="仿宋" w:hAnsi="仿宋" w:eastAsia="仿宋" w:cs="仿宋"/>
          <w:i w:val="0"/>
          <w:iCs w:val="0"/>
          <w:caps w:val="0"/>
          <w:color w:val="auto"/>
          <w:spacing w:val="0"/>
          <w:sz w:val="24"/>
          <w:szCs w:val="24"/>
          <w:shd w:val="clear" w:color="auto" w:fill="auto"/>
          <w:lang w:val="en-US" w:eastAsia="zh-CN"/>
        </w:rPr>
        <w:t>5.</w:t>
      </w:r>
      <w:r>
        <w:rPr>
          <w:rFonts w:hint="eastAsia" w:ascii="仿宋" w:hAnsi="仿宋" w:eastAsia="仿宋" w:cs="仿宋"/>
          <w:color w:val="auto"/>
          <w:sz w:val="24"/>
          <w:szCs w:val="24"/>
          <w:shd w:val="clear" w:color="auto" w:fill="auto"/>
        </w:rPr>
        <w:t>设备连接医院LIS系统</w:t>
      </w:r>
      <w:r>
        <w:rPr>
          <w:rFonts w:hint="eastAsia" w:ascii="仿宋" w:hAnsi="仿宋" w:eastAsia="仿宋" w:cs="仿宋"/>
          <w:color w:val="auto"/>
          <w:sz w:val="24"/>
          <w:szCs w:val="24"/>
          <w:shd w:val="clear" w:color="auto" w:fill="auto"/>
          <w:lang w:eastAsia="zh-CN"/>
        </w:rPr>
        <w:t>，</w:t>
      </w:r>
      <w:r>
        <w:rPr>
          <w:rFonts w:hint="eastAsia" w:ascii="仿宋" w:hAnsi="仿宋" w:eastAsia="仿宋" w:cs="仿宋"/>
          <w:color w:val="auto"/>
          <w:sz w:val="24"/>
          <w:szCs w:val="24"/>
          <w:shd w:val="clear" w:color="auto" w:fill="auto"/>
          <w:lang w:val="en-US" w:eastAsia="zh-CN"/>
        </w:rPr>
        <w:t>结果自动上传</w:t>
      </w:r>
      <w:r>
        <w:rPr>
          <w:rFonts w:hint="eastAsia" w:ascii="仿宋" w:hAnsi="仿宋" w:eastAsia="仿宋" w:cs="仿宋"/>
          <w:color w:val="auto"/>
          <w:sz w:val="24"/>
          <w:szCs w:val="24"/>
          <w:shd w:val="clear" w:color="auto" w:fill="auto"/>
          <w:lang w:eastAsia="zh-CN"/>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p>
    <w:p w14:paraId="0DC42C96">
      <w:pPr>
        <w:numPr>
          <w:ilvl w:val="-1"/>
          <w:numId w:val="0"/>
        </w:numPr>
        <w:spacing w:line="480" w:lineRule="exact"/>
        <w:rPr>
          <w:rFonts w:hint="eastAsia" w:ascii="仿宋" w:hAnsi="仿宋" w:eastAsia="仿宋" w:cs="仿宋"/>
          <w:color w:val="auto"/>
          <w:sz w:val="24"/>
          <w:szCs w:val="24"/>
          <w:shd w:val="clear" w:color="auto" w:fill="auto"/>
        </w:rPr>
      </w:pPr>
      <w:r>
        <w:rPr>
          <w:rFonts w:hint="eastAsia" w:ascii="仿宋" w:hAnsi="仿宋" w:eastAsia="仿宋" w:cs="仿宋"/>
          <w:color w:val="auto"/>
          <w:sz w:val="24"/>
          <w:shd w:val="clear" w:color="auto" w:fill="auto"/>
        </w:rPr>
        <w:t>▲</w:t>
      </w:r>
      <w:r>
        <w:rPr>
          <w:rFonts w:hint="eastAsia" w:ascii="仿宋" w:hAnsi="仿宋" w:eastAsia="仿宋" w:cs="仿宋"/>
          <w:color w:val="auto"/>
          <w:sz w:val="24"/>
          <w:shd w:val="clear" w:color="auto" w:fill="auto"/>
          <w:lang w:val="en-US" w:eastAsia="zh-CN"/>
        </w:rPr>
        <w:t>6.</w:t>
      </w:r>
      <w:r>
        <w:rPr>
          <w:rFonts w:hint="eastAsia" w:ascii="仿宋" w:hAnsi="仿宋" w:eastAsia="仿宋" w:cs="仿宋"/>
          <w:color w:val="auto"/>
          <w:sz w:val="24"/>
          <w:szCs w:val="24"/>
          <w:shd w:val="clear" w:color="auto" w:fill="auto"/>
          <w:lang w:val="en-US" w:eastAsia="zh-CN"/>
        </w:rPr>
        <w:t>台式免疫分析仪尺寸≤长652mm宽595mm高740mm。</w:t>
      </w:r>
    </w:p>
    <w:p w14:paraId="137257A7">
      <w:pPr>
        <w:numPr>
          <w:ilvl w:val="0"/>
          <w:numId w:val="0"/>
        </w:numPr>
        <w:spacing w:line="480" w:lineRule="exac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（二）床旁免疫分析仪（便携式）</w:t>
      </w:r>
    </w:p>
    <w:p w14:paraId="3B60F060">
      <w:pPr>
        <w:numPr>
          <w:ilvl w:val="-1"/>
          <w:numId w:val="0"/>
        </w:numPr>
        <w:spacing w:line="480" w:lineRule="exact"/>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i w:val="0"/>
          <w:iCs w:val="0"/>
          <w:caps w:val="0"/>
          <w:color w:val="auto"/>
          <w:spacing w:val="0"/>
          <w:sz w:val="24"/>
          <w:szCs w:val="24"/>
          <w:shd w:val="clear" w:fill="FFFFFF"/>
        </w:rPr>
        <w:t>用于心血管疾病等相关标志物的快速检测</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rPr>
        <w:t>满足胸痛中心等临床科室的即时检测（POCT）需求，能够对急性心肌梗死、心力衰竭、静脉血栓栓塞等疾病进行早期筛查、诊断及预后监测</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lang w:val="en-US" w:eastAsia="zh-CN"/>
        </w:rPr>
        <w:t>包括但不限于全血标本检测。</w:t>
      </w:r>
    </w:p>
    <w:p w14:paraId="6CBB31C6">
      <w:pPr>
        <w:numPr>
          <w:ilvl w:val="-1"/>
          <w:numId w:val="0"/>
        </w:numPr>
        <w:spacing w:line="480" w:lineRule="exact"/>
        <w:rPr>
          <w:rFonts w:hint="eastAsia" w:ascii="仿宋" w:hAnsi="仿宋" w:eastAsia="仿宋" w:cs="仿宋"/>
          <w:i w:val="0"/>
          <w:iCs w:val="0"/>
          <w:caps w:val="0"/>
          <w:color w:val="auto"/>
          <w:spacing w:val="0"/>
          <w:sz w:val="24"/>
          <w:szCs w:val="24"/>
          <w:shd w:val="clear" w:fill="FFFFFF"/>
          <w:lang w:val="en-US"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2.</w:t>
      </w:r>
      <w:r>
        <w:rPr>
          <w:rFonts w:hint="eastAsia" w:ascii="仿宋" w:hAnsi="仿宋" w:eastAsia="仿宋" w:cs="仿宋"/>
          <w:i w:val="0"/>
          <w:iCs w:val="0"/>
          <w:caps w:val="0"/>
          <w:color w:val="auto"/>
          <w:spacing w:val="0"/>
          <w:sz w:val="24"/>
          <w:szCs w:val="24"/>
          <w:shd w:val="clear" w:fill="FFFFFF"/>
          <w:lang w:val="en-US" w:eastAsia="zh-CN"/>
        </w:rPr>
        <w:t>床旁使用，</w:t>
      </w:r>
      <w:r>
        <w:rPr>
          <w:rFonts w:hint="eastAsia" w:ascii="仿宋" w:hAnsi="仿宋" w:eastAsia="仿宋" w:cs="仿宋"/>
          <w:i w:val="0"/>
          <w:iCs w:val="0"/>
          <w:caps w:val="0"/>
          <w:color w:val="auto"/>
          <w:spacing w:val="0"/>
          <w:sz w:val="24"/>
          <w:szCs w:val="24"/>
          <w:highlight w:val="none"/>
          <w:shd w:val="clear" w:fill="FFFFFF"/>
          <w:lang w:val="en-US" w:eastAsia="zh-CN"/>
        </w:rPr>
        <w:t>使用免疫分析法</w:t>
      </w:r>
      <w:r>
        <w:rPr>
          <w:rFonts w:hint="eastAsia" w:ascii="仿宋" w:hAnsi="仿宋" w:eastAsia="仿宋" w:cs="仿宋"/>
          <w:i w:val="0"/>
          <w:iCs w:val="0"/>
          <w:caps w:val="0"/>
          <w:color w:val="auto"/>
          <w:spacing w:val="0"/>
          <w:sz w:val="24"/>
          <w:szCs w:val="24"/>
          <w:shd w:val="clear" w:fill="FFFFFF"/>
          <w:lang w:val="en-US" w:eastAsia="zh-CN"/>
        </w:rPr>
        <w:t>；</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77CEABE5">
      <w:pPr>
        <w:numPr>
          <w:ilvl w:val="-1"/>
          <w:numId w:val="0"/>
        </w:numPr>
        <w:spacing w:line="480" w:lineRule="exact"/>
        <w:rPr>
          <w:rFonts w:hint="eastAsia" w:ascii="仿宋" w:hAnsi="仿宋" w:eastAsia="仿宋" w:cs="仿宋"/>
          <w:i w:val="0"/>
          <w:iCs w:val="0"/>
          <w:caps w:val="0"/>
          <w:color w:val="auto"/>
          <w:spacing w:val="0"/>
          <w:sz w:val="24"/>
          <w:szCs w:val="24"/>
          <w:shd w:val="clear" w:color="auto" w:fill="auto"/>
          <w:lang w:val="en-US"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3.</w:t>
      </w:r>
      <w:r>
        <w:rPr>
          <w:rFonts w:hint="eastAsia" w:ascii="仿宋" w:hAnsi="仿宋" w:eastAsia="仿宋" w:cs="仿宋"/>
          <w:i w:val="0"/>
          <w:iCs w:val="0"/>
          <w:caps w:val="0"/>
          <w:color w:val="auto"/>
          <w:spacing w:val="0"/>
          <w:sz w:val="24"/>
          <w:szCs w:val="24"/>
          <w:shd w:val="clear" w:color="auto" w:fill="auto"/>
        </w:rPr>
        <w:t>开展血清肌钙蛋白I测定、血浆D-二聚体测定(D-Dimer）、氨基末端钠尿肽前体或N末端B型钠尿肽原（NT—proBNP）测定</w:t>
      </w:r>
      <w:r>
        <w:rPr>
          <w:rFonts w:hint="eastAsia" w:ascii="仿宋" w:hAnsi="仿宋" w:eastAsia="仿宋" w:cs="仿宋"/>
          <w:i w:val="0"/>
          <w:iCs w:val="0"/>
          <w:caps w:val="0"/>
          <w:color w:val="auto"/>
          <w:spacing w:val="0"/>
          <w:sz w:val="24"/>
          <w:szCs w:val="24"/>
          <w:shd w:val="clear" w:color="auto" w:fill="auto"/>
          <w:lang w:val="en-US" w:eastAsia="zh-CN"/>
        </w:rPr>
        <w:t>；与免疫分析仪（台式）</w:t>
      </w:r>
      <w:r>
        <w:rPr>
          <w:rFonts w:hint="eastAsia" w:ascii="仿宋" w:hAnsi="仿宋" w:eastAsia="仿宋" w:cs="仿宋"/>
          <w:i w:val="0"/>
          <w:iCs w:val="0"/>
          <w:caps w:val="0"/>
          <w:color w:val="auto"/>
          <w:spacing w:val="0"/>
          <w:sz w:val="24"/>
          <w:szCs w:val="24"/>
          <w:shd w:val="clear" w:color="auto" w:fill="auto"/>
        </w:rPr>
        <w:t>使用相同的专用或通用试剂</w:t>
      </w:r>
      <w:r>
        <w:rPr>
          <w:rFonts w:hint="eastAsia" w:ascii="仿宋" w:hAnsi="仿宋" w:eastAsia="仿宋" w:cs="仿宋"/>
          <w:i w:val="0"/>
          <w:iCs w:val="0"/>
          <w:caps w:val="0"/>
          <w:color w:val="auto"/>
          <w:spacing w:val="0"/>
          <w:sz w:val="24"/>
          <w:szCs w:val="24"/>
          <w:shd w:val="clear" w:color="auto" w:fill="auto"/>
          <w:lang w:eastAsia="zh-CN"/>
        </w:rPr>
        <w:t>，</w:t>
      </w:r>
      <w:r>
        <w:rPr>
          <w:rFonts w:hint="eastAsia" w:ascii="仿宋" w:hAnsi="仿宋" w:eastAsia="仿宋" w:cs="仿宋"/>
          <w:i w:val="0"/>
          <w:iCs w:val="0"/>
          <w:caps w:val="0"/>
          <w:color w:val="auto"/>
          <w:spacing w:val="0"/>
          <w:sz w:val="24"/>
          <w:szCs w:val="24"/>
          <w:shd w:val="clear" w:color="auto" w:fill="auto"/>
        </w:rPr>
        <w:t>试剂能同时在两种设备上使用</w:t>
      </w:r>
      <w:r>
        <w:rPr>
          <w:rFonts w:hint="eastAsia" w:ascii="仿宋" w:hAnsi="仿宋" w:eastAsia="仿宋" w:cs="仿宋"/>
          <w:i w:val="0"/>
          <w:iCs w:val="0"/>
          <w:caps w:val="0"/>
          <w:color w:val="auto"/>
          <w:spacing w:val="0"/>
          <w:sz w:val="24"/>
          <w:szCs w:val="24"/>
          <w:shd w:val="clear" w:color="auto" w:fill="auto"/>
          <w:lang w:val="en-US" w:eastAsia="zh-CN"/>
        </w:rPr>
        <w:t>；单个试剂独立包装。</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40979770">
      <w:pPr>
        <w:numPr>
          <w:ilvl w:val="-1"/>
          <w:numId w:val="0"/>
        </w:numPr>
        <w:spacing w:line="480" w:lineRule="exact"/>
        <w:rPr>
          <w:rFonts w:hint="eastAsia" w:ascii="仿宋" w:hAnsi="仿宋" w:eastAsia="仿宋" w:cs="仿宋"/>
          <w:i w:val="0"/>
          <w:iCs w:val="0"/>
          <w:caps w:val="0"/>
          <w:color w:val="auto"/>
          <w:spacing w:val="0"/>
          <w:sz w:val="24"/>
          <w:szCs w:val="24"/>
          <w:shd w:val="clear" w:color="auto" w:fill="auto"/>
          <w:lang w:eastAsia="zh-CN"/>
        </w:rPr>
      </w:pPr>
      <w:r>
        <w:rPr>
          <w:rFonts w:hint="eastAsia" w:ascii="仿宋" w:hAnsi="仿宋" w:eastAsia="仿宋" w:cs="仿宋"/>
          <w:color w:val="auto"/>
          <w:sz w:val="24"/>
          <w:shd w:val="clear" w:color="auto" w:fill="auto"/>
        </w:rPr>
        <w:t>★</w:t>
      </w:r>
      <w:r>
        <w:rPr>
          <w:rFonts w:hint="eastAsia" w:ascii="仿宋" w:hAnsi="仿宋" w:eastAsia="仿宋" w:cs="仿宋"/>
          <w:i w:val="0"/>
          <w:iCs w:val="0"/>
          <w:caps w:val="0"/>
          <w:color w:val="auto"/>
          <w:spacing w:val="0"/>
          <w:sz w:val="24"/>
          <w:szCs w:val="24"/>
          <w:shd w:val="clear" w:color="auto" w:fill="auto"/>
          <w:lang w:val="en-US" w:eastAsia="zh-CN"/>
        </w:rPr>
        <w:t>4.</w:t>
      </w:r>
      <w:r>
        <w:rPr>
          <w:rFonts w:hint="eastAsia" w:ascii="仿宋" w:hAnsi="仿宋" w:eastAsia="仿宋" w:cs="仿宋"/>
          <w:i w:val="0"/>
          <w:iCs w:val="0"/>
          <w:caps w:val="0"/>
          <w:color w:val="auto"/>
          <w:spacing w:val="0"/>
          <w:sz w:val="24"/>
          <w:szCs w:val="24"/>
          <w:shd w:val="clear" w:color="auto" w:fill="auto"/>
        </w:rPr>
        <w:t>检测时间：血清肌钙蛋白I测定从进样到出结果不超过1</w:t>
      </w:r>
      <w:r>
        <w:rPr>
          <w:rFonts w:hint="eastAsia" w:ascii="仿宋" w:hAnsi="仿宋" w:eastAsia="仿宋" w:cs="仿宋"/>
          <w:i w:val="0"/>
          <w:iCs w:val="0"/>
          <w:caps w:val="0"/>
          <w:color w:val="auto"/>
          <w:spacing w:val="0"/>
          <w:sz w:val="24"/>
          <w:szCs w:val="24"/>
          <w:shd w:val="clear" w:color="auto" w:fill="auto"/>
          <w:lang w:val="en-US" w:eastAsia="zh-CN"/>
        </w:rPr>
        <w:t>5</w:t>
      </w:r>
      <w:r>
        <w:rPr>
          <w:rFonts w:hint="eastAsia" w:ascii="仿宋" w:hAnsi="仿宋" w:eastAsia="仿宋" w:cs="仿宋"/>
          <w:i w:val="0"/>
          <w:iCs w:val="0"/>
          <w:caps w:val="0"/>
          <w:color w:val="auto"/>
          <w:spacing w:val="0"/>
          <w:sz w:val="24"/>
          <w:szCs w:val="24"/>
          <w:shd w:val="clear" w:color="auto" w:fill="auto"/>
        </w:rPr>
        <w:t>分钟</w:t>
      </w:r>
      <w:r>
        <w:rPr>
          <w:rFonts w:hint="eastAsia" w:ascii="仿宋" w:hAnsi="仿宋" w:eastAsia="仿宋" w:cs="仿宋"/>
          <w:i w:val="0"/>
          <w:iCs w:val="0"/>
          <w:caps w:val="0"/>
          <w:color w:val="auto"/>
          <w:spacing w:val="0"/>
          <w:sz w:val="24"/>
          <w:szCs w:val="24"/>
          <w:shd w:val="clear" w:color="auto" w:fill="auto"/>
          <w:lang w:val="en-US" w:eastAsia="zh-CN"/>
        </w:rPr>
        <w:t>；</w:t>
      </w:r>
      <w:r>
        <w:rPr>
          <w:rFonts w:hint="eastAsia" w:ascii="仿宋" w:hAnsi="仿宋" w:eastAsia="仿宋" w:cs="仿宋"/>
          <w:i w:val="0"/>
          <w:iCs w:val="0"/>
          <w:caps w:val="0"/>
          <w:color w:val="auto"/>
          <w:spacing w:val="0"/>
          <w:sz w:val="24"/>
          <w:szCs w:val="24"/>
          <w:shd w:val="clear" w:color="auto" w:fill="auto"/>
        </w:rPr>
        <w:t>血浆D-二聚体测定(D-Dimer）、氨基末端钠尿肽前体或N末端B型钠尿肽原（NT—proBNP）测定从进样到出结果不超过10分钟</w:t>
      </w:r>
      <w:r>
        <w:rPr>
          <w:rFonts w:hint="eastAsia" w:ascii="仿宋" w:hAnsi="仿宋" w:eastAsia="仿宋" w:cs="仿宋"/>
          <w:i w:val="0"/>
          <w:iCs w:val="0"/>
          <w:caps w:val="0"/>
          <w:color w:val="auto"/>
          <w:spacing w:val="0"/>
          <w:sz w:val="24"/>
          <w:szCs w:val="24"/>
          <w:shd w:val="clear" w:color="auto" w:fill="auto"/>
          <w:lang w:eastAsia="zh-CN"/>
        </w:rPr>
        <w:t>。</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4F768AD7">
      <w:pPr>
        <w:numPr>
          <w:ilvl w:val="-1"/>
          <w:numId w:val="0"/>
        </w:numPr>
        <w:spacing w:line="480" w:lineRule="exact"/>
        <w:rPr>
          <w:rFonts w:hint="eastAsia" w:ascii="仿宋" w:hAnsi="仿宋" w:eastAsia="仿宋" w:cs="仿宋"/>
          <w:color w:val="auto"/>
          <w:sz w:val="24"/>
        </w:rPr>
      </w:pPr>
      <w:r>
        <w:rPr>
          <w:rFonts w:hint="eastAsia" w:ascii="仿宋" w:hAnsi="仿宋" w:eastAsia="仿宋" w:cs="仿宋"/>
          <w:color w:val="auto"/>
          <w:sz w:val="24"/>
          <w:highlight w:val="none"/>
          <w:shd w:val="clear" w:color="auto" w:fill="auto"/>
        </w:rPr>
        <w:t>★</w:t>
      </w:r>
      <w:r>
        <w:rPr>
          <w:rFonts w:hint="eastAsia" w:ascii="仿宋" w:hAnsi="仿宋" w:eastAsia="仿宋" w:cs="仿宋"/>
          <w:i w:val="0"/>
          <w:iCs w:val="0"/>
          <w:caps w:val="0"/>
          <w:color w:val="auto"/>
          <w:spacing w:val="0"/>
          <w:sz w:val="24"/>
          <w:szCs w:val="24"/>
          <w:highlight w:val="none"/>
          <w:shd w:val="clear" w:color="auto" w:fill="auto"/>
          <w:lang w:val="en-US" w:eastAsia="zh-CN"/>
        </w:rPr>
        <w:t>5.</w:t>
      </w:r>
      <w:r>
        <w:rPr>
          <w:rFonts w:hint="eastAsia" w:ascii="仿宋" w:hAnsi="仿宋" w:eastAsia="仿宋" w:cs="仿宋"/>
          <w:color w:val="auto"/>
          <w:sz w:val="24"/>
          <w:szCs w:val="24"/>
          <w:highlight w:val="none"/>
          <w:shd w:val="clear" w:color="auto" w:fill="auto"/>
        </w:rPr>
        <w:t>设备配置便携式打印机，支持现场快速打印检测结果</w:t>
      </w:r>
      <w:r>
        <w:rPr>
          <w:rFonts w:hint="eastAsia" w:ascii="仿宋" w:hAnsi="仿宋" w:eastAsia="仿宋" w:cs="仿宋"/>
          <w:color w:val="auto"/>
          <w:sz w:val="24"/>
          <w:szCs w:val="24"/>
          <w:highlight w:val="none"/>
          <w:shd w:val="clear" w:color="auto" w:fill="auto"/>
          <w:lang w:eastAsia="zh-CN"/>
        </w:rPr>
        <w:t>；设备</w:t>
      </w:r>
      <w:r>
        <w:rPr>
          <w:rFonts w:hint="eastAsia" w:ascii="仿宋" w:hAnsi="仿宋" w:eastAsia="仿宋" w:cs="仿宋"/>
          <w:color w:val="auto"/>
          <w:sz w:val="24"/>
          <w:szCs w:val="24"/>
          <w:highlight w:val="none"/>
          <w:shd w:val="clear" w:color="auto" w:fill="auto"/>
          <w:lang w:val="en-US" w:eastAsia="zh-CN"/>
        </w:rPr>
        <w:t>通过有线或</w:t>
      </w:r>
      <w:r>
        <w:rPr>
          <w:rFonts w:hint="eastAsia" w:ascii="仿宋" w:hAnsi="仿宋" w:eastAsia="仿宋" w:cs="仿宋"/>
          <w:color w:val="auto"/>
          <w:sz w:val="24"/>
          <w:szCs w:val="24"/>
          <w:highlight w:val="none"/>
          <w:shd w:val="clear" w:color="auto" w:fill="auto"/>
          <w:lang w:eastAsia="zh-CN"/>
        </w:rPr>
        <w:t>无线</w:t>
      </w:r>
      <w:r>
        <w:rPr>
          <w:rFonts w:hint="eastAsia" w:ascii="仿宋" w:hAnsi="仿宋" w:eastAsia="仿宋" w:cs="仿宋"/>
          <w:color w:val="auto"/>
          <w:sz w:val="24"/>
          <w:szCs w:val="24"/>
          <w:highlight w:val="none"/>
          <w:lang w:eastAsia="zh-CN"/>
        </w:rPr>
        <w:t>方式与医院现有LIS系统实现无缝对接，自动上传检测数据。</w:t>
      </w:r>
      <w:r>
        <w:rPr>
          <w:rFonts w:hint="eastAsia" w:ascii="仿宋" w:hAnsi="仿宋" w:eastAsia="仿宋" w:cs="仿宋"/>
          <w:color w:val="auto"/>
          <w:sz w:val="24"/>
          <w:highlight w:val="none"/>
          <w:lang w:eastAsia="zh-CN"/>
        </w:rPr>
        <w:t>（</w:t>
      </w:r>
      <w:r>
        <w:rPr>
          <w:rFonts w:hint="eastAsia" w:ascii="仿宋" w:hAnsi="仿宋" w:eastAsia="仿宋" w:cs="仿宋"/>
          <w:b w:val="0"/>
          <w:bCs w:val="0"/>
          <w:sz w:val="24"/>
          <w:lang w:val="en-US" w:eastAsia="zh-CN"/>
        </w:rPr>
        <w:t>需提供有效证明材料：产品说明书、设备白皮书、产品介绍彩页资料至少其一</w:t>
      </w:r>
      <w:r>
        <w:rPr>
          <w:rFonts w:hint="eastAsia" w:ascii="仿宋" w:hAnsi="仿宋" w:eastAsia="仿宋" w:cs="仿宋"/>
          <w:color w:val="auto"/>
          <w:sz w:val="24"/>
          <w:highlight w:val="none"/>
          <w:lang w:eastAsia="zh-CN"/>
        </w:rPr>
        <w:t>）</w:t>
      </w:r>
    </w:p>
    <w:p w14:paraId="4B34E7D1">
      <w:pPr>
        <w:numPr>
          <w:ilvl w:val="-1"/>
          <w:numId w:val="0"/>
        </w:numPr>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6.</w:t>
      </w:r>
      <w:r>
        <w:rPr>
          <w:rFonts w:hint="eastAsia" w:ascii="仿宋" w:hAnsi="仿宋" w:eastAsia="仿宋" w:cs="仿宋"/>
          <w:color w:val="auto"/>
          <w:sz w:val="24"/>
          <w:szCs w:val="24"/>
          <w:lang w:val="en-US" w:eastAsia="zh-CN"/>
        </w:rPr>
        <w:t>免疫分析仪尺寸≤长399mm宽290mm高268mm，</w:t>
      </w:r>
      <w:r>
        <w:rPr>
          <w:rFonts w:hint="eastAsia" w:ascii="仿宋" w:hAnsi="仿宋" w:eastAsia="仿宋" w:cs="仿宋"/>
          <w:color w:val="auto"/>
          <w:sz w:val="24"/>
          <w:szCs w:val="24"/>
        </w:rPr>
        <w:t>支持即时检测</w:t>
      </w:r>
      <w:r>
        <w:rPr>
          <w:rFonts w:hint="eastAsia" w:ascii="仿宋" w:hAnsi="仿宋" w:eastAsia="仿宋" w:cs="仿宋"/>
          <w:color w:val="auto"/>
          <w:sz w:val="24"/>
          <w:szCs w:val="24"/>
          <w:lang w:val="en-US" w:eastAsia="zh-CN"/>
        </w:rPr>
        <w:t>模式。</w:t>
      </w:r>
    </w:p>
    <w:p w14:paraId="30F2A0B9">
      <w:pPr>
        <w:numPr>
          <w:ilvl w:val="0"/>
          <w:numId w:val="0"/>
        </w:numPr>
        <w:spacing w:line="480" w:lineRule="exact"/>
        <w:rPr>
          <w:rFonts w:hint="eastAsia" w:ascii="仿宋" w:hAnsi="仿宋" w:eastAsia="仿宋" w:cs="仿宋"/>
          <w:color w:val="auto"/>
          <w:sz w:val="24"/>
          <w:szCs w:val="24"/>
          <w:lang w:val="en-US" w:eastAsia="zh-CN"/>
        </w:rPr>
      </w:pPr>
    </w:p>
    <w:p w14:paraId="4402A9A2">
      <w:pPr>
        <w:spacing w:line="440" w:lineRule="exact"/>
        <w:rPr>
          <w:rFonts w:hint="eastAsia" w:ascii="仿宋" w:hAnsi="仿宋" w:eastAsia="仿宋" w:cs="仿宋"/>
          <w:b/>
          <w:color w:val="auto"/>
          <w:sz w:val="24"/>
        </w:rPr>
      </w:pPr>
    </w:p>
    <w:p w14:paraId="374743E7">
      <w:pPr>
        <w:spacing w:line="440" w:lineRule="exact"/>
        <w:rPr>
          <w:rFonts w:hint="eastAsia" w:ascii="仿宋" w:hAnsi="仿宋" w:eastAsia="仿宋" w:cs="仿宋"/>
          <w:b/>
          <w:color w:val="auto"/>
          <w:sz w:val="24"/>
        </w:rPr>
      </w:pPr>
    </w:p>
    <w:p w14:paraId="47250589">
      <w:pPr>
        <w:spacing w:line="440" w:lineRule="exact"/>
        <w:rPr>
          <w:rFonts w:hint="eastAsia" w:ascii="仿宋" w:hAnsi="仿宋" w:eastAsia="仿宋" w:cs="仿宋"/>
          <w:b/>
          <w:color w:val="auto"/>
          <w:sz w:val="24"/>
        </w:rPr>
      </w:pPr>
      <w:r>
        <w:rPr>
          <w:rFonts w:hint="eastAsia" w:ascii="仿宋" w:hAnsi="仿宋" w:eastAsia="仿宋" w:cs="仿宋"/>
          <w:b/>
          <w:color w:val="auto"/>
          <w:sz w:val="24"/>
        </w:rPr>
        <w:t>四、每套设备配置要求（包括但不限于）：</w:t>
      </w:r>
    </w:p>
    <w:tbl>
      <w:tblPr>
        <w:tblStyle w:val="11"/>
        <w:tblW w:w="7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3695"/>
        <w:gridCol w:w="1360"/>
        <w:gridCol w:w="1052"/>
      </w:tblGrid>
      <w:tr w14:paraId="38BC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725234A1">
            <w:pPr>
              <w:snapToGrid w:val="0"/>
              <w:jc w:val="center"/>
              <w:rPr>
                <w:rFonts w:hint="eastAsia" w:ascii="仿宋" w:hAnsi="仿宋" w:eastAsia="仿宋" w:cs="仿宋"/>
                <w:b/>
                <w:bCs/>
                <w:color w:val="auto"/>
                <w:sz w:val="24"/>
              </w:rPr>
            </w:pPr>
            <w:r>
              <w:rPr>
                <w:rFonts w:hint="eastAsia" w:ascii="仿宋" w:hAnsi="仿宋" w:eastAsia="仿宋" w:cs="仿宋"/>
                <w:b/>
                <w:bCs/>
                <w:color w:val="auto"/>
                <w:sz w:val="24"/>
              </w:rPr>
              <w:t>序号</w:t>
            </w:r>
          </w:p>
        </w:tc>
        <w:tc>
          <w:tcPr>
            <w:tcW w:w="0" w:type="auto"/>
            <w:vAlign w:val="center"/>
          </w:tcPr>
          <w:p w14:paraId="56B9F8DA">
            <w:pPr>
              <w:snapToGrid w:val="0"/>
              <w:jc w:val="center"/>
              <w:rPr>
                <w:rFonts w:hint="eastAsia" w:ascii="仿宋" w:hAnsi="仿宋" w:eastAsia="仿宋" w:cs="仿宋"/>
                <w:b/>
                <w:bCs/>
                <w:color w:val="auto"/>
                <w:sz w:val="24"/>
              </w:rPr>
            </w:pPr>
            <w:r>
              <w:rPr>
                <w:rFonts w:hint="eastAsia" w:ascii="仿宋" w:hAnsi="仿宋" w:eastAsia="仿宋" w:cs="仿宋"/>
                <w:b/>
                <w:bCs/>
                <w:color w:val="auto"/>
                <w:sz w:val="24"/>
              </w:rPr>
              <w:t>名称</w:t>
            </w:r>
          </w:p>
        </w:tc>
        <w:tc>
          <w:tcPr>
            <w:tcW w:w="0" w:type="auto"/>
            <w:vAlign w:val="center"/>
          </w:tcPr>
          <w:p w14:paraId="28F56DFE">
            <w:pPr>
              <w:snapToGrid w:val="0"/>
              <w:jc w:val="center"/>
              <w:rPr>
                <w:rFonts w:hint="eastAsia" w:ascii="仿宋" w:hAnsi="仿宋" w:eastAsia="仿宋" w:cs="仿宋"/>
                <w:b/>
                <w:bCs/>
                <w:color w:val="auto"/>
                <w:sz w:val="24"/>
              </w:rPr>
            </w:pPr>
            <w:r>
              <w:rPr>
                <w:rFonts w:hint="eastAsia" w:ascii="仿宋" w:hAnsi="仿宋" w:eastAsia="仿宋" w:cs="仿宋"/>
                <w:b/>
                <w:bCs/>
                <w:color w:val="auto"/>
                <w:sz w:val="24"/>
              </w:rPr>
              <w:t>数量</w:t>
            </w:r>
          </w:p>
        </w:tc>
        <w:tc>
          <w:tcPr>
            <w:tcW w:w="1052" w:type="dxa"/>
            <w:vAlign w:val="center"/>
          </w:tcPr>
          <w:p w14:paraId="6A8984E9">
            <w:pPr>
              <w:snapToGrid w:val="0"/>
              <w:jc w:val="center"/>
              <w:rPr>
                <w:rFonts w:hint="eastAsia" w:ascii="仿宋" w:hAnsi="仿宋" w:eastAsia="仿宋" w:cs="仿宋"/>
                <w:b/>
                <w:bCs/>
                <w:color w:val="auto"/>
                <w:sz w:val="24"/>
              </w:rPr>
            </w:pPr>
            <w:r>
              <w:rPr>
                <w:rFonts w:hint="eastAsia" w:ascii="仿宋" w:hAnsi="仿宋" w:eastAsia="仿宋" w:cs="仿宋"/>
                <w:b/>
                <w:bCs/>
                <w:color w:val="auto"/>
                <w:sz w:val="24"/>
              </w:rPr>
              <w:t>单位</w:t>
            </w:r>
          </w:p>
        </w:tc>
      </w:tr>
      <w:tr w14:paraId="43A6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BD5D505">
            <w:pPr>
              <w:snapToGrid w:val="0"/>
              <w:jc w:val="center"/>
              <w:rPr>
                <w:rFonts w:hint="eastAsia" w:ascii="仿宋" w:hAnsi="仿宋" w:eastAsia="仿宋" w:cs="仿宋"/>
                <w:color w:val="auto"/>
                <w:sz w:val="24"/>
              </w:rPr>
            </w:pPr>
            <w:r>
              <w:rPr>
                <w:rFonts w:hint="eastAsia" w:ascii="仿宋" w:hAnsi="仿宋" w:eastAsia="仿宋" w:cs="仿宋"/>
                <w:color w:val="auto"/>
                <w:sz w:val="24"/>
              </w:rPr>
              <w:t>1</w:t>
            </w:r>
          </w:p>
        </w:tc>
        <w:tc>
          <w:tcPr>
            <w:tcW w:w="0" w:type="auto"/>
            <w:vAlign w:val="center"/>
          </w:tcPr>
          <w:p w14:paraId="1559F809">
            <w:pPr>
              <w:snapToGrid w:val="0"/>
              <w:jc w:val="left"/>
              <w:rPr>
                <w:rFonts w:hint="eastAsia" w:ascii="仿宋" w:hAnsi="仿宋" w:eastAsia="仿宋" w:cs="仿宋"/>
                <w:color w:val="auto"/>
                <w:sz w:val="24"/>
              </w:rPr>
            </w:pPr>
            <w:r>
              <w:rPr>
                <w:rFonts w:hint="eastAsia" w:ascii="仿宋" w:hAnsi="宋体" w:eastAsia="仿宋" w:cs="宋体"/>
                <w:bCs/>
                <w:color w:val="auto"/>
                <w:sz w:val="24"/>
              </w:rPr>
              <w:t>主机</w:t>
            </w:r>
          </w:p>
        </w:tc>
        <w:tc>
          <w:tcPr>
            <w:tcW w:w="0" w:type="auto"/>
            <w:vAlign w:val="center"/>
          </w:tcPr>
          <w:p w14:paraId="3F3FE89B">
            <w:pPr>
              <w:snapToGrid w:val="0"/>
              <w:jc w:val="center"/>
              <w:rPr>
                <w:rFonts w:hint="eastAsia" w:ascii="仿宋" w:hAnsi="仿宋" w:eastAsia="仿宋" w:cs="仿宋"/>
                <w:color w:val="auto"/>
                <w:sz w:val="24"/>
              </w:rPr>
            </w:pPr>
            <w:r>
              <w:rPr>
                <w:rFonts w:hint="eastAsia" w:ascii="仿宋" w:hAnsi="仿宋" w:eastAsia="仿宋" w:cs="仿宋"/>
                <w:color w:val="auto"/>
                <w:sz w:val="24"/>
              </w:rPr>
              <w:t>1</w:t>
            </w:r>
          </w:p>
        </w:tc>
        <w:tc>
          <w:tcPr>
            <w:tcW w:w="1052" w:type="dxa"/>
            <w:vAlign w:val="center"/>
          </w:tcPr>
          <w:p w14:paraId="11CB69CA">
            <w:pPr>
              <w:snapToGrid w:val="0"/>
              <w:jc w:val="center"/>
              <w:rPr>
                <w:rFonts w:hint="eastAsia" w:ascii="仿宋" w:hAnsi="仿宋" w:eastAsia="仿宋" w:cs="仿宋"/>
                <w:color w:val="auto"/>
                <w:sz w:val="24"/>
              </w:rPr>
            </w:pPr>
            <w:r>
              <w:rPr>
                <w:rFonts w:hint="eastAsia" w:ascii="仿宋" w:hAnsi="仿宋" w:eastAsia="仿宋" w:cs="仿宋"/>
                <w:color w:val="auto"/>
                <w:sz w:val="24"/>
              </w:rPr>
              <w:t>台</w:t>
            </w:r>
          </w:p>
        </w:tc>
      </w:tr>
      <w:tr w14:paraId="1733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5F13CCF">
            <w:pPr>
              <w:snapToGrid w:val="0"/>
              <w:jc w:val="center"/>
              <w:rPr>
                <w:rFonts w:hint="eastAsia" w:ascii="仿宋" w:hAnsi="仿宋" w:eastAsia="仿宋" w:cs="仿宋"/>
                <w:color w:val="auto"/>
                <w:sz w:val="24"/>
              </w:rPr>
            </w:pPr>
            <w:r>
              <w:rPr>
                <w:rFonts w:hint="eastAsia" w:ascii="仿宋" w:hAnsi="仿宋" w:eastAsia="仿宋" w:cs="仿宋"/>
                <w:color w:val="auto"/>
                <w:sz w:val="24"/>
              </w:rPr>
              <w:t>2</w:t>
            </w:r>
          </w:p>
        </w:tc>
        <w:tc>
          <w:tcPr>
            <w:tcW w:w="0" w:type="auto"/>
            <w:vAlign w:val="center"/>
          </w:tcPr>
          <w:p w14:paraId="22B6BD3F">
            <w:pPr>
              <w:snapToGrid w:val="0"/>
              <w:jc w:val="left"/>
              <w:rPr>
                <w:rFonts w:hint="default" w:ascii="仿宋" w:hAnsi="仿宋" w:eastAsia="仿宋" w:cs="仿宋"/>
                <w:color w:val="auto"/>
                <w:sz w:val="24"/>
              </w:rPr>
            </w:pPr>
            <w:r>
              <w:rPr>
                <w:rFonts w:hint="eastAsia" w:ascii="仿宋" w:hAnsi="宋体" w:eastAsia="仿宋" w:cs="宋体"/>
                <w:bCs/>
                <w:color w:val="auto"/>
                <w:sz w:val="24"/>
                <w:lang w:val="en-US" w:eastAsia="zh-CN"/>
              </w:rPr>
              <w:t>电源适配器</w:t>
            </w:r>
          </w:p>
        </w:tc>
        <w:tc>
          <w:tcPr>
            <w:tcW w:w="0" w:type="auto"/>
            <w:vAlign w:val="center"/>
          </w:tcPr>
          <w:p w14:paraId="6ED3BD27">
            <w:pPr>
              <w:snapToGrid w:val="0"/>
              <w:jc w:val="center"/>
              <w:rPr>
                <w:rFonts w:hint="eastAsia" w:ascii="仿宋" w:hAnsi="仿宋" w:eastAsia="仿宋" w:cs="仿宋"/>
                <w:color w:val="auto"/>
                <w:sz w:val="24"/>
              </w:rPr>
            </w:pPr>
            <w:r>
              <w:rPr>
                <w:rFonts w:hint="eastAsia" w:ascii="仿宋" w:hAnsi="仿宋" w:eastAsia="仿宋" w:cs="仿宋"/>
                <w:color w:val="auto"/>
                <w:sz w:val="24"/>
                <w:lang w:eastAsia="zh-CN"/>
              </w:rPr>
              <w:t>1</w:t>
            </w:r>
          </w:p>
        </w:tc>
        <w:tc>
          <w:tcPr>
            <w:tcW w:w="1052" w:type="dxa"/>
            <w:vAlign w:val="center"/>
          </w:tcPr>
          <w:p w14:paraId="4C0C8411">
            <w:pPr>
              <w:snapToGrid w:val="0"/>
              <w:jc w:val="center"/>
              <w:rPr>
                <w:rFonts w:hint="eastAsia" w:ascii="仿宋" w:hAnsi="仿宋" w:eastAsia="仿宋" w:cs="仿宋"/>
                <w:color w:val="auto"/>
                <w:sz w:val="24"/>
              </w:rPr>
            </w:pPr>
            <w:r>
              <w:rPr>
                <w:rFonts w:hint="eastAsia" w:ascii="仿宋" w:hAnsi="仿宋" w:eastAsia="仿宋" w:cs="仿宋"/>
                <w:color w:val="auto"/>
                <w:sz w:val="24"/>
              </w:rPr>
              <w:t>套</w:t>
            </w:r>
          </w:p>
        </w:tc>
      </w:tr>
      <w:tr w14:paraId="62AF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9F40766">
            <w:pPr>
              <w:snapToGrid w:val="0"/>
              <w:jc w:val="center"/>
              <w:rPr>
                <w:rFonts w:hint="eastAsia" w:ascii="仿宋" w:hAnsi="仿宋" w:eastAsia="仿宋" w:cs="仿宋"/>
                <w:color w:val="auto"/>
                <w:sz w:val="24"/>
              </w:rPr>
            </w:pPr>
            <w:r>
              <w:rPr>
                <w:rFonts w:hint="eastAsia" w:ascii="仿宋" w:hAnsi="仿宋" w:eastAsia="仿宋" w:cs="仿宋"/>
                <w:color w:val="auto"/>
                <w:sz w:val="24"/>
              </w:rPr>
              <w:t>3</w:t>
            </w:r>
          </w:p>
        </w:tc>
        <w:tc>
          <w:tcPr>
            <w:tcW w:w="0" w:type="auto"/>
            <w:vAlign w:val="center"/>
          </w:tcPr>
          <w:p w14:paraId="11CCABA6">
            <w:pPr>
              <w:snapToGrid w:val="0"/>
              <w:jc w:val="left"/>
              <w:rPr>
                <w:rFonts w:hint="default" w:ascii="仿宋" w:hAnsi="仿宋" w:eastAsia="仿宋" w:cs="仿宋"/>
                <w:color w:val="auto"/>
                <w:sz w:val="24"/>
              </w:rPr>
            </w:pPr>
            <w:r>
              <w:rPr>
                <w:rFonts w:hint="eastAsia" w:ascii="仿宋" w:hAnsi="宋体" w:eastAsia="仿宋" w:cs="宋体"/>
                <w:bCs/>
                <w:color w:val="auto"/>
                <w:sz w:val="24"/>
                <w:lang w:val="en-US" w:eastAsia="zh-CN"/>
              </w:rPr>
              <w:t>合格证、说明书</w:t>
            </w:r>
          </w:p>
        </w:tc>
        <w:tc>
          <w:tcPr>
            <w:tcW w:w="0" w:type="auto"/>
            <w:vAlign w:val="center"/>
          </w:tcPr>
          <w:p w14:paraId="3685BDF5">
            <w:pPr>
              <w:snapToGrid w:val="0"/>
              <w:jc w:val="center"/>
              <w:rPr>
                <w:rFonts w:hint="eastAsia" w:ascii="仿宋" w:hAnsi="仿宋" w:eastAsia="仿宋" w:cs="仿宋"/>
                <w:color w:val="auto"/>
                <w:sz w:val="24"/>
              </w:rPr>
            </w:pPr>
            <w:r>
              <w:rPr>
                <w:rFonts w:hint="eastAsia" w:ascii="仿宋" w:hAnsi="仿宋" w:eastAsia="仿宋" w:cs="仿宋"/>
                <w:color w:val="auto"/>
                <w:sz w:val="24"/>
                <w:lang w:val="en-US" w:eastAsia="zh-CN"/>
              </w:rPr>
              <w:t>1</w:t>
            </w:r>
          </w:p>
        </w:tc>
        <w:tc>
          <w:tcPr>
            <w:tcW w:w="1052" w:type="dxa"/>
            <w:vAlign w:val="center"/>
          </w:tcPr>
          <w:p w14:paraId="43D52311">
            <w:pPr>
              <w:snapToGrid w:val="0"/>
              <w:jc w:val="center"/>
              <w:rPr>
                <w:rFonts w:hint="eastAsia" w:ascii="仿宋" w:hAnsi="仿宋" w:eastAsia="仿宋" w:cs="仿宋"/>
                <w:color w:val="auto"/>
                <w:sz w:val="24"/>
              </w:rPr>
            </w:pPr>
            <w:r>
              <w:rPr>
                <w:rFonts w:hint="eastAsia" w:ascii="仿宋" w:hAnsi="仿宋" w:eastAsia="仿宋" w:cs="仿宋"/>
                <w:color w:val="auto"/>
                <w:sz w:val="24"/>
              </w:rPr>
              <w:t>套</w:t>
            </w:r>
          </w:p>
        </w:tc>
      </w:tr>
    </w:tbl>
    <w:p w14:paraId="55BC6299">
      <w:pPr>
        <w:spacing w:line="440" w:lineRule="exact"/>
        <w:rPr>
          <w:rFonts w:hint="eastAsia" w:ascii="仿宋" w:hAnsi="仿宋" w:eastAsia="仿宋" w:cs="仿宋"/>
          <w:b/>
          <w:color w:val="auto"/>
          <w:sz w:val="24"/>
        </w:rPr>
      </w:pPr>
    </w:p>
    <w:p w14:paraId="371F6C83">
      <w:pPr>
        <w:spacing w:line="440" w:lineRule="exact"/>
        <w:rPr>
          <w:rFonts w:hint="eastAsia" w:ascii="仿宋" w:hAnsi="仿宋" w:eastAsia="仿宋" w:cs="仿宋"/>
          <w:b/>
          <w:color w:val="auto"/>
          <w:sz w:val="24"/>
        </w:rPr>
      </w:pPr>
      <w:r>
        <w:rPr>
          <w:rFonts w:hint="eastAsia" w:ascii="仿宋" w:hAnsi="仿宋" w:eastAsia="仿宋" w:cs="仿宋"/>
          <w:b/>
          <w:color w:val="auto"/>
          <w:sz w:val="24"/>
        </w:rPr>
        <w:t>五、商务要求：</w:t>
      </w:r>
    </w:p>
    <w:p w14:paraId="4B92AAC4">
      <w:pPr>
        <w:spacing w:line="440" w:lineRule="exact"/>
        <w:rPr>
          <w:rFonts w:hint="eastAsia" w:ascii="仿宋" w:hAnsi="仿宋" w:eastAsia="仿宋" w:cs="仿宋"/>
          <w:b/>
          <w:color w:val="auto"/>
          <w:sz w:val="24"/>
        </w:rPr>
      </w:pPr>
      <w:r>
        <w:rPr>
          <w:rFonts w:hint="eastAsia" w:ascii="仿宋" w:hAnsi="仿宋" w:eastAsia="仿宋" w:cs="仿宋"/>
          <w:b/>
          <w:color w:val="auto"/>
          <w:sz w:val="24"/>
        </w:rPr>
        <w:t>1.交货及安装、验收要求</w:t>
      </w:r>
    </w:p>
    <w:p w14:paraId="54ADFE7D">
      <w:pPr>
        <w:spacing w:line="440" w:lineRule="exact"/>
        <w:rPr>
          <w:rFonts w:hint="eastAsia" w:ascii="仿宋" w:hAnsi="仿宋" w:eastAsia="仿宋" w:cs="仿宋"/>
          <w:color w:val="auto"/>
          <w:sz w:val="24"/>
        </w:rPr>
      </w:pPr>
      <w:r>
        <w:rPr>
          <w:rFonts w:hint="eastAsia" w:ascii="仿宋" w:hAnsi="仿宋" w:eastAsia="仿宋" w:cs="仿宋"/>
          <w:color w:val="auto"/>
          <w:sz w:val="24"/>
        </w:rPr>
        <w:t>1.1交货地点：采购人指定地点。</w:t>
      </w:r>
    </w:p>
    <w:p w14:paraId="3208E0B8">
      <w:pPr>
        <w:spacing w:line="440" w:lineRule="exact"/>
        <w:rPr>
          <w:rFonts w:hint="eastAsia" w:ascii="仿宋" w:hAnsi="仿宋" w:eastAsia="仿宋" w:cs="仿宋"/>
          <w:color w:val="auto"/>
          <w:sz w:val="24"/>
        </w:rPr>
      </w:pPr>
      <w:r>
        <w:rPr>
          <w:rFonts w:hint="eastAsia" w:ascii="仿宋" w:hAnsi="仿宋" w:eastAsia="仿宋" w:cs="仿宋"/>
          <w:color w:val="auto"/>
          <w:sz w:val="24"/>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u w:val="single"/>
        </w:rPr>
        <w:t xml:space="preserve">  5  </w:t>
      </w:r>
      <w:r>
        <w:rPr>
          <w:rFonts w:hint="eastAsia" w:ascii="仿宋" w:hAnsi="仿宋" w:eastAsia="仿宋" w:cs="仿宋"/>
          <w:color w:val="auto"/>
          <w:sz w:val="24"/>
        </w:rPr>
        <w:t>日内完成设备的安装调试。</w:t>
      </w:r>
    </w:p>
    <w:p w14:paraId="19A1CE7C">
      <w:pPr>
        <w:spacing w:line="440" w:lineRule="exact"/>
        <w:rPr>
          <w:rFonts w:hint="eastAsia" w:ascii="仿宋" w:hAnsi="仿宋" w:eastAsia="仿宋" w:cs="仿宋"/>
          <w:color w:val="auto"/>
          <w:sz w:val="24"/>
        </w:rPr>
      </w:pPr>
      <w:r>
        <w:rPr>
          <w:rFonts w:hint="eastAsia" w:ascii="仿宋" w:hAnsi="仿宋" w:eastAsia="仿宋" w:cs="仿宋"/>
          <w:color w:val="auto"/>
          <w:sz w:val="24"/>
        </w:rPr>
        <w:t>1.3中标供应商须保证中标后所提供的设备为原装、全新合格的产品；且原装进口产品生产日期与交货日期差值</w:t>
      </w:r>
      <w:r>
        <w:rPr>
          <w:rFonts w:hint="eastAsia" w:ascii="仿宋" w:hAnsi="仿宋" w:eastAsia="仿宋" w:cs="仿宋"/>
          <w:b/>
          <w:bCs/>
          <w:color w:val="auto"/>
          <w:sz w:val="24"/>
        </w:rPr>
        <w:t>≤6个月；</w:t>
      </w:r>
      <w:r>
        <w:rPr>
          <w:rFonts w:hint="eastAsia" w:ascii="仿宋" w:hAnsi="仿宋" w:eastAsia="仿宋" w:cs="仿宋"/>
          <w:color w:val="auto"/>
          <w:sz w:val="24"/>
        </w:rPr>
        <w:t>国产产品生产日期与交货日期差值</w:t>
      </w:r>
      <w:r>
        <w:rPr>
          <w:rFonts w:hint="eastAsia" w:ascii="仿宋" w:hAnsi="仿宋" w:eastAsia="仿宋" w:cs="仿宋"/>
          <w:b/>
          <w:bCs/>
          <w:color w:val="auto"/>
          <w:sz w:val="24"/>
        </w:rPr>
        <w:t>≤3个月。</w:t>
      </w:r>
    </w:p>
    <w:p w14:paraId="6F7B2424">
      <w:pPr>
        <w:spacing w:line="440" w:lineRule="exact"/>
        <w:rPr>
          <w:rFonts w:hint="eastAsia" w:ascii="仿宋" w:hAnsi="仿宋" w:eastAsia="仿宋" w:cs="仿宋"/>
          <w:color w:val="auto"/>
          <w:sz w:val="24"/>
        </w:rPr>
      </w:pPr>
      <w:r>
        <w:rPr>
          <w:rFonts w:hint="eastAsia" w:ascii="仿宋" w:hAnsi="仿宋" w:eastAsia="仿宋" w:cs="仿宋"/>
          <w:color w:val="auto"/>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22662A6">
      <w:pPr>
        <w:spacing w:line="440" w:lineRule="exact"/>
        <w:rPr>
          <w:rFonts w:hint="eastAsia" w:ascii="仿宋" w:hAnsi="仿宋" w:eastAsia="仿宋" w:cs="仿宋"/>
          <w:color w:val="auto"/>
          <w:sz w:val="24"/>
        </w:rPr>
      </w:pPr>
      <w:r>
        <w:rPr>
          <w:rFonts w:hint="eastAsia" w:ascii="仿宋" w:hAnsi="仿宋" w:eastAsia="仿宋" w:cs="仿宋"/>
          <w:color w:val="auto"/>
          <w:sz w:val="24"/>
        </w:rPr>
        <w:t>1.5验收方式：按《小榄镇公立医院政府采购和验收办法》及</w:t>
      </w:r>
      <w:r>
        <w:rPr>
          <w:rFonts w:hint="eastAsia" w:ascii="仿宋" w:hAnsi="仿宋" w:eastAsia="仿宋" w:cs="仿宋"/>
          <w:color w:val="auto"/>
          <w:kern w:val="0"/>
          <w:sz w:val="24"/>
        </w:rPr>
        <w:t>《中山市东升医院医疗设备验收管理制度》</w:t>
      </w:r>
      <w:r>
        <w:rPr>
          <w:rFonts w:hint="eastAsia" w:ascii="仿宋" w:hAnsi="仿宋" w:eastAsia="仿宋" w:cs="仿宋"/>
          <w:color w:val="auto"/>
          <w:sz w:val="24"/>
        </w:rPr>
        <w:t>。</w:t>
      </w:r>
    </w:p>
    <w:p w14:paraId="516A15CE">
      <w:pPr>
        <w:spacing w:line="440" w:lineRule="exact"/>
        <w:rPr>
          <w:rFonts w:hint="default" w:ascii="仿宋" w:hAnsi="仿宋" w:eastAsia="仿宋" w:cs="仿宋"/>
          <w:color w:val="auto"/>
          <w:sz w:val="24"/>
          <w:lang w:val="en-US" w:eastAsia="zh-CN"/>
        </w:rPr>
      </w:pPr>
      <w:r>
        <w:rPr>
          <w:rFonts w:hint="eastAsia" w:ascii="仿宋" w:hAnsi="仿宋" w:eastAsia="仿宋" w:cs="仿宋"/>
          <w:color w:val="auto"/>
          <w:sz w:val="24"/>
          <w:shd w:val="clear" w:color="auto" w:fill="auto"/>
        </w:rPr>
        <w:t>★</w:t>
      </w:r>
      <w:r>
        <w:rPr>
          <w:rFonts w:hint="eastAsia" w:ascii="仿宋" w:hAnsi="仿宋" w:eastAsia="仿宋" w:cs="仿宋"/>
          <w:color w:val="auto"/>
          <w:sz w:val="24"/>
          <w:shd w:val="clear" w:color="auto" w:fill="auto"/>
          <w:lang w:val="en-US" w:eastAsia="zh-CN"/>
        </w:rPr>
        <w:t>1.6</w:t>
      </w:r>
      <w:r>
        <w:rPr>
          <w:rFonts w:hint="eastAsia" w:ascii="仿宋" w:hAnsi="仿宋" w:eastAsia="仿宋" w:cs="仿宋"/>
          <w:color w:val="auto"/>
          <w:sz w:val="24"/>
          <w:szCs w:val="24"/>
          <w:shd w:val="clear" w:color="auto" w:fill="auto"/>
        </w:rPr>
        <w:t>承担设备连接医院LIS系统服务和费用</w:t>
      </w:r>
      <w:r>
        <w:rPr>
          <w:rFonts w:hint="eastAsia" w:ascii="仿宋" w:hAnsi="仿宋" w:eastAsia="仿宋" w:cs="仿宋"/>
          <w:color w:val="auto"/>
          <w:sz w:val="24"/>
          <w:szCs w:val="24"/>
          <w:shd w:val="clear" w:color="auto" w:fill="auto"/>
          <w:lang w:eastAsia="zh-CN"/>
        </w:rPr>
        <w:t>，</w:t>
      </w:r>
      <w:r>
        <w:rPr>
          <w:rFonts w:hint="eastAsia" w:ascii="仿宋" w:hAnsi="仿宋" w:eastAsia="仿宋" w:cs="仿宋"/>
          <w:i w:val="0"/>
          <w:iCs w:val="0"/>
          <w:caps w:val="0"/>
          <w:color w:val="auto"/>
          <w:spacing w:val="0"/>
          <w:sz w:val="24"/>
          <w:szCs w:val="24"/>
          <w:shd w:val="clear" w:color="auto" w:fill="auto"/>
          <w:lang w:val="en-US" w:eastAsia="zh-CN"/>
        </w:rPr>
        <w:t>包含</w:t>
      </w:r>
      <w:r>
        <w:rPr>
          <w:rFonts w:hint="eastAsia" w:ascii="仿宋" w:hAnsi="仿宋" w:eastAsia="仿宋" w:cs="仿宋"/>
          <w:i w:val="0"/>
          <w:iCs w:val="0"/>
          <w:caps w:val="0"/>
          <w:color w:val="auto"/>
          <w:spacing w:val="0"/>
          <w:sz w:val="24"/>
          <w:szCs w:val="24"/>
          <w:highlight w:val="none"/>
          <w:shd w:val="clear" w:color="auto" w:fill="auto"/>
          <w:lang w:val="en-US" w:eastAsia="zh-CN"/>
        </w:rPr>
        <w:t>端口重新对接(如需二次对</w:t>
      </w:r>
      <w:r>
        <w:rPr>
          <w:rFonts w:hint="eastAsia" w:ascii="仿宋" w:hAnsi="仿宋" w:eastAsia="仿宋" w:cs="仿宋"/>
          <w:i w:val="0"/>
          <w:iCs w:val="0"/>
          <w:caps w:val="0"/>
          <w:color w:val="auto"/>
          <w:spacing w:val="0"/>
          <w:sz w:val="24"/>
          <w:szCs w:val="24"/>
          <w:highlight w:val="none"/>
          <w:lang w:val="en-US" w:eastAsia="zh-CN"/>
        </w:rPr>
        <w:t>接医院新系统)</w:t>
      </w:r>
      <w:r>
        <w:rPr>
          <w:rFonts w:hint="eastAsia" w:ascii="仿宋" w:hAnsi="仿宋" w:eastAsia="仿宋" w:cs="仿宋"/>
          <w:color w:val="auto"/>
          <w:sz w:val="24"/>
          <w:szCs w:val="24"/>
        </w:rPr>
        <w:t>、首次对接失败的二次开发费用等</w:t>
      </w:r>
      <w:r>
        <w:rPr>
          <w:rFonts w:hint="eastAsia" w:ascii="仿宋" w:hAnsi="仿宋" w:eastAsia="仿宋" w:cs="仿宋"/>
          <w:color w:val="auto"/>
          <w:sz w:val="24"/>
          <w:szCs w:val="24"/>
          <w:lang w:eastAsia="zh-CN"/>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p>
    <w:p w14:paraId="1B3DE34C">
      <w:pPr>
        <w:spacing w:line="440" w:lineRule="exact"/>
        <w:rPr>
          <w:rFonts w:hint="eastAsia" w:ascii="仿宋" w:hAnsi="仿宋" w:eastAsia="仿宋" w:cs="仿宋"/>
          <w:b/>
          <w:color w:val="auto"/>
          <w:sz w:val="24"/>
        </w:rPr>
      </w:pPr>
      <w:r>
        <w:rPr>
          <w:rFonts w:hint="eastAsia" w:ascii="仿宋" w:hAnsi="仿宋" w:eastAsia="仿宋" w:cs="仿宋"/>
          <w:b/>
          <w:color w:val="auto"/>
          <w:sz w:val="24"/>
        </w:rPr>
        <w:t>2.售后服务要求</w:t>
      </w:r>
    </w:p>
    <w:p w14:paraId="3045A6AA">
      <w:pPr>
        <w:tabs>
          <w:tab w:val="left" w:pos="420"/>
        </w:tabs>
        <w:spacing w:line="440" w:lineRule="exact"/>
        <w:rPr>
          <w:rFonts w:hint="eastAsia"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78562883">
      <w:pPr>
        <w:spacing w:line="440" w:lineRule="exact"/>
        <w:rPr>
          <w:rFonts w:hint="eastAsia" w:ascii="仿宋" w:hAnsi="仿宋" w:eastAsia="仿宋" w:cs="仿宋"/>
          <w:sz w:val="24"/>
          <w:lang w:val="en-US" w:eastAsia="zh-CN"/>
        </w:rPr>
      </w:pPr>
      <w:r>
        <w:rPr>
          <w:rFonts w:hint="eastAsia" w:ascii="仿宋" w:hAnsi="仿宋" w:eastAsia="仿宋" w:cs="仿宋"/>
          <w:sz w:val="24"/>
        </w:rPr>
        <w:t>★2.2</w:t>
      </w:r>
      <w:r>
        <w:rPr>
          <w:rFonts w:hint="eastAsia" w:ascii="仿宋" w:hAnsi="仿宋" w:eastAsia="仿宋" w:cs="仿宋"/>
          <w:color w:val="auto"/>
          <w:sz w:val="24"/>
          <w:highlight w:val="none"/>
        </w:rPr>
        <w:t>中标供应商须提供设备</w:t>
      </w:r>
      <w:r>
        <w:rPr>
          <w:rFonts w:hint="eastAsia" w:ascii="仿宋" w:hAnsi="仿宋" w:eastAsia="仿宋" w:cs="仿宋"/>
          <w:color w:val="auto"/>
          <w:sz w:val="24"/>
          <w:highlight w:val="none"/>
          <w:lang w:val="en-US" w:eastAsia="zh-CN"/>
        </w:rPr>
        <w:t>使用期间终身</w:t>
      </w:r>
      <w:r>
        <w:rPr>
          <w:rFonts w:hint="eastAsia" w:ascii="仿宋" w:hAnsi="仿宋" w:eastAsia="仿宋" w:cs="仿宋"/>
          <w:color w:val="auto"/>
          <w:sz w:val="24"/>
          <w:highlight w:val="none"/>
        </w:rPr>
        <w:t>质保。</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r>
        <w:rPr>
          <w:rFonts w:hint="eastAsia" w:ascii="仿宋" w:hAnsi="仿宋" w:eastAsia="仿宋" w:cs="仿宋"/>
          <w:sz w:val="24"/>
          <w:u w:val="none"/>
          <w:lang w:val="en-US" w:eastAsia="zh-CN"/>
        </w:rPr>
        <w:t xml:space="preserve">      </w:t>
      </w:r>
      <w:r>
        <w:rPr>
          <w:rFonts w:hint="eastAsia" w:ascii="仿宋" w:hAnsi="仿宋" w:eastAsia="仿宋" w:cs="仿宋"/>
          <w:sz w:val="24"/>
          <w:lang w:val="en-US" w:eastAsia="zh-CN"/>
        </w:rPr>
        <w:t xml:space="preserve"> </w:t>
      </w:r>
    </w:p>
    <w:p w14:paraId="50F90649">
      <w:pPr>
        <w:spacing w:line="440" w:lineRule="exact"/>
        <w:rPr>
          <w:rFonts w:hint="eastAsia"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611EF98F">
      <w:pPr>
        <w:spacing w:line="440" w:lineRule="exact"/>
        <w:rPr>
          <w:rFonts w:hint="eastAsia" w:ascii="仿宋" w:hAnsi="仿宋" w:eastAsia="仿宋" w:cs="仿宋"/>
          <w:b/>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1F0F482B">
      <w:pPr>
        <w:spacing w:line="440" w:lineRule="exact"/>
        <w:rPr>
          <w:rFonts w:hint="default" w:ascii="仿宋" w:hAnsi="仿宋" w:eastAsia="仿宋" w:cs="仿宋"/>
          <w:b/>
          <w:sz w:val="24"/>
          <w:lang w:val="en-US" w:eastAsia="zh-CN"/>
        </w:rPr>
      </w:pPr>
      <w:r>
        <w:rPr>
          <w:rFonts w:hint="eastAsia" w:ascii="仿宋" w:hAnsi="仿宋" w:eastAsia="仿宋" w:cs="仿宋"/>
          <w:sz w:val="24"/>
        </w:rPr>
        <w:t>★</w:t>
      </w:r>
      <w:r>
        <w:rPr>
          <w:rFonts w:hint="eastAsia" w:ascii="仿宋" w:hAnsi="仿宋" w:eastAsia="仿宋" w:cs="仿宋"/>
          <w:b/>
          <w:sz w:val="24"/>
          <w:lang w:val="en-US" w:eastAsia="zh-CN"/>
        </w:rPr>
        <w:t>2.5至少每季度一次设备巡检并由厂家出具检测报告。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p>
    <w:p w14:paraId="7C58CA92">
      <w:pPr>
        <w:spacing w:line="440" w:lineRule="exact"/>
        <w:rPr>
          <w:rFonts w:hint="eastAsia" w:ascii="仿宋" w:hAnsi="仿宋" w:eastAsia="仿宋" w:cs="仿宋"/>
          <w:b/>
          <w:sz w:val="24"/>
        </w:rPr>
      </w:pPr>
      <w:r>
        <w:rPr>
          <w:rFonts w:hint="eastAsia" w:ascii="仿宋" w:hAnsi="仿宋" w:eastAsia="仿宋" w:cs="仿宋"/>
          <w:b/>
          <w:sz w:val="24"/>
        </w:rPr>
        <w:t>3.付款方式</w:t>
      </w:r>
    </w:p>
    <w:p w14:paraId="75604B41">
      <w:pPr>
        <w:spacing w:line="440" w:lineRule="exact"/>
        <w:rPr>
          <w:rFonts w:hint="eastAsia" w:ascii="仿宋" w:hAnsi="仿宋" w:eastAsia="仿宋" w:cs="仿宋"/>
          <w:sz w:val="24"/>
        </w:rPr>
      </w:pPr>
      <w:r>
        <w:rPr>
          <w:rFonts w:hint="eastAsia" w:ascii="仿宋" w:hAnsi="仿宋" w:eastAsia="仿宋" w:cs="仿宋"/>
          <w:sz w:val="24"/>
        </w:rPr>
        <w:t>3.1本合同的每笔款项以人民币转账方式支付。</w:t>
      </w:r>
    </w:p>
    <w:p w14:paraId="67263528">
      <w:pPr>
        <w:spacing w:line="440" w:lineRule="exact"/>
        <w:rPr>
          <w:rFonts w:hint="eastAsia" w:ascii="仿宋" w:hAnsi="仿宋" w:eastAsia="仿宋" w:cs="仿宋"/>
          <w:sz w:val="24"/>
          <w:lang w:eastAsia="zh-CN"/>
        </w:rPr>
      </w:pPr>
      <w:r>
        <w:rPr>
          <w:rFonts w:hint="eastAsia" w:ascii="仿宋" w:hAnsi="仿宋" w:eastAsia="仿宋" w:cs="仿宋"/>
          <w:sz w:val="24"/>
        </w:rPr>
        <w:t>3.2中标供应商按协</w:t>
      </w:r>
      <w:r>
        <w:rPr>
          <w:rFonts w:hint="eastAsia" w:ascii="仿宋" w:hAnsi="仿宋" w:eastAsia="仿宋" w:cs="仿宋"/>
          <w:sz w:val="24"/>
          <w:lang w:val="en-US" w:eastAsia="zh-CN"/>
        </w:rPr>
        <w:t>定</w:t>
      </w:r>
      <w:r>
        <w:rPr>
          <w:rFonts w:hint="eastAsia" w:ascii="仿宋" w:hAnsi="仿宋" w:eastAsia="仿宋" w:cs="仿宋"/>
          <w:sz w:val="24"/>
        </w:rPr>
        <w:t>时间提供货物或服务完成后，经采购人规定的验收人员书面确认验收合格，中标供应商即开具有效发票，发票加盖发票专用章（增值税普通发票）</w:t>
      </w:r>
      <w:r>
        <w:rPr>
          <w:rFonts w:hint="eastAsia" w:ascii="仿宋" w:hAnsi="仿宋" w:eastAsia="仿宋" w:cs="仿宋"/>
          <w:sz w:val="24"/>
          <w:lang w:eastAsia="zh-CN"/>
        </w:rPr>
        <w:t>。</w:t>
      </w:r>
      <w:r>
        <w:rPr>
          <w:rFonts w:hint="eastAsia" w:ascii="仿宋" w:hAnsi="仿宋" w:eastAsia="仿宋" w:cs="仿宋"/>
          <w:sz w:val="24"/>
        </w:rPr>
        <w:t>采购人确认发票无误后，设备款项以人民币通过银行转账方式结算</w:t>
      </w:r>
      <w:r>
        <w:rPr>
          <w:rFonts w:hint="eastAsia" w:ascii="仿宋" w:hAnsi="仿宋" w:eastAsia="仿宋" w:cs="仿宋"/>
          <w:sz w:val="24"/>
          <w:lang w:eastAsia="zh-CN"/>
        </w:rPr>
        <w:t>，</w:t>
      </w:r>
      <w:r>
        <w:rPr>
          <w:rFonts w:hint="eastAsia" w:ascii="仿宋" w:hAnsi="仿宋" w:eastAsia="仿宋" w:cs="仿宋"/>
          <w:sz w:val="24"/>
        </w:rPr>
        <w:t>六个月内</w:t>
      </w:r>
      <w:r>
        <w:rPr>
          <w:rFonts w:hint="eastAsia" w:ascii="仿宋" w:hAnsi="仿宋" w:eastAsia="仿宋" w:cs="仿宋"/>
          <w:sz w:val="24"/>
          <w:lang w:val="en-US" w:eastAsia="zh-CN"/>
        </w:rPr>
        <w:t>完成</w:t>
      </w:r>
      <w:r>
        <w:rPr>
          <w:rFonts w:hint="eastAsia" w:ascii="仿宋" w:hAnsi="仿宋" w:eastAsia="仿宋" w:cs="仿宋"/>
          <w:sz w:val="24"/>
        </w:rPr>
        <w:t>支付</w:t>
      </w:r>
      <w:r>
        <w:rPr>
          <w:rFonts w:hint="eastAsia" w:ascii="仿宋" w:hAnsi="仿宋" w:eastAsia="仿宋" w:cs="仿宋"/>
          <w:sz w:val="24"/>
          <w:lang w:eastAsia="zh-CN"/>
        </w:rPr>
        <w:t>。</w:t>
      </w:r>
    </w:p>
    <w:p w14:paraId="3FD23518">
      <w:pPr>
        <w:spacing w:line="440" w:lineRule="exact"/>
        <w:rPr>
          <w:rFonts w:hint="eastAsia" w:ascii="仿宋" w:hAnsi="仿宋" w:eastAsia="仿宋" w:cs="仿宋"/>
          <w:sz w:val="24"/>
        </w:rPr>
      </w:pPr>
    </w:p>
    <w:p w14:paraId="7E4BB354">
      <w:pPr>
        <w:spacing w:line="440" w:lineRule="exact"/>
        <w:rPr>
          <w:rFonts w:hint="eastAsia" w:ascii="仿宋" w:hAnsi="仿宋" w:eastAsia="仿宋" w:cs="仿宋"/>
          <w:b/>
          <w:bCs/>
          <w:sz w:val="24"/>
        </w:rPr>
      </w:pPr>
      <w:r>
        <w:rPr>
          <w:rFonts w:hint="eastAsia" w:ascii="仿宋" w:hAnsi="仿宋" w:eastAsia="仿宋" w:cs="仿宋"/>
          <w:b/>
          <w:bCs/>
          <w:sz w:val="24"/>
        </w:rPr>
        <w:t>4.违约责任与赔偿损失</w:t>
      </w:r>
    </w:p>
    <w:p w14:paraId="392BA703">
      <w:pPr>
        <w:spacing w:line="440" w:lineRule="exact"/>
        <w:rPr>
          <w:rFonts w:hint="eastAsia"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5AB2DD8E">
      <w:pPr>
        <w:spacing w:line="440" w:lineRule="exact"/>
        <w:rPr>
          <w:rFonts w:hint="eastAsia"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1AEA64A8">
      <w:pPr>
        <w:spacing w:line="440" w:lineRule="exact"/>
        <w:rPr>
          <w:rFonts w:hint="eastAsia"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2D24533B">
      <w:pPr>
        <w:spacing w:line="440" w:lineRule="exact"/>
        <w:rPr>
          <w:rFonts w:hint="eastAsia" w:ascii="仿宋" w:hAnsi="仿宋" w:eastAsia="仿宋" w:cs="仿宋"/>
          <w:sz w:val="24"/>
        </w:rPr>
      </w:pPr>
      <w:r>
        <w:rPr>
          <w:rFonts w:hint="eastAsia" w:ascii="仿宋" w:hAnsi="仿宋" w:eastAsia="仿宋" w:cs="仿宋"/>
          <w:sz w:val="24"/>
        </w:rPr>
        <w:t>4. 其它违约责任按《中华人民共和国民法典》处理。</w:t>
      </w:r>
    </w:p>
    <w:p w14:paraId="6599BBDF">
      <w:pPr>
        <w:spacing w:line="440" w:lineRule="exact"/>
        <w:rPr>
          <w:rFonts w:hint="eastAsia" w:ascii="仿宋" w:hAnsi="仿宋" w:eastAsia="仿宋" w:cs="仿宋"/>
          <w:sz w:val="24"/>
        </w:rPr>
      </w:pPr>
    </w:p>
    <w:p w14:paraId="55C9581D">
      <w:pPr>
        <w:rPr>
          <w:lang w:val="zh-CN"/>
        </w:rPr>
      </w:pPr>
    </w:p>
    <w:sectPr>
      <w:footerReference r:id="rId3" w:type="default"/>
      <w:pgSz w:w="11906" w:h="16838"/>
      <w:pgMar w:top="1440" w:right="1800" w:bottom="1440" w:left="1800" w:header="851" w:footer="42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DDF0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31E7DD">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131E7DD">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63441"/>
    <w:rsid w:val="002860B7"/>
    <w:rsid w:val="00293A7C"/>
    <w:rsid w:val="002B5F04"/>
    <w:rsid w:val="002C1143"/>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30D84"/>
    <w:rsid w:val="005472B7"/>
    <w:rsid w:val="00553084"/>
    <w:rsid w:val="0055425D"/>
    <w:rsid w:val="00587AFC"/>
    <w:rsid w:val="005A38AB"/>
    <w:rsid w:val="005D041B"/>
    <w:rsid w:val="005D4C82"/>
    <w:rsid w:val="00607917"/>
    <w:rsid w:val="00643222"/>
    <w:rsid w:val="00646CFF"/>
    <w:rsid w:val="00695736"/>
    <w:rsid w:val="0069611E"/>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3B1F"/>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43A19AB"/>
    <w:rsid w:val="07B703A7"/>
    <w:rsid w:val="08DB7D8B"/>
    <w:rsid w:val="0EFD1D23"/>
    <w:rsid w:val="11B53108"/>
    <w:rsid w:val="126775F5"/>
    <w:rsid w:val="13D61BD2"/>
    <w:rsid w:val="14026CA1"/>
    <w:rsid w:val="140524A5"/>
    <w:rsid w:val="14E3163E"/>
    <w:rsid w:val="16212C7C"/>
    <w:rsid w:val="16734728"/>
    <w:rsid w:val="17A84A31"/>
    <w:rsid w:val="18AC198D"/>
    <w:rsid w:val="1A362D0A"/>
    <w:rsid w:val="1A9A1AE2"/>
    <w:rsid w:val="1C850B82"/>
    <w:rsid w:val="1DB403E5"/>
    <w:rsid w:val="1E8B3C3C"/>
    <w:rsid w:val="1EDA17E8"/>
    <w:rsid w:val="1F0C2891"/>
    <w:rsid w:val="1FF004A0"/>
    <w:rsid w:val="21025128"/>
    <w:rsid w:val="21F75571"/>
    <w:rsid w:val="235E4449"/>
    <w:rsid w:val="248F5BDB"/>
    <w:rsid w:val="26AC3567"/>
    <w:rsid w:val="27094723"/>
    <w:rsid w:val="2A710EAE"/>
    <w:rsid w:val="2B9A59A4"/>
    <w:rsid w:val="2CAB1A01"/>
    <w:rsid w:val="2D887C39"/>
    <w:rsid w:val="2D993838"/>
    <w:rsid w:val="2E110DC4"/>
    <w:rsid w:val="2EA70528"/>
    <w:rsid w:val="2F1F5BB7"/>
    <w:rsid w:val="2FF54D81"/>
    <w:rsid w:val="316A15DA"/>
    <w:rsid w:val="31AC6C06"/>
    <w:rsid w:val="323C0B50"/>
    <w:rsid w:val="333062AD"/>
    <w:rsid w:val="33712CFE"/>
    <w:rsid w:val="33895773"/>
    <w:rsid w:val="33F90432"/>
    <w:rsid w:val="3409619C"/>
    <w:rsid w:val="351234CC"/>
    <w:rsid w:val="351D4CDF"/>
    <w:rsid w:val="35EF058A"/>
    <w:rsid w:val="361954A6"/>
    <w:rsid w:val="39EE60F8"/>
    <w:rsid w:val="3A835692"/>
    <w:rsid w:val="3C740147"/>
    <w:rsid w:val="3CF45D24"/>
    <w:rsid w:val="3E9B4363"/>
    <w:rsid w:val="3ECA1709"/>
    <w:rsid w:val="3EEE625E"/>
    <w:rsid w:val="43ED40EE"/>
    <w:rsid w:val="443A5766"/>
    <w:rsid w:val="44746547"/>
    <w:rsid w:val="452F2C10"/>
    <w:rsid w:val="48012FE0"/>
    <w:rsid w:val="48515DC8"/>
    <w:rsid w:val="48BD5CAC"/>
    <w:rsid w:val="49EB4B28"/>
    <w:rsid w:val="4BC43266"/>
    <w:rsid w:val="4BF76F64"/>
    <w:rsid w:val="4EA70F40"/>
    <w:rsid w:val="4EBD0A92"/>
    <w:rsid w:val="4EDA0125"/>
    <w:rsid w:val="4F0E67C1"/>
    <w:rsid w:val="4F9A3A01"/>
    <w:rsid w:val="511458EC"/>
    <w:rsid w:val="52B70A87"/>
    <w:rsid w:val="550B0806"/>
    <w:rsid w:val="553840DB"/>
    <w:rsid w:val="579F1125"/>
    <w:rsid w:val="580469B3"/>
    <w:rsid w:val="58B3555A"/>
    <w:rsid w:val="58B91A08"/>
    <w:rsid w:val="5A3921D0"/>
    <w:rsid w:val="5A5770E4"/>
    <w:rsid w:val="5B0231EE"/>
    <w:rsid w:val="5B4D1492"/>
    <w:rsid w:val="5C100F49"/>
    <w:rsid w:val="5C675762"/>
    <w:rsid w:val="5DC71851"/>
    <w:rsid w:val="5E871CB1"/>
    <w:rsid w:val="60365B77"/>
    <w:rsid w:val="609F0271"/>
    <w:rsid w:val="62A51453"/>
    <w:rsid w:val="6382342F"/>
    <w:rsid w:val="656A70AF"/>
    <w:rsid w:val="66003776"/>
    <w:rsid w:val="66A44A4E"/>
    <w:rsid w:val="66AA15BF"/>
    <w:rsid w:val="6893487F"/>
    <w:rsid w:val="69340CF8"/>
    <w:rsid w:val="6BD2675F"/>
    <w:rsid w:val="6C171CF3"/>
    <w:rsid w:val="6DDF526D"/>
    <w:rsid w:val="6EE6770C"/>
    <w:rsid w:val="6F2A17D8"/>
    <w:rsid w:val="705F258E"/>
    <w:rsid w:val="70A906E5"/>
    <w:rsid w:val="70C373D6"/>
    <w:rsid w:val="721D7522"/>
    <w:rsid w:val="72A9042B"/>
    <w:rsid w:val="744B3E55"/>
    <w:rsid w:val="74EB7879"/>
    <w:rsid w:val="7931434A"/>
    <w:rsid w:val="7BDA70B6"/>
    <w:rsid w:val="7C115C9E"/>
    <w:rsid w:val="7C8810B1"/>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字符"/>
    <w:basedOn w:val="12"/>
    <w:link w:val="2"/>
    <w:qFormat/>
    <w:uiPriority w:val="0"/>
    <w:rPr>
      <w:rFonts w:asciiTheme="minorHAnsi" w:hAnsiTheme="minorHAnsi" w:eastAsiaTheme="minorEastAsia" w:cstheme="minorBidi"/>
      <w:sz w:val="21"/>
    </w:rPr>
  </w:style>
  <w:style w:type="character" w:customStyle="1" w:styleId="16">
    <w:name w:val="批注主题 字符"/>
    <w:basedOn w:val="15"/>
    <w:link w:val="8"/>
    <w:qFormat/>
    <w:uiPriority w:val="0"/>
    <w:rPr>
      <w:rFonts w:asciiTheme="minorHAnsi" w:hAnsiTheme="minorHAnsi" w:eastAsiaTheme="minorEastAsia" w:cstheme="minorBidi"/>
      <w:sz w:val="21"/>
    </w:rPr>
  </w:style>
  <w:style w:type="character" w:customStyle="1" w:styleId="17">
    <w:name w:val="批注框文本 字符"/>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字符"/>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paragraph" w:customStyle="1" w:styleId="21">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4</Pages>
  <Words>2742</Words>
  <Characters>2910</Characters>
  <Lines>17</Lines>
  <Paragraphs>4</Paragraphs>
  <TotalTime>4</TotalTime>
  <ScaleCrop>false</ScaleCrop>
  <LinksUpToDate>false</LinksUpToDate>
  <CharactersWithSpaces>2928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Lily</cp:lastModifiedBy>
  <cp:lastPrinted>2021-08-11T08:36:00Z</cp:lastPrinted>
  <dcterms:modified xsi:type="dcterms:W3CDTF">2026-09-10T07:57:04Z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CB3420C8D2DC483692943F5C03A49822_13</vt:lpwstr>
  </property>
  <property fmtid="{D5CDD505-2E9C-101B-9397-08002B2CF9AE}" pid="4" name="KSOTemplateDocerSaveRecord">
    <vt:lpwstr>eyJoZGlkIjoiZjMxODI1ZDk1NTM3ZThjZDIyMDM0N2Q4Njc3ODMwMjMiLCJ1c2VySWQiOiIyNjI5MDY5MzEifQ==</vt:lpwstr>
  </property>
</Properties>
</file>