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F5C9F0">
      <w:pPr>
        <w:keepNext/>
        <w:keepLines/>
        <w:pageBreakBefore w:val="0"/>
        <w:widowControl w:val="0"/>
        <w:kinsoku/>
        <w:wordWrap/>
        <w:overflowPunct/>
        <w:topLinePunct w:val="0"/>
        <w:autoSpaceDE/>
        <w:autoSpaceDN/>
        <w:bidi w:val="0"/>
        <w:adjustRightInd/>
        <w:snapToGrid/>
        <w:spacing w:beforeAutospacing="0" w:afterAutospacing="0"/>
        <w:ind w:left="0" w:firstLine="0"/>
        <w:jc w:val="center"/>
        <w:textAlignment w:val="auto"/>
        <w:outlineLvl w:val="0"/>
        <w:rPr>
          <w:rFonts w:hint="eastAsia" w:ascii="宋体" w:hAnsi="宋体" w:eastAsia="宋体" w:cs="宋体"/>
          <w:b/>
          <w:sz w:val="28"/>
          <w:szCs w:val="28"/>
          <w:lang w:val="en-US" w:eastAsia="zh-CN"/>
        </w:rPr>
      </w:pPr>
      <w:r>
        <w:rPr>
          <w:rFonts w:hint="eastAsia" w:ascii="宋体" w:hAnsi="宋体" w:eastAsia="宋体" w:cs="宋体"/>
          <w:b/>
          <w:sz w:val="28"/>
          <w:szCs w:val="28"/>
        </w:rPr>
        <w:t>严重创伤救治信息交互联动系统服务</w:t>
      </w:r>
      <w:r>
        <w:rPr>
          <w:rFonts w:hint="eastAsia" w:ascii="宋体" w:hAnsi="宋体" w:eastAsia="宋体" w:cs="宋体"/>
          <w:b/>
          <w:sz w:val="28"/>
          <w:szCs w:val="28"/>
          <w:lang w:val="en-US" w:eastAsia="zh-CN"/>
        </w:rPr>
        <w:t>调研公告</w:t>
      </w:r>
    </w:p>
    <w:p w14:paraId="2178D067">
      <w:pPr>
        <w:keepNext/>
        <w:keepLines/>
        <w:pageBreakBefore w:val="0"/>
        <w:widowControl w:val="0"/>
        <w:kinsoku/>
        <w:wordWrap/>
        <w:overflowPunct/>
        <w:topLinePunct w:val="0"/>
        <w:autoSpaceDE/>
        <w:autoSpaceDN/>
        <w:bidi w:val="0"/>
        <w:adjustRightInd/>
        <w:snapToGrid/>
        <w:spacing w:beforeAutospacing="0" w:afterAutospacing="0"/>
        <w:ind w:left="0" w:firstLine="0"/>
        <w:jc w:val="center"/>
        <w:textAlignment w:val="auto"/>
        <w:outlineLvl w:val="0"/>
        <w:rPr>
          <w:rFonts w:hint="eastAsia" w:ascii="宋体" w:hAnsi="宋体" w:eastAsia="宋体" w:cs="宋体"/>
          <w:b/>
          <w:sz w:val="28"/>
          <w:szCs w:val="28"/>
          <w:lang w:val="en-US" w:eastAsia="zh-CN"/>
        </w:rPr>
      </w:pPr>
    </w:p>
    <w:p w14:paraId="177BEBC7">
      <w:pPr>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textAlignment w:val="auto"/>
        <w:outlineLvl w:val="1"/>
        <w:rPr>
          <w:rFonts w:hint="eastAsia" w:ascii="宋体" w:hAnsi="宋体" w:eastAsia="宋体" w:cs="宋体"/>
          <w:sz w:val="24"/>
          <w:szCs w:val="24"/>
        </w:rPr>
      </w:pPr>
      <w:r>
        <w:rPr>
          <w:rFonts w:hint="eastAsia" w:ascii="宋体" w:hAnsi="宋体" w:eastAsia="宋体" w:cs="宋体"/>
          <w:b/>
          <w:sz w:val="24"/>
          <w:szCs w:val="24"/>
        </w:rPr>
        <w:t>一、总则</w:t>
      </w:r>
    </w:p>
    <w:p w14:paraId="1B0FE874">
      <w:pPr>
        <w:pageBreakBefore w:val="0"/>
        <w:widowControl w:val="0"/>
        <w:numPr>
          <w:numId w:val="0"/>
        </w:numPr>
        <w:kinsoku/>
        <w:wordWrap/>
        <w:overflowPunct/>
        <w:topLinePunct w:val="0"/>
        <w:autoSpaceDE/>
        <w:autoSpaceDN/>
        <w:bidi w:val="0"/>
        <w:adjustRightInd/>
        <w:snapToGrid/>
        <w:spacing w:beforeAutospacing="0" w:afterAutospacing="0" w:line="360" w:lineRule="auto"/>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本需求书用于说明严重创伤救治信息交互联动系统服务的采购需求，作为编制采购文件及供应商响应的依据。需求内容以功能、技术和服务指标描述为主。</w:t>
      </w:r>
    </w:p>
    <w:p w14:paraId="6D3A24B9">
      <w:pPr>
        <w:pageBreakBefore w:val="0"/>
        <w:widowControl w:val="0"/>
        <w:numPr>
          <w:numId w:val="0"/>
        </w:numPr>
        <w:kinsoku/>
        <w:wordWrap/>
        <w:overflowPunct/>
        <w:topLinePunct w:val="0"/>
        <w:autoSpaceDE/>
        <w:autoSpaceDN/>
        <w:bidi w:val="0"/>
        <w:adjustRightInd/>
        <w:snapToGrid/>
        <w:spacing w:beforeAutospacing="0" w:afterAutospacing="0" w:line="360" w:lineRule="auto"/>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采购需求中凡有"★"标识的内容条款为关键条款，投标供应商必须对此作出回答并完全满足这些要求，不可以出现任何负偏离，对这些关键条款的任何负偏离将视为无效投标。加注"▲"的内容为重点评审项目，投标供应商必须对该标识项目按照要求进行真实应答描述。</w:t>
      </w:r>
    </w:p>
    <w:p w14:paraId="6F787F50">
      <w:pPr>
        <w:pageBreakBefore w:val="0"/>
        <w:widowControl w:val="0"/>
        <w:numPr>
          <w:numId w:val="0"/>
        </w:numPr>
        <w:kinsoku/>
        <w:wordWrap/>
        <w:overflowPunct/>
        <w:topLinePunct w:val="0"/>
        <w:autoSpaceDE/>
        <w:autoSpaceDN/>
        <w:bidi w:val="0"/>
        <w:adjustRightInd/>
        <w:snapToGrid/>
        <w:spacing w:beforeAutospacing="0" w:afterAutospacing="0" w:line="360" w:lineRule="auto"/>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若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p w14:paraId="1747EC08">
      <w:pPr>
        <w:pageBreakBefore w:val="0"/>
        <w:widowControl w:val="0"/>
        <w:numPr>
          <w:numId w:val="0"/>
        </w:numPr>
        <w:kinsoku/>
        <w:wordWrap/>
        <w:overflowPunct/>
        <w:topLinePunct w:val="0"/>
        <w:autoSpaceDE/>
        <w:autoSpaceDN/>
        <w:bidi w:val="0"/>
        <w:adjustRightInd/>
        <w:snapToGrid/>
        <w:spacing w:beforeAutospacing="0" w:afterAutospacing="0" w:line="360" w:lineRule="auto"/>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本文件所称"质保期"，是指中标标的物经约定的验收机构完成验收之日起算，截至中标人承诺的期限。</w:t>
      </w:r>
    </w:p>
    <w:p w14:paraId="70A1FB72">
      <w:pPr>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textAlignment w:val="auto"/>
        <w:outlineLvl w:val="1"/>
        <w:rPr>
          <w:rFonts w:hint="eastAsia" w:ascii="宋体" w:hAnsi="宋体" w:eastAsia="宋体" w:cs="宋体"/>
          <w:sz w:val="24"/>
          <w:szCs w:val="24"/>
        </w:rPr>
      </w:pPr>
      <w:r>
        <w:rPr>
          <w:rFonts w:hint="eastAsia" w:ascii="宋体" w:hAnsi="宋体" w:eastAsia="宋体" w:cs="宋体"/>
          <w:b/>
          <w:sz w:val="24"/>
          <w:szCs w:val="24"/>
        </w:rPr>
        <w:t>二、项目概述</w:t>
      </w:r>
    </w:p>
    <w:p w14:paraId="224633D3">
      <w:pPr>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textAlignment w:val="auto"/>
        <w:outlineLvl w:val="2"/>
        <w:rPr>
          <w:rFonts w:hint="eastAsia" w:ascii="宋体" w:hAnsi="宋体" w:eastAsia="宋体" w:cs="宋体"/>
          <w:sz w:val="24"/>
          <w:szCs w:val="24"/>
        </w:rPr>
      </w:pPr>
      <w:r>
        <w:rPr>
          <w:rFonts w:hint="eastAsia" w:ascii="宋体" w:hAnsi="宋体" w:eastAsia="宋体" w:cs="宋体"/>
          <w:b/>
          <w:sz w:val="24"/>
          <w:szCs w:val="24"/>
        </w:rPr>
        <w:t>2.1 项目名称</w:t>
      </w:r>
    </w:p>
    <w:p w14:paraId="419C3E8F">
      <w:pPr>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严重创伤救治信息交互联动系统服务。</w:t>
      </w:r>
    </w:p>
    <w:p w14:paraId="2A48F301">
      <w:pPr>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textAlignment w:val="auto"/>
        <w:outlineLvl w:val="2"/>
        <w:rPr>
          <w:rFonts w:hint="eastAsia" w:ascii="宋体" w:hAnsi="宋体" w:eastAsia="宋体" w:cs="宋体"/>
          <w:sz w:val="24"/>
          <w:szCs w:val="24"/>
        </w:rPr>
      </w:pPr>
      <w:r>
        <w:rPr>
          <w:rFonts w:hint="eastAsia" w:ascii="宋体" w:hAnsi="宋体" w:eastAsia="宋体" w:cs="宋体"/>
          <w:b/>
          <w:sz w:val="24"/>
          <w:szCs w:val="24"/>
        </w:rPr>
        <w:t xml:space="preserve">2.2 </w:t>
      </w:r>
      <w:r>
        <w:rPr>
          <w:rFonts w:hint="eastAsia" w:ascii="宋体" w:hAnsi="宋体" w:eastAsia="宋体" w:cs="宋体"/>
          <w:b/>
          <w:sz w:val="24"/>
          <w:szCs w:val="24"/>
          <w:lang w:val="en-US" w:eastAsia="zh-CN"/>
        </w:rPr>
        <w:t>项目</w:t>
      </w:r>
      <w:r>
        <w:rPr>
          <w:rFonts w:hint="eastAsia" w:ascii="宋体" w:hAnsi="宋体" w:eastAsia="宋体" w:cs="宋体"/>
          <w:b/>
          <w:sz w:val="24"/>
          <w:szCs w:val="24"/>
        </w:rPr>
        <w:t>内容</w:t>
      </w:r>
    </w:p>
    <w:p w14:paraId="72559E13">
      <w:pPr>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严重创伤救治信息交互联动系统服务一套，包含移动端、电脑端相关功能模块，覆盖院前急救信息采集与预警联动、音视频远程会诊、转诊与院际协同、创伤急救电子病历、创伤评分工具、创伤病例上报与质控管理、统计分析与报表、系统管理等业务功能，满足创伤中心创建及创伤救治质量控制的信息化支撑要求。</w:t>
      </w:r>
    </w:p>
    <w:p w14:paraId="44A1E831">
      <w:pPr>
        <w:keepNext/>
        <w:keepLines/>
        <w:pageBreakBefore w:val="0"/>
        <w:widowControl w:val="0"/>
        <w:kinsoku/>
        <w:wordWrap/>
        <w:overflowPunct/>
        <w:topLinePunct w:val="0"/>
        <w:autoSpaceDE/>
        <w:autoSpaceDN/>
        <w:bidi w:val="0"/>
        <w:adjustRightInd/>
        <w:snapToGrid/>
        <w:spacing w:beforeAutospacing="0" w:afterAutospacing="0" w:line="360" w:lineRule="auto"/>
        <w:ind w:firstLine="482" w:firstLineChars="200"/>
        <w:textAlignment w:val="auto"/>
        <w:outlineLvl w:val="2"/>
        <w:rPr>
          <w:rFonts w:hint="eastAsia" w:ascii="宋体" w:hAnsi="宋体" w:eastAsia="宋体" w:cs="宋体"/>
          <w:sz w:val="24"/>
          <w:szCs w:val="24"/>
        </w:rPr>
      </w:pPr>
      <w:r>
        <w:rPr>
          <w:rFonts w:hint="eastAsia" w:ascii="宋体" w:hAnsi="宋体" w:eastAsia="宋体" w:cs="宋体"/>
          <w:b/>
          <w:sz w:val="24"/>
          <w:szCs w:val="24"/>
        </w:rPr>
        <w:t xml:space="preserve">2.3 </w:t>
      </w:r>
      <w:r>
        <w:rPr>
          <w:rFonts w:hint="eastAsia" w:ascii="宋体" w:hAnsi="宋体" w:eastAsia="宋体" w:cs="宋体"/>
          <w:b/>
          <w:sz w:val="24"/>
          <w:szCs w:val="24"/>
          <w:lang w:val="en-US" w:eastAsia="zh-CN"/>
        </w:rPr>
        <w:t>项目</w:t>
      </w:r>
      <w:r>
        <w:rPr>
          <w:rFonts w:hint="eastAsia" w:ascii="宋体" w:hAnsi="宋体" w:eastAsia="宋体" w:cs="宋体"/>
          <w:b/>
          <w:sz w:val="24"/>
          <w:szCs w:val="24"/>
        </w:rPr>
        <w:t>内容一览</w:t>
      </w:r>
    </w:p>
    <w:tbl>
      <w:tblPr>
        <w:tblStyle w:val="2"/>
        <w:tblW w:w="0" w:type="auto"/>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autofit"/>
        <w:tblCellMar>
          <w:top w:w="15" w:type="dxa"/>
          <w:left w:w="15" w:type="dxa"/>
          <w:bottom w:w="15" w:type="dxa"/>
          <w:right w:w="15" w:type="dxa"/>
        </w:tblCellMar>
      </w:tblPr>
      <w:tblGrid>
        <w:gridCol w:w="555"/>
        <w:gridCol w:w="2944"/>
        <w:gridCol w:w="674"/>
        <w:gridCol w:w="548"/>
        <w:gridCol w:w="3889"/>
      </w:tblGrid>
      <w:tr w14:paraId="6CE7D451">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tblHeader/>
        </w:trPr>
        <w:tc>
          <w:tcPr>
            <w:tcW w:w="555" w:type="dxa"/>
          </w:tcPr>
          <w:p w14:paraId="69F7CC62">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rPr>
            </w:pPr>
            <w:r>
              <w:rPr>
                <w:rFonts w:hint="eastAsia" w:ascii="宋体" w:hAnsi="宋体" w:eastAsia="宋体" w:cs="宋体"/>
                <w:b/>
                <w:sz w:val="24"/>
                <w:szCs w:val="24"/>
              </w:rPr>
              <w:t>序号</w:t>
            </w:r>
          </w:p>
        </w:tc>
        <w:tc>
          <w:tcPr>
            <w:tcW w:w="2944" w:type="dxa"/>
          </w:tcPr>
          <w:p w14:paraId="1B17AAE5">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rPr>
            </w:pPr>
            <w:r>
              <w:rPr>
                <w:rFonts w:hint="eastAsia" w:ascii="宋体" w:hAnsi="宋体" w:eastAsia="宋体" w:cs="宋体"/>
                <w:b/>
                <w:sz w:val="24"/>
                <w:szCs w:val="24"/>
              </w:rPr>
              <w:t>名称</w:t>
            </w:r>
          </w:p>
        </w:tc>
        <w:tc>
          <w:tcPr>
            <w:tcW w:w="674" w:type="dxa"/>
          </w:tcPr>
          <w:p w14:paraId="744880B2">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rPr>
            </w:pPr>
            <w:r>
              <w:rPr>
                <w:rFonts w:hint="eastAsia" w:ascii="宋体" w:hAnsi="宋体" w:eastAsia="宋体" w:cs="宋体"/>
                <w:b/>
                <w:sz w:val="24"/>
                <w:szCs w:val="24"/>
              </w:rPr>
              <w:t>单位</w:t>
            </w:r>
          </w:p>
        </w:tc>
        <w:tc>
          <w:tcPr>
            <w:tcW w:w="548" w:type="dxa"/>
          </w:tcPr>
          <w:p w14:paraId="68050F80">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rPr>
            </w:pPr>
            <w:r>
              <w:rPr>
                <w:rFonts w:hint="eastAsia" w:ascii="宋体" w:hAnsi="宋体" w:eastAsia="宋体" w:cs="宋体"/>
                <w:b/>
                <w:sz w:val="24"/>
                <w:szCs w:val="24"/>
              </w:rPr>
              <w:t>数量</w:t>
            </w:r>
          </w:p>
        </w:tc>
        <w:tc>
          <w:tcPr>
            <w:tcW w:w="3889" w:type="dxa"/>
          </w:tcPr>
          <w:p w14:paraId="45303F76">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rPr>
            </w:pPr>
            <w:r>
              <w:rPr>
                <w:rFonts w:hint="eastAsia" w:ascii="宋体" w:hAnsi="宋体" w:eastAsia="宋体" w:cs="宋体"/>
                <w:b/>
                <w:sz w:val="24"/>
                <w:szCs w:val="24"/>
              </w:rPr>
              <w:t>备注</w:t>
            </w:r>
          </w:p>
        </w:tc>
      </w:tr>
      <w:tr w14:paraId="250A2AC0">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555" w:type="dxa"/>
            <w:vAlign w:val="center"/>
          </w:tcPr>
          <w:p w14:paraId="37C52FE8">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944" w:type="dxa"/>
            <w:vAlign w:val="center"/>
          </w:tcPr>
          <w:p w14:paraId="4F8E88B1">
            <w:pPr>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严重创伤救治信息交互联动系统服务</w:t>
            </w:r>
          </w:p>
        </w:tc>
        <w:tc>
          <w:tcPr>
            <w:tcW w:w="674" w:type="dxa"/>
            <w:vAlign w:val="center"/>
          </w:tcPr>
          <w:p w14:paraId="014CD23B">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年</w:t>
            </w:r>
          </w:p>
        </w:tc>
        <w:tc>
          <w:tcPr>
            <w:tcW w:w="548" w:type="dxa"/>
            <w:vAlign w:val="center"/>
          </w:tcPr>
          <w:p w14:paraId="521E4095">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3889" w:type="dxa"/>
          </w:tcPr>
          <w:p w14:paraId="1D05479E">
            <w:pPr>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含移动端、电脑端全部服务模块，服务期内提供系统升级与技术支持</w:t>
            </w:r>
          </w:p>
        </w:tc>
      </w:tr>
    </w:tbl>
    <w:p w14:paraId="767C3D6F">
      <w:pPr>
        <w:keepNext/>
        <w:keepLines/>
        <w:pageBreakBefore w:val="0"/>
        <w:widowControl w:val="0"/>
        <w:kinsoku/>
        <w:wordWrap/>
        <w:overflowPunct/>
        <w:topLinePunct w:val="0"/>
        <w:autoSpaceDE/>
        <w:autoSpaceDN/>
        <w:bidi w:val="0"/>
        <w:adjustRightInd/>
        <w:snapToGrid/>
        <w:spacing w:beforeAutospacing="0" w:afterAutospacing="0" w:line="360" w:lineRule="auto"/>
        <w:ind w:firstLine="482" w:firstLineChars="200"/>
        <w:textAlignment w:val="auto"/>
        <w:outlineLvl w:val="2"/>
        <w:rPr>
          <w:rFonts w:hint="eastAsia" w:ascii="宋体" w:hAnsi="宋体" w:eastAsia="宋体" w:cs="宋体"/>
          <w:sz w:val="24"/>
          <w:szCs w:val="24"/>
        </w:rPr>
      </w:pPr>
      <w:r>
        <w:rPr>
          <w:rFonts w:hint="eastAsia" w:ascii="宋体" w:hAnsi="宋体" w:eastAsia="宋体" w:cs="宋体"/>
          <w:b/>
          <w:sz w:val="24"/>
          <w:szCs w:val="24"/>
        </w:rPr>
        <w:t>2.</w:t>
      </w:r>
      <w:r>
        <w:rPr>
          <w:rFonts w:hint="eastAsia" w:ascii="宋体" w:hAnsi="宋体" w:eastAsia="宋体" w:cs="宋体"/>
          <w:b/>
          <w:sz w:val="24"/>
          <w:szCs w:val="24"/>
          <w:lang w:val="en-US" w:eastAsia="zh-CN"/>
        </w:rPr>
        <w:t>4</w:t>
      </w:r>
      <w:r>
        <w:rPr>
          <w:rFonts w:hint="eastAsia" w:ascii="宋体" w:hAnsi="宋体" w:eastAsia="宋体" w:cs="宋体"/>
          <w:b/>
          <w:sz w:val="24"/>
          <w:szCs w:val="24"/>
        </w:rPr>
        <w:t xml:space="preserve"> 交付要求</w:t>
      </w:r>
    </w:p>
    <w:p w14:paraId="328C5D70">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自签订合同之日起30个日历日内完成系统的正式上线运行和交付使用；交付地点为采购人指定地点。</w:t>
      </w:r>
    </w:p>
    <w:p w14:paraId="2ACA2FC1">
      <w:pPr>
        <w:keepNext/>
        <w:keepLines/>
        <w:pageBreakBefore w:val="0"/>
        <w:widowControl w:val="0"/>
        <w:kinsoku/>
        <w:wordWrap/>
        <w:overflowPunct/>
        <w:topLinePunct w:val="0"/>
        <w:autoSpaceDE/>
        <w:autoSpaceDN/>
        <w:bidi w:val="0"/>
        <w:adjustRightInd/>
        <w:snapToGrid/>
        <w:spacing w:beforeAutospacing="0" w:afterAutospacing="0" w:line="360" w:lineRule="auto"/>
        <w:ind w:firstLine="482" w:firstLineChars="200"/>
        <w:textAlignment w:val="auto"/>
        <w:outlineLvl w:val="1"/>
        <w:rPr>
          <w:rFonts w:hint="eastAsia" w:ascii="宋体" w:hAnsi="宋体" w:eastAsia="宋体" w:cs="宋体"/>
          <w:sz w:val="24"/>
          <w:szCs w:val="24"/>
        </w:rPr>
      </w:pPr>
      <w:r>
        <w:rPr>
          <w:rFonts w:hint="eastAsia" w:ascii="宋体" w:hAnsi="宋体" w:eastAsia="宋体" w:cs="宋体"/>
          <w:b/>
          <w:sz w:val="24"/>
          <w:szCs w:val="24"/>
        </w:rPr>
        <w:t>三、系统服务模块内容</w:t>
      </w:r>
    </w:p>
    <w:tbl>
      <w:tblPr>
        <w:tblStyle w:val="2"/>
        <w:tblW w:w="0" w:type="auto"/>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autofit"/>
        <w:tblCellMar>
          <w:top w:w="15" w:type="dxa"/>
          <w:left w:w="15" w:type="dxa"/>
          <w:bottom w:w="15" w:type="dxa"/>
          <w:right w:w="15" w:type="dxa"/>
        </w:tblCellMar>
      </w:tblPr>
      <w:tblGrid>
        <w:gridCol w:w="928"/>
        <w:gridCol w:w="8999"/>
      </w:tblGrid>
      <w:tr w14:paraId="7A01D4E1">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trHeight w:val="323" w:hRule="atLeast"/>
          <w:tblHeader/>
        </w:trPr>
        <w:tc>
          <w:tcPr>
            <w:tcW w:w="928" w:type="dxa"/>
          </w:tcPr>
          <w:p w14:paraId="15084B96">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rPr>
            </w:pPr>
            <w:r>
              <w:rPr>
                <w:rFonts w:hint="eastAsia" w:ascii="宋体" w:hAnsi="宋体" w:eastAsia="宋体" w:cs="宋体"/>
                <w:b/>
                <w:sz w:val="24"/>
                <w:szCs w:val="24"/>
              </w:rPr>
              <w:t>终端</w:t>
            </w:r>
          </w:p>
        </w:tc>
        <w:tc>
          <w:tcPr>
            <w:tcW w:w="8999" w:type="dxa"/>
          </w:tcPr>
          <w:p w14:paraId="2490F44E">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rPr>
            </w:pPr>
            <w:r>
              <w:rPr>
                <w:rFonts w:hint="eastAsia" w:ascii="宋体" w:hAnsi="宋体" w:eastAsia="宋体" w:cs="宋体"/>
                <w:b/>
                <w:sz w:val="24"/>
                <w:szCs w:val="24"/>
              </w:rPr>
              <w:t>服务模块名称</w:t>
            </w:r>
          </w:p>
        </w:tc>
      </w:tr>
      <w:tr w14:paraId="19D778A3">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trHeight w:val="813" w:hRule="atLeast"/>
        </w:trPr>
        <w:tc>
          <w:tcPr>
            <w:tcW w:w="928" w:type="dxa"/>
            <w:vAlign w:val="center"/>
          </w:tcPr>
          <w:p w14:paraId="625E5A7A">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移动端</w:t>
            </w:r>
          </w:p>
        </w:tc>
        <w:tc>
          <w:tcPr>
            <w:tcW w:w="8999" w:type="dxa"/>
          </w:tcPr>
          <w:p w14:paraId="3F90B102">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院前院内协同、院前急救信息预警联动、移动会诊系统、转诊模块、患者情况一览表、智能输入、院前急救电子病历系统、急救病历填报、移动交接</w:t>
            </w:r>
          </w:p>
        </w:tc>
      </w:tr>
      <w:tr w14:paraId="616F1FA9">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trHeight w:val="844" w:hRule="atLeast"/>
        </w:trPr>
        <w:tc>
          <w:tcPr>
            <w:tcW w:w="928" w:type="dxa"/>
            <w:vAlign w:val="center"/>
          </w:tcPr>
          <w:p w14:paraId="643C8348">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电脑端</w:t>
            </w:r>
          </w:p>
        </w:tc>
        <w:tc>
          <w:tcPr>
            <w:tcW w:w="8999" w:type="dxa"/>
          </w:tcPr>
          <w:p w14:paraId="6ACF2290">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院前院内协同、院前院内预警联动、远程会诊系统、急救电子病历系统、评分工具、创伤病例上报系统、质控会议上报系统、质控管理系统、基本周报、预警记录</w:t>
            </w:r>
          </w:p>
        </w:tc>
      </w:tr>
    </w:tbl>
    <w:p w14:paraId="1C601CB7">
      <w:pPr>
        <w:keepNext/>
        <w:keepLines/>
        <w:pageBreakBefore w:val="0"/>
        <w:widowControl w:val="0"/>
        <w:kinsoku/>
        <w:wordWrap/>
        <w:overflowPunct/>
        <w:topLinePunct w:val="0"/>
        <w:autoSpaceDE/>
        <w:autoSpaceDN/>
        <w:bidi w:val="0"/>
        <w:adjustRightInd/>
        <w:snapToGrid/>
        <w:spacing w:beforeAutospacing="0" w:afterAutospacing="0" w:line="360" w:lineRule="auto"/>
        <w:ind w:firstLine="482" w:firstLineChars="200"/>
        <w:textAlignment w:val="auto"/>
        <w:outlineLvl w:val="1"/>
        <w:rPr>
          <w:rFonts w:hint="eastAsia" w:ascii="宋体" w:hAnsi="宋体" w:eastAsia="宋体" w:cs="宋体"/>
          <w:b/>
          <w:sz w:val="24"/>
          <w:szCs w:val="24"/>
        </w:rPr>
      </w:pPr>
    </w:p>
    <w:p w14:paraId="7C86E444">
      <w:pPr>
        <w:keepNext/>
        <w:keepLines/>
        <w:pageBreakBefore w:val="0"/>
        <w:widowControl w:val="0"/>
        <w:kinsoku/>
        <w:wordWrap/>
        <w:overflowPunct/>
        <w:topLinePunct w:val="0"/>
        <w:autoSpaceDE/>
        <w:autoSpaceDN/>
        <w:bidi w:val="0"/>
        <w:adjustRightInd/>
        <w:snapToGrid/>
        <w:spacing w:beforeAutospacing="0" w:afterAutospacing="0" w:line="360" w:lineRule="auto"/>
        <w:ind w:firstLine="482" w:firstLineChars="200"/>
        <w:textAlignment w:val="auto"/>
        <w:outlineLvl w:val="1"/>
        <w:rPr>
          <w:rFonts w:hint="eastAsia" w:ascii="宋体" w:hAnsi="宋体" w:eastAsia="宋体" w:cs="宋体"/>
          <w:sz w:val="24"/>
          <w:szCs w:val="24"/>
        </w:rPr>
      </w:pPr>
      <w:r>
        <w:rPr>
          <w:rFonts w:hint="eastAsia" w:ascii="宋体" w:hAnsi="宋体" w:eastAsia="宋体" w:cs="宋体"/>
          <w:b/>
          <w:sz w:val="24"/>
          <w:szCs w:val="24"/>
        </w:rPr>
        <w:t>四、系统服务功能要求</w:t>
      </w:r>
    </w:p>
    <w:p w14:paraId="335B7872">
      <w:pPr>
        <w:keepNext/>
        <w:keepLines/>
        <w:pageBreakBefore w:val="0"/>
        <w:widowControl w:val="0"/>
        <w:kinsoku/>
        <w:wordWrap/>
        <w:overflowPunct/>
        <w:topLinePunct w:val="0"/>
        <w:autoSpaceDE/>
        <w:autoSpaceDN/>
        <w:bidi w:val="0"/>
        <w:adjustRightInd/>
        <w:snapToGrid/>
        <w:spacing w:beforeAutospacing="0" w:afterAutospacing="0" w:line="360" w:lineRule="auto"/>
        <w:ind w:firstLine="482" w:firstLineChars="200"/>
        <w:textAlignment w:val="auto"/>
        <w:outlineLvl w:val="2"/>
        <w:rPr>
          <w:rFonts w:hint="eastAsia" w:ascii="宋体" w:hAnsi="宋体" w:eastAsia="宋体" w:cs="宋体"/>
          <w:sz w:val="24"/>
          <w:szCs w:val="24"/>
        </w:rPr>
      </w:pPr>
      <w:r>
        <w:rPr>
          <w:rFonts w:hint="eastAsia" w:ascii="宋体" w:hAnsi="宋体" w:eastAsia="宋体" w:cs="宋体"/>
          <w:b/>
          <w:sz w:val="24"/>
          <w:szCs w:val="24"/>
        </w:rPr>
        <w:t>4.1 移动端功能要求</w:t>
      </w:r>
    </w:p>
    <w:tbl>
      <w:tblPr>
        <w:tblStyle w:val="2"/>
        <w:tblW w:w="10157" w:type="dxa"/>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autofit"/>
        <w:tblCellMar>
          <w:top w:w="15" w:type="dxa"/>
          <w:left w:w="15" w:type="dxa"/>
          <w:bottom w:w="15" w:type="dxa"/>
          <w:right w:w="15" w:type="dxa"/>
        </w:tblCellMar>
      </w:tblPr>
      <w:tblGrid>
        <w:gridCol w:w="1063"/>
        <w:gridCol w:w="9094"/>
      </w:tblGrid>
      <w:tr w14:paraId="0D6F6C52">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tblHeader/>
        </w:trPr>
        <w:tc>
          <w:tcPr>
            <w:tcW w:w="1063" w:type="dxa"/>
          </w:tcPr>
          <w:p w14:paraId="04639943">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rPr>
            </w:pPr>
            <w:r>
              <w:rPr>
                <w:rFonts w:hint="eastAsia" w:ascii="宋体" w:hAnsi="宋体" w:eastAsia="宋体" w:cs="宋体"/>
                <w:b/>
                <w:sz w:val="24"/>
                <w:szCs w:val="24"/>
              </w:rPr>
              <w:t>服务模块</w:t>
            </w:r>
          </w:p>
        </w:tc>
        <w:tc>
          <w:tcPr>
            <w:tcW w:w="9094" w:type="dxa"/>
          </w:tcPr>
          <w:p w14:paraId="6A69D8E9">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rPr>
            </w:pPr>
            <w:r>
              <w:rPr>
                <w:rFonts w:hint="eastAsia" w:ascii="宋体" w:hAnsi="宋体" w:eastAsia="宋体" w:cs="宋体"/>
                <w:b/>
                <w:sz w:val="24"/>
                <w:szCs w:val="24"/>
              </w:rPr>
              <w:t>功能描述</w:t>
            </w:r>
          </w:p>
        </w:tc>
      </w:tr>
      <w:tr w14:paraId="4A38232F">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1063" w:type="dxa"/>
            <w:vAlign w:val="center"/>
          </w:tcPr>
          <w:p w14:paraId="288614ED">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院前</w:t>
            </w:r>
          </w:p>
          <w:p w14:paraId="4B44CE8A">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院内</w:t>
            </w:r>
          </w:p>
          <w:p w14:paraId="30ADBB6B">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协同</w:t>
            </w:r>
          </w:p>
        </w:tc>
        <w:tc>
          <w:tcPr>
            <w:tcW w:w="9094" w:type="dxa"/>
          </w:tcPr>
          <w:p w14:paraId="5DCBA16D">
            <w:pPr>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支持一键将文本、图像、语音、视频生成患者档案，保留原始信息，并支持将群聊信息合并至对应病历；</w:t>
            </w:r>
          </w:p>
          <w:p w14:paraId="3F2A3C0F">
            <w:pPr>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支持创建院际协作组，可组建本院与外院专家协作群；</w:t>
            </w:r>
          </w:p>
          <w:p w14:paraId="1A6C2114">
            <w:pPr>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支持患者急救信息分享功能，可将信息分享到其他协作组中；</w:t>
            </w:r>
          </w:p>
          <w:p w14:paraId="15AD6673">
            <w:pPr>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患者伤情变化时自动触发预警，及时推送至院内相关科室。</w:t>
            </w:r>
          </w:p>
        </w:tc>
      </w:tr>
      <w:tr w14:paraId="095B0CE3">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1063" w:type="dxa"/>
          </w:tcPr>
          <w:p w14:paraId="553EA3B6">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院前</w:t>
            </w:r>
          </w:p>
          <w:p w14:paraId="2B08D218">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急救</w:t>
            </w:r>
          </w:p>
          <w:p w14:paraId="5C1A39B4">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信息</w:t>
            </w:r>
          </w:p>
          <w:p w14:paraId="11CE637B">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预警</w:t>
            </w:r>
          </w:p>
          <w:p w14:paraId="0ACF3142">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联动</w:t>
            </w:r>
          </w:p>
        </w:tc>
        <w:tc>
          <w:tcPr>
            <w:tcW w:w="9094" w:type="dxa"/>
          </w:tcPr>
          <w:p w14:paraId="509A2B4D">
            <w:pPr>
              <w:pageBreakBefore w:val="0"/>
              <w:widowControl w:val="0"/>
              <w:numPr>
                <w:ilvl w:val="0"/>
                <w:numId w:val="2"/>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支持院前智能预警医院，院内实时获取院前信息，告知终端进行声音提醒，医院医护人员可确认并接收预警，并支持延时接收预警；</w:t>
            </w:r>
          </w:p>
          <w:p w14:paraId="7347AFC9">
            <w:pPr>
              <w:pageBreakBefore w:val="0"/>
              <w:widowControl w:val="0"/>
              <w:numPr>
                <w:ilvl w:val="0"/>
                <w:numId w:val="2"/>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支持一键预警并发起MDT（多学科联合救治）功能，院内急救医护人员可及时了解患者情况并提前做好急救准备，提高救治效率；</w:t>
            </w:r>
          </w:p>
          <w:p w14:paraId="3545D42B">
            <w:pPr>
              <w:pageBreakBefore w:val="0"/>
              <w:widowControl w:val="0"/>
              <w:numPr>
                <w:ilvl w:val="0"/>
                <w:numId w:val="2"/>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支持院前发起个人呼叫和MDT呼叫，被呼叫人员会收到语音电话提醒查看并签到。</w:t>
            </w:r>
          </w:p>
        </w:tc>
      </w:tr>
      <w:tr w14:paraId="4BCD2ACA">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1063" w:type="dxa"/>
            <w:vAlign w:val="center"/>
          </w:tcPr>
          <w:p w14:paraId="126D41AE">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移动</w:t>
            </w:r>
          </w:p>
          <w:p w14:paraId="2EF33C4D">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会诊</w:t>
            </w:r>
          </w:p>
          <w:p w14:paraId="2450572C">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系统</w:t>
            </w:r>
          </w:p>
        </w:tc>
        <w:tc>
          <w:tcPr>
            <w:tcW w:w="9094" w:type="dxa"/>
          </w:tcPr>
          <w:p w14:paraId="2C41A70B">
            <w:pPr>
              <w:pageBreakBefore w:val="0"/>
              <w:widowControl w:val="0"/>
              <w:numPr>
                <w:ilvl w:val="0"/>
                <w:numId w:val="3"/>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支持院前急救团队发起与院内专家的实时音视频会诊，支持在视频过程中静音以及切换前置、后置摄像头；</w:t>
            </w:r>
          </w:p>
          <w:p w14:paraId="28688A75">
            <w:pPr>
              <w:pageBreakBefore w:val="0"/>
              <w:widowControl w:val="0"/>
              <w:numPr>
                <w:ilvl w:val="0"/>
                <w:numId w:val="3"/>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支持查看远程音视频会诊的呼叫记录；</w:t>
            </w:r>
          </w:p>
          <w:p w14:paraId="7573BE70">
            <w:pPr>
              <w:pageBreakBefore w:val="0"/>
              <w:widowControl w:val="0"/>
              <w:numPr>
                <w:ilvl w:val="0"/>
                <w:numId w:val="3"/>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支持院前急救医护人员暂时退出后再次进入会诊；</w:t>
            </w:r>
          </w:p>
          <w:p w14:paraId="34465737">
            <w:pPr>
              <w:pageBreakBefore w:val="0"/>
              <w:widowControl w:val="0"/>
              <w:numPr>
                <w:ilvl w:val="0"/>
                <w:numId w:val="3"/>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支持参会人员输入会诊意见，且在会诊过程中可添加新会诊人员进入线上会诊。</w:t>
            </w:r>
          </w:p>
        </w:tc>
      </w:tr>
      <w:tr w14:paraId="65FCDF0A">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1063" w:type="dxa"/>
            <w:vAlign w:val="center"/>
          </w:tcPr>
          <w:p w14:paraId="2DB27775">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转诊</w:t>
            </w:r>
          </w:p>
          <w:p w14:paraId="167E07AD">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模块</w:t>
            </w:r>
          </w:p>
        </w:tc>
        <w:tc>
          <w:tcPr>
            <w:tcW w:w="9094" w:type="dxa"/>
          </w:tcPr>
          <w:p w14:paraId="7CCA63EB">
            <w:pPr>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支持同级医院间以及特定区域内下级医院向上级医院的严重患者转院功能；</w:t>
            </w:r>
          </w:p>
          <w:p w14:paraId="1FE36D8C">
            <w:pPr>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支持按地区筛选接收医院并发起转诊申请，并可查看接收医院是否接收该申请；</w:t>
            </w:r>
          </w:p>
          <w:p w14:paraId="25D3E243">
            <w:pPr>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支持转院患者的电子病历共享，将患者在院情况等信息传输至接收医院；</w:t>
            </w:r>
          </w:p>
          <w:p w14:paraId="3C6D9E06">
            <w:pPr>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支持转入医院的医护人员在规定时效内查看患者在转出医院的历史病历信息；</w:t>
            </w:r>
          </w:p>
          <w:p w14:paraId="503D8231">
            <w:pPr>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支持在患者病历主页增加转入、转出的操作标识，支持查阅患者转院记录；</w:t>
            </w:r>
          </w:p>
          <w:p w14:paraId="06503114">
            <w:pPr>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支持转运过程中推荐最近的救治医院，并查看医院相关信息。</w:t>
            </w:r>
          </w:p>
        </w:tc>
      </w:tr>
      <w:tr w14:paraId="4437EDA6">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1063" w:type="dxa"/>
            <w:vAlign w:val="center"/>
          </w:tcPr>
          <w:p w14:paraId="4952F81B">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患者</w:t>
            </w:r>
          </w:p>
          <w:p w14:paraId="67A06619">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情况</w:t>
            </w:r>
          </w:p>
          <w:p w14:paraId="68B3BDC5">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一览表</w:t>
            </w:r>
          </w:p>
        </w:tc>
        <w:tc>
          <w:tcPr>
            <w:tcW w:w="9094" w:type="dxa"/>
          </w:tcPr>
          <w:p w14:paraId="182F1C2F">
            <w:pPr>
              <w:pageBreakBefore w:val="0"/>
              <w:widowControl w:val="0"/>
              <w:numPr>
                <w:ilvl w:val="0"/>
                <w:numId w:val="5"/>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支持展示转送实况，快速记录转运时间点；</w:t>
            </w:r>
          </w:p>
          <w:p w14:paraId="4AD4F498">
            <w:pPr>
              <w:pageBreakBefore w:val="0"/>
              <w:widowControl w:val="0"/>
              <w:numPr>
                <w:ilvl w:val="0"/>
                <w:numId w:val="5"/>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支持展示患者基本信息、主诉、生命体征、评分等信息；</w:t>
            </w:r>
          </w:p>
          <w:p w14:paraId="33FFFBA2">
            <w:pPr>
              <w:pageBreakBefore w:val="0"/>
              <w:widowControl w:val="0"/>
              <w:numPr>
                <w:ilvl w:val="0"/>
                <w:numId w:val="5"/>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支持展示患者列表，实现全院创伤患者信息的智能切换。</w:t>
            </w:r>
          </w:p>
          <w:p w14:paraId="7DF5615C">
            <w:pPr>
              <w:pageBreakBefore w:val="0"/>
              <w:widowControl w:val="0"/>
              <w:numPr>
                <w:ilvl w:val="0"/>
                <w:numId w:val="5"/>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支持院前急救团队与院内急诊急救团队进行实时音视频会诊通话。</w:t>
            </w:r>
          </w:p>
        </w:tc>
      </w:tr>
      <w:tr w14:paraId="4956022E">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1063" w:type="dxa"/>
            <w:vAlign w:val="center"/>
          </w:tcPr>
          <w:p w14:paraId="145E4E2A">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智能</w:t>
            </w:r>
          </w:p>
          <w:p w14:paraId="185A3645">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输入</w:t>
            </w:r>
          </w:p>
        </w:tc>
        <w:tc>
          <w:tcPr>
            <w:tcW w:w="9094" w:type="dxa"/>
          </w:tcPr>
          <w:p w14:paraId="5282017F">
            <w:pPr>
              <w:pageBreakBefore w:val="0"/>
              <w:widowControl w:val="0"/>
              <w:numPr>
                <w:ilvl w:val="0"/>
                <w:numId w:val="6"/>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支持身份证图片识别，简化创建患者功能；</w:t>
            </w:r>
          </w:p>
          <w:p w14:paraId="08340E24">
            <w:pPr>
              <w:pageBreakBefore w:val="0"/>
              <w:widowControl w:val="0"/>
              <w:numPr>
                <w:ilvl w:val="0"/>
                <w:numId w:val="6"/>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支持通过语音录入快速生成结构化电子病历，提高登记效率；</w:t>
            </w:r>
          </w:p>
          <w:p w14:paraId="24F2F99F">
            <w:pPr>
              <w:pageBreakBefore w:val="0"/>
              <w:widowControl w:val="0"/>
              <w:numPr>
                <w:ilvl w:val="0"/>
                <w:numId w:val="6"/>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支持多模态数据录入，涵盖文本、声音、视频、图片等信息，并可将这些数据合并至患者信息中，确保院前患者信息完整；</w:t>
            </w:r>
          </w:p>
          <w:p w14:paraId="79EBB514">
            <w:pPr>
              <w:pageBreakBefore w:val="0"/>
              <w:widowControl w:val="0"/>
              <w:numPr>
                <w:ilvl w:val="0"/>
                <w:numId w:val="6"/>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对无身份信息的急危重症患者，支持自动赋予无名氏编码，简化登记流程，不延误救治。</w:t>
            </w:r>
          </w:p>
        </w:tc>
      </w:tr>
      <w:tr w14:paraId="7AA8FD47">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1063" w:type="dxa"/>
            <w:vAlign w:val="center"/>
          </w:tcPr>
          <w:p w14:paraId="7B052FF7">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院前急救电子病历系统</w:t>
            </w:r>
          </w:p>
        </w:tc>
        <w:tc>
          <w:tcPr>
            <w:tcW w:w="9094" w:type="dxa"/>
          </w:tcPr>
          <w:p w14:paraId="02A7EC2C">
            <w:pPr>
              <w:pageBreakBefore w:val="0"/>
              <w:widowControl w:val="0"/>
              <w:numPr>
                <w:ilvl w:val="0"/>
                <w:numId w:val="7"/>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支持录入创伤患者的基本信息、院前急救电子病历信息等；</w:t>
            </w:r>
          </w:p>
          <w:p w14:paraId="0772C4CD">
            <w:pPr>
              <w:pageBreakBefore w:val="0"/>
              <w:widowControl w:val="0"/>
              <w:numPr>
                <w:ilvl w:val="0"/>
                <w:numId w:val="7"/>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支持查看创伤患者的TI评分、GCS评分和ISS/AIS评分结果和明细。</w:t>
            </w:r>
          </w:p>
        </w:tc>
      </w:tr>
      <w:tr w14:paraId="563869F8">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1063" w:type="dxa"/>
            <w:vAlign w:val="center"/>
          </w:tcPr>
          <w:p w14:paraId="2EA0A9AE">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急救</w:t>
            </w:r>
          </w:p>
          <w:p w14:paraId="35C97CFC">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病历</w:t>
            </w:r>
          </w:p>
          <w:p w14:paraId="04709098">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填报</w:t>
            </w:r>
          </w:p>
        </w:tc>
        <w:tc>
          <w:tcPr>
            <w:tcW w:w="9094" w:type="dxa"/>
          </w:tcPr>
          <w:p w14:paraId="0AEFA84B">
            <w:pPr>
              <w:pageBreakBefore w:val="0"/>
              <w:widowControl w:val="0"/>
              <w:numPr>
                <w:ilvl w:val="0"/>
                <w:numId w:val="8"/>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支持通过关键字模糊检索、不同时间范围、数据状态等条件进行快速检索；</w:t>
            </w:r>
          </w:p>
          <w:p w14:paraId="1AE81F03">
            <w:pPr>
              <w:pageBreakBefore w:val="0"/>
              <w:widowControl w:val="0"/>
              <w:numPr>
                <w:ilvl w:val="0"/>
                <w:numId w:val="8"/>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填报或编辑患者数据时，提供数据暂存和保存功能，暂存时只校验已填写字段的有效性和合理性，提升填写便捷性；</w:t>
            </w:r>
          </w:p>
          <w:p w14:paraId="5553085B">
            <w:pPr>
              <w:pageBreakBefore w:val="0"/>
              <w:widowControl w:val="0"/>
              <w:numPr>
                <w:ilvl w:val="0"/>
                <w:numId w:val="8"/>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电子病历系统各模块提供缺项必填字段数提醒，对填写完整模块给予提示，可快速定位缺项；</w:t>
            </w:r>
          </w:p>
          <w:p w14:paraId="696F0BEF">
            <w:pPr>
              <w:pageBreakBefore w:val="0"/>
              <w:widowControl w:val="0"/>
              <w:numPr>
                <w:ilvl w:val="0"/>
                <w:numId w:val="8"/>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提供时间节点字段逻辑校验与提示功能；</w:t>
            </w:r>
          </w:p>
          <w:p w14:paraId="1E4F8410">
            <w:pPr>
              <w:pageBreakBefore w:val="0"/>
              <w:widowControl w:val="0"/>
              <w:numPr>
                <w:ilvl w:val="0"/>
                <w:numId w:val="8"/>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支持自动计算患者数据填报完整度、一键预览填写结果，同时提供TI、GCS、ISS/AIS评分工具。</w:t>
            </w:r>
          </w:p>
        </w:tc>
      </w:tr>
      <w:tr w14:paraId="6A3F72F8">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1063" w:type="dxa"/>
            <w:vAlign w:val="center"/>
          </w:tcPr>
          <w:p w14:paraId="1D827D08">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移动</w:t>
            </w:r>
          </w:p>
          <w:p w14:paraId="39997D98">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交接</w:t>
            </w:r>
          </w:p>
        </w:tc>
        <w:tc>
          <w:tcPr>
            <w:tcW w:w="9094" w:type="dxa"/>
          </w:tcPr>
          <w:p w14:paraId="28B85B8F">
            <w:pPr>
              <w:pageBreakBefore w:val="0"/>
              <w:widowControl w:val="0"/>
              <w:numPr>
                <w:ilvl w:val="0"/>
                <w:numId w:val="9"/>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支持自动生成院前院内交接单，交接单签字；</w:t>
            </w:r>
          </w:p>
          <w:p w14:paraId="476C27BA">
            <w:pPr>
              <w:pageBreakBefore w:val="0"/>
              <w:widowControl w:val="0"/>
              <w:numPr>
                <w:ilvl w:val="0"/>
                <w:numId w:val="9"/>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支持预览及打印院前院内交接单。</w:t>
            </w:r>
          </w:p>
        </w:tc>
      </w:tr>
    </w:tbl>
    <w:p w14:paraId="2EDD8344">
      <w:pPr>
        <w:keepNext/>
        <w:keepLines/>
        <w:pageBreakBefore w:val="0"/>
        <w:widowControl w:val="0"/>
        <w:kinsoku/>
        <w:wordWrap/>
        <w:overflowPunct/>
        <w:topLinePunct w:val="0"/>
        <w:autoSpaceDE/>
        <w:autoSpaceDN/>
        <w:bidi w:val="0"/>
        <w:adjustRightInd/>
        <w:snapToGrid/>
        <w:spacing w:beforeAutospacing="0" w:afterAutospacing="0" w:line="360" w:lineRule="auto"/>
        <w:textAlignment w:val="auto"/>
        <w:outlineLvl w:val="2"/>
        <w:rPr>
          <w:rFonts w:hint="eastAsia" w:ascii="宋体" w:hAnsi="宋体" w:eastAsia="宋体" w:cs="宋体"/>
          <w:sz w:val="24"/>
          <w:szCs w:val="24"/>
        </w:rPr>
      </w:pPr>
      <w:r>
        <w:rPr>
          <w:rFonts w:hint="eastAsia" w:ascii="宋体" w:hAnsi="宋体" w:eastAsia="宋体" w:cs="宋体"/>
          <w:b/>
          <w:sz w:val="24"/>
          <w:szCs w:val="24"/>
        </w:rPr>
        <w:t>4.2 电脑端功能要求</w:t>
      </w:r>
    </w:p>
    <w:tbl>
      <w:tblPr>
        <w:tblStyle w:val="2"/>
        <w:tblW w:w="10189" w:type="dxa"/>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autofit"/>
        <w:tblCellMar>
          <w:top w:w="15" w:type="dxa"/>
          <w:left w:w="15" w:type="dxa"/>
          <w:bottom w:w="15" w:type="dxa"/>
          <w:right w:w="15" w:type="dxa"/>
        </w:tblCellMar>
      </w:tblPr>
      <w:tblGrid>
        <w:gridCol w:w="1071"/>
        <w:gridCol w:w="9118"/>
      </w:tblGrid>
      <w:tr w14:paraId="783DDDA0">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tblHeader/>
        </w:trPr>
        <w:tc>
          <w:tcPr>
            <w:tcW w:w="1071" w:type="dxa"/>
          </w:tcPr>
          <w:p w14:paraId="5DC05E58">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sz w:val="24"/>
                <w:szCs w:val="24"/>
              </w:rPr>
              <w:t>服务模块</w:t>
            </w:r>
          </w:p>
        </w:tc>
        <w:tc>
          <w:tcPr>
            <w:tcW w:w="9118" w:type="dxa"/>
          </w:tcPr>
          <w:p w14:paraId="0BEA00EF">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sz w:val="24"/>
                <w:szCs w:val="24"/>
              </w:rPr>
              <w:t>功能描述</w:t>
            </w:r>
          </w:p>
        </w:tc>
      </w:tr>
      <w:tr w14:paraId="3968FC3E">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1071" w:type="dxa"/>
            <w:vAlign w:val="center"/>
          </w:tcPr>
          <w:p w14:paraId="45A3C088">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院前</w:t>
            </w:r>
          </w:p>
          <w:p w14:paraId="0CE38408">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院内</w:t>
            </w:r>
          </w:p>
          <w:p w14:paraId="778122A9">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协同</w:t>
            </w:r>
          </w:p>
        </w:tc>
        <w:tc>
          <w:tcPr>
            <w:tcW w:w="9118" w:type="dxa"/>
          </w:tcPr>
          <w:p w14:paraId="490B1BE4">
            <w:pPr>
              <w:pageBreakBefore w:val="0"/>
              <w:widowControl w:val="0"/>
              <w:numPr>
                <w:ilvl w:val="0"/>
                <w:numId w:val="1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支持一键将文本、图像、语音、视频生成患者档案，保留原始信息，并支持将群聊信息合并至对应病历；</w:t>
            </w:r>
          </w:p>
          <w:p w14:paraId="679E6EB9">
            <w:pPr>
              <w:pageBreakBefore w:val="0"/>
              <w:widowControl w:val="0"/>
              <w:numPr>
                <w:ilvl w:val="0"/>
                <w:numId w:val="1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支持实时获取院前急救团队和院内医护人员提交的患者信息，提前准备医疗资源；</w:t>
            </w:r>
          </w:p>
          <w:p w14:paraId="3BCFB442">
            <w:pPr>
              <w:pageBreakBefore w:val="0"/>
              <w:widowControl w:val="0"/>
              <w:numPr>
                <w:ilvl w:val="0"/>
                <w:numId w:val="1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支持创建院际协作组，可组建本院与外院专家协作群；</w:t>
            </w:r>
          </w:p>
          <w:p w14:paraId="0375385F">
            <w:pPr>
              <w:pageBreakBefore w:val="0"/>
              <w:widowControl w:val="0"/>
              <w:numPr>
                <w:ilvl w:val="0"/>
                <w:numId w:val="1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支持分享功能，患者急救信息可以分享到多个协作组中，为远程会诊提供支持。</w:t>
            </w:r>
          </w:p>
        </w:tc>
      </w:tr>
      <w:tr w14:paraId="0416EC04">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1071" w:type="dxa"/>
            <w:vAlign w:val="center"/>
          </w:tcPr>
          <w:p w14:paraId="19C21F0B">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院前</w:t>
            </w:r>
          </w:p>
          <w:p w14:paraId="1207365C">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院内</w:t>
            </w:r>
          </w:p>
          <w:p w14:paraId="5DE73FF9">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预警</w:t>
            </w:r>
          </w:p>
          <w:p w14:paraId="55BD2606">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联动</w:t>
            </w:r>
          </w:p>
        </w:tc>
        <w:tc>
          <w:tcPr>
            <w:tcW w:w="9118" w:type="dxa"/>
          </w:tcPr>
          <w:p w14:paraId="51C903BE">
            <w:pPr>
              <w:pageBreakBefore w:val="0"/>
              <w:widowControl w:val="0"/>
              <w:numPr>
                <w:ilvl w:val="0"/>
                <w:numId w:val="1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支持实时接收院前智能预警信息，院内告知终端会收到声音提醒，医院医护人员可确认并接收预警，并支持延时接收预警；</w:t>
            </w:r>
          </w:p>
          <w:p w14:paraId="7417AF45">
            <w:pPr>
              <w:pageBreakBefore w:val="0"/>
              <w:widowControl w:val="0"/>
              <w:numPr>
                <w:ilvl w:val="0"/>
                <w:numId w:val="1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支持院内发起个人呼叫和MDT呼叫功能，通知其他科室医生进行会诊，被呼叫人员会收到语音电话提醒查看并签到；</w:t>
            </w:r>
          </w:p>
          <w:p w14:paraId="7F17A8E1">
            <w:pPr>
              <w:pageBreakBefore w:val="0"/>
              <w:widowControl w:val="0"/>
              <w:numPr>
                <w:ilvl w:val="0"/>
                <w:numId w:val="1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支持院内主动向院前救护车端发起远程音视频通话；</w:t>
            </w:r>
          </w:p>
          <w:p w14:paraId="32505FAB">
            <w:pPr>
              <w:pageBreakBefore w:val="0"/>
              <w:widowControl w:val="0"/>
              <w:numPr>
                <w:ilvl w:val="0"/>
                <w:numId w:val="1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支持院内一键通知专科救治团队或指定团队成员赶至指定会诊地点，并传送患者病情分类及症状描述信息。</w:t>
            </w:r>
          </w:p>
        </w:tc>
      </w:tr>
      <w:tr w14:paraId="6193B0DE">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1071" w:type="dxa"/>
            <w:vAlign w:val="center"/>
          </w:tcPr>
          <w:p w14:paraId="73410AA7">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远程</w:t>
            </w:r>
          </w:p>
          <w:p w14:paraId="0993976F">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会诊</w:t>
            </w:r>
          </w:p>
          <w:p w14:paraId="1DC16F86">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系统</w:t>
            </w:r>
          </w:p>
        </w:tc>
        <w:tc>
          <w:tcPr>
            <w:tcW w:w="9118" w:type="dxa"/>
          </w:tcPr>
          <w:p w14:paraId="1864A009">
            <w:pPr>
              <w:pageBreakBefore w:val="0"/>
              <w:widowControl w:val="0"/>
              <w:numPr>
                <w:ilvl w:val="0"/>
                <w:numId w:val="12"/>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支持院前急救团队与院内急诊急救团队进行实时音视频会诊通话；</w:t>
            </w:r>
          </w:p>
          <w:p w14:paraId="7E511230">
            <w:pPr>
              <w:pageBreakBefore w:val="0"/>
              <w:widowControl w:val="0"/>
              <w:numPr>
                <w:ilvl w:val="0"/>
                <w:numId w:val="12"/>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支持查看远程音视频会诊的呼叫记录；</w:t>
            </w:r>
          </w:p>
          <w:p w14:paraId="3AEDCEF8">
            <w:pPr>
              <w:pageBreakBefore w:val="0"/>
              <w:widowControl w:val="0"/>
              <w:numPr>
                <w:ilvl w:val="0"/>
                <w:numId w:val="12"/>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支持暂时退出后再次进入会诊，且支持参会人员输入会诊意见；</w:t>
            </w:r>
          </w:p>
          <w:p w14:paraId="08253466">
            <w:pPr>
              <w:pageBreakBefore w:val="0"/>
              <w:widowControl w:val="0"/>
              <w:numPr>
                <w:ilvl w:val="0"/>
                <w:numId w:val="12"/>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支持会诊过程中添加新的会诊人员进入线上会诊；</w:t>
            </w:r>
          </w:p>
          <w:p w14:paraId="16200ECB">
            <w:pPr>
              <w:pageBreakBefore w:val="0"/>
              <w:widowControl w:val="0"/>
              <w:numPr>
                <w:ilvl w:val="0"/>
                <w:numId w:val="12"/>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支持多方远程音视频会诊，满足院内专科医生参与会诊的需要。</w:t>
            </w:r>
          </w:p>
        </w:tc>
      </w:tr>
      <w:tr w14:paraId="3C4828CD">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1071" w:type="dxa"/>
            <w:vAlign w:val="center"/>
          </w:tcPr>
          <w:p w14:paraId="18AE881B">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急救</w:t>
            </w:r>
          </w:p>
          <w:p w14:paraId="25847582">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电子</w:t>
            </w:r>
          </w:p>
          <w:p w14:paraId="5A6FB291">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病历</w:t>
            </w:r>
          </w:p>
          <w:p w14:paraId="3B314EF6">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系统</w:t>
            </w:r>
          </w:p>
        </w:tc>
        <w:tc>
          <w:tcPr>
            <w:tcW w:w="9118" w:type="dxa"/>
          </w:tcPr>
          <w:p w14:paraId="72A78017">
            <w:pPr>
              <w:pageBreakBefore w:val="0"/>
              <w:widowControl w:val="0"/>
              <w:numPr>
                <w:ilvl w:val="0"/>
                <w:numId w:val="13"/>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支持院内电子病历建档，登记人口学信息、门急诊接诊信息、院内创伤诊疗信息（含院前、门急诊、住院、转院全流程）；</w:t>
            </w:r>
          </w:p>
          <w:p w14:paraId="2B24D98F">
            <w:pPr>
              <w:pageBreakBefore w:val="0"/>
              <w:widowControl w:val="0"/>
              <w:numPr>
                <w:ilvl w:val="0"/>
                <w:numId w:val="13"/>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支持录入创伤患者的基本信息、院前急救电子病历信息、门急诊信息、住院信息等；</w:t>
            </w:r>
          </w:p>
          <w:p w14:paraId="2EA890E5">
            <w:pPr>
              <w:pageBreakBefore w:val="0"/>
              <w:widowControl w:val="0"/>
              <w:numPr>
                <w:ilvl w:val="0"/>
                <w:numId w:val="13"/>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支持查看创伤患者的TI评分、GCS评分和ISS/AIS评分结果和明细；</w:t>
            </w:r>
          </w:p>
          <w:p w14:paraId="3F31FB53">
            <w:pPr>
              <w:pageBreakBefore w:val="0"/>
              <w:widowControl w:val="0"/>
              <w:numPr>
                <w:ilvl w:val="0"/>
                <w:numId w:val="13"/>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在病历系统中可直观查看患者时间轴，自动归集并展示全流程关键救治节点信息，同时展示《创伤中心医疗质量控制指标（试行）》要求的19项创伤质控指标结果。</w:t>
            </w:r>
          </w:p>
        </w:tc>
      </w:tr>
      <w:tr w14:paraId="2F5813AB">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1071" w:type="dxa"/>
            <w:vAlign w:val="center"/>
          </w:tcPr>
          <w:p w14:paraId="0C19286C">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评分</w:t>
            </w:r>
          </w:p>
          <w:p w14:paraId="20A2B287">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工具</w:t>
            </w:r>
          </w:p>
        </w:tc>
        <w:tc>
          <w:tcPr>
            <w:tcW w:w="9118" w:type="dxa"/>
          </w:tcPr>
          <w:p w14:paraId="0E5D763E">
            <w:pPr>
              <w:pageBreakBefore w:val="0"/>
              <w:widowControl w:val="0"/>
              <w:numPr>
                <w:ilvl w:val="0"/>
                <w:numId w:val="14"/>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提供创伤患者院前使用的TI评分、GCS评分工具；</w:t>
            </w:r>
          </w:p>
          <w:p w14:paraId="31D14A7C">
            <w:pPr>
              <w:pageBreakBefore w:val="0"/>
              <w:widowControl w:val="0"/>
              <w:numPr>
                <w:ilvl w:val="0"/>
                <w:numId w:val="14"/>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提供院内医生使用的ISS/AIS评分工具，支持多次评估；</w:t>
            </w:r>
          </w:p>
          <w:p w14:paraId="6DE5FF24">
            <w:pPr>
              <w:pageBreakBefore w:val="0"/>
              <w:widowControl w:val="0"/>
              <w:numPr>
                <w:ilvl w:val="0"/>
                <w:numId w:val="14"/>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支持所有评分工具快速点选评分项，将不同分级的评估结果用不同颜色高亮展示；</w:t>
            </w:r>
          </w:p>
          <w:p w14:paraId="4F6DE4B0">
            <w:pPr>
              <w:pageBreakBefore w:val="0"/>
              <w:widowControl w:val="0"/>
              <w:numPr>
                <w:ilvl w:val="0"/>
                <w:numId w:val="14"/>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所有创伤评分工具均支持新增、查看、编辑、删除的功能；</w:t>
            </w:r>
          </w:p>
          <w:p w14:paraId="3F351F74">
            <w:pPr>
              <w:pageBreakBefore w:val="0"/>
              <w:widowControl w:val="0"/>
              <w:numPr>
                <w:ilvl w:val="0"/>
                <w:numId w:val="14"/>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支持快速配置其他可能需要的创伤评分工具；</w:t>
            </w:r>
          </w:p>
          <w:p w14:paraId="0990DA3F">
            <w:pPr>
              <w:pageBreakBefore w:val="0"/>
              <w:widowControl w:val="0"/>
              <w:numPr>
                <w:ilvl w:val="0"/>
                <w:numId w:val="14"/>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评分结果支持实时查看并可打印存档。</w:t>
            </w:r>
          </w:p>
        </w:tc>
      </w:tr>
      <w:tr w14:paraId="5617B3C4">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1071" w:type="dxa"/>
            <w:vAlign w:val="center"/>
          </w:tcPr>
          <w:p w14:paraId="3A3E64A4">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创伤病例上报系统</w:t>
            </w:r>
          </w:p>
        </w:tc>
        <w:tc>
          <w:tcPr>
            <w:tcW w:w="9118" w:type="dxa"/>
          </w:tcPr>
          <w:p w14:paraId="536D9866">
            <w:pPr>
              <w:pageBreakBefore w:val="0"/>
              <w:widowControl w:val="0"/>
              <w:numPr>
                <w:ilvl w:val="0"/>
                <w:numId w:val="15"/>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支持常用条件快速检索，涵盖关键字模糊检索、不同时间范围、严重创伤病人及病人分类等；</w:t>
            </w:r>
          </w:p>
          <w:p w14:paraId="73CE334D">
            <w:pPr>
              <w:pageBreakBefore w:val="0"/>
              <w:widowControl w:val="0"/>
              <w:numPr>
                <w:ilvl w:val="0"/>
                <w:numId w:val="15"/>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支持高级查询功能，支持系统全变量字段条件或条件组的与、或、非组合查询，不同字段类型（文本、数值）对应不同检索关系；</w:t>
            </w:r>
          </w:p>
          <w:p w14:paraId="43A49C4D">
            <w:pPr>
              <w:pageBreakBefore w:val="0"/>
              <w:widowControl w:val="0"/>
              <w:numPr>
                <w:ilvl w:val="0"/>
                <w:numId w:val="15"/>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可将高级检索常用条件保存为模板，实现一键快速调用搜索；</w:t>
            </w:r>
          </w:p>
          <w:p w14:paraId="460CC4B1">
            <w:pPr>
              <w:pageBreakBefore w:val="0"/>
              <w:widowControl w:val="0"/>
              <w:numPr>
                <w:ilvl w:val="0"/>
                <w:numId w:val="15"/>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支持填报或编辑患者数据的暂存和保存功能，暂存仅校验已填字段，便于快速填写；</w:t>
            </w:r>
          </w:p>
          <w:p w14:paraId="531B9280">
            <w:pPr>
              <w:pageBreakBefore w:val="0"/>
              <w:widowControl w:val="0"/>
              <w:numPr>
                <w:ilvl w:val="0"/>
                <w:numId w:val="15"/>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电子病历各模块提供缺项必填字段数提醒与填写完整提示，还具备时间节点字段先后逻辑校验与提示；</w:t>
            </w:r>
          </w:p>
          <w:p w14:paraId="1A451E4B">
            <w:pPr>
              <w:pageBreakBefore w:val="0"/>
              <w:widowControl w:val="0"/>
              <w:numPr>
                <w:ilvl w:val="0"/>
                <w:numId w:val="15"/>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提取患者关键诊疗时间节点生成时间轴，支持时间轴收起、展开等操作；</w:t>
            </w:r>
          </w:p>
          <w:p w14:paraId="4701651E">
            <w:pPr>
              <w:pageBreakBefore w:val="0"/>
              <w:widowControl w:val="0"/>
              <w:numPr>
                <w:ilvl w:val="0"/>
                <w:numId w:val="15"/>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支持按照数据状态分别展示患者数据，并支持批量上报操作；</w:t>
            </w:r>
          </w:p>
          <w:p w14:paraId="4F0B9F64">
            <w:pPr>
              <w:pageBreakBefore w:val="0"/>
              <w:widowControl w:val="0"/>
              <w:numPr>
                <w:ilvl w:val="0"/>
                <w:numId w:val="15"/>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支持自动计算并展示患者数据填报完整度，同时支持一键预览填写结果，方便自查是否符合上报要求；</w:t>
            </w:r>
          </w:p>
          <w:p w14:paraId="1B5E205C">
            <w:pPr>
              <w:pageBreakBefore w:val="0"/>
              <w:widowControl w:val="0"/>
              <w:numPr>
                <w:ilvl w:val="0"/>
                <w:numId w:val="15"/>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支持查看已上报及上报失败的数据，并支持二次上报；</w:t>
            </w:r>
          </w:p>
          <w:p w14:paraId="2979E57A">
            <w:pPr>
              <w:pageBreakBefore w:val="0"/>
              <w:widowControl w:val="0"/>
              <w:numPr>
                <w:ilvl w:val="0"/>
                <w:numId w:val="15"/>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、支持按国家创伤医疗数据标准，与国家级创伤医疗数据平台完成病例数据上报对接。</w:t>
            </w:r>
          </w:p>
        </w:tc>
      </w:tr>
      <w:tr w14:paraId="37575BDC">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1071" w:type="dxa"/>
            <w:vAlign w:val="center"/>
          </w:tcPr>
          <w:p w14:paraId="63512BFD">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质控会议上报系统</w:t>
            </w:r>
          </w:p>
        </w:tc>
        <w:tc>
          <w:tcPr>
            <w:tcW w:w="9118" w:type="dxa"/>
          </w:tcPr>
          <w:p w14:paraId="33BF3554">
            <w:pPr>
              <w:pageBreakBefore w:val="0"/>
              <w:widowControl w:val="0"/>
              <w:numPr>
                <w:ilvl w:val="0"/>
                <w:numId w:val="16"/>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支持在例会管理列表展示会议主题、开会日期、状态和操作信息，并支持快速筛选功能；</w:t>
            </w:r>
          </w:p>
          <w:p w14:paraId="7B8FFF3D">
            <w:pPr>
              <w:pageBreakBefore w:val="0"/>
              <w:widowControl w:val="0"/>
              <w:numPr>
                <w:ilvl w:val="0"/>
                <w:numId w:val="16"/>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支持对例会进行上报、新增、编辑和删除等操作；</w:t>
            </w:r>
          </w:p>
          <w:p w14:paraId="74E54A0C">
            <w:pPr>
              <w:pageBreakBefore w:val="0"/>
              <w:widowControl w:val="0"/>
              <w:numPr>
                <w:ilvl w:val="0"/>
                <w:numId w:val="16"/>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支持会议签到表和会议纪要模板下载，并支持上传会议照片、签到表和会议纪要；</w:t>
            </w:r>
          </w:p>
          <w:p w14:paraId="23116350">
            <w:pPr>
              <w:pageBreakBefore w:val="0"/>
              <w:widowControl w:val="0"/>
              <w:numPr>
                <w:ilvl w:val="0"/>
                <w:numId w:val="16"/>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支持按国家创伤医疗数据标准完成质控例会数据上报。</w:t>
            </w:r>
          </w:p>
        </w:tc>
      </w:tr>
      <w:tr w14:paraId="4C3CBA14">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1071" w:type="dxa"/>
            <w:vAlign w:val="center"/>
          </w:tcPr>
          <w:p w14:paraId="2B9FE9C4">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质控管理系统</w:t>
            </w:r>
          </w:p>
        </w:tc>
        <w:tc>
          <w:tcPr>
            <w:tcW w:w="9118" w:type="dxa"/>
          </w:tcPr>
          <w:p w14:paraId="5F85B38A">
            <w:pPr>
              <w:pageBreakBefore w:val="0"/>
              <w:widowControl w:val="0"/>
              <w:numPr>
                <w:ilvl w:val="0"/>
                <w:numId w:val="17"/>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一览展示19项创伤质控指标（《创伤中心医疗质量控制指标（试行）》），统计本院上周或特定时间段的质控指标；</w:t>
            </w:r>
          </w:p>
          <w:p w14:paraId="73725DC8">
            <w:pPr>
              <w:pageBreakBefore w:val="0"/>
              <w:widowControl w:val="0"/>
              <w:numPr>
                <w:ilvl w:val="0"/>
                <w:numId w:val="17"/>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针对分钟计算结果类的指标，统计对应的平均值和中位数；</w:t>
            </w:r>
          </w:p>
          <w:p w14:paraId="78B6AD8C">
            <w:pPr>
              <w:pageBreakBefore w:val="0"/>
              <w:widowControl w:val="0"/>
              <w:numPr>
                <w:ilvl w:val="0"/>
                <w:numId w:val="17"/>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支持统计指标与国家级、省级、市级同类质控指标平均水平进行对比，对比结果支持高亮提示；</w:t>
            </w:r>
          </w:p>
          <w:p w14:paraId="5C503141">
            <w:pPr>
              <w:pageBreakBefore w:val="0"/>
              <w:widowControl w:val="0"/>
              <w:numPr>
                <w:ilvl w:val="0"/>
                <w:numId w:val="17"/>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支持将19项质控指标以图片或表格的形式导出。</w:t>
            </w:r>
          </w:p>
        </w:tc>
      </w:tr>
      <w:tr w14:paraId="495CB576">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1071" w:type="dxa"/>
          </w:tcPr>
          <w:p w14:paraId="7F2C7BAC">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基本周报</w:t>
            </w:r>
          </w:p>
        </w:tc>
        <w:tc>
          <w:tcPr>
            <w:tcW w:w="9118" w:type="dxa"/>
          </w:tcPr>
          <w:p w14:paraId="7A2D0DB4">
            <w:pPr>
              <w:pageBreakBefore w:val="0"/>
              <w:widowControl w:val="0"/>
              <w:numPr>
                <w:ilvl w:val="0"/>
                <w:numId w:val="18"/>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支持展示与统计分析患者上报数据，按规格呈现每周上报数据量及总体质量；</w:t>
            </w:r>
          </w:p>
          <w:p w14:paraId="5A750BC2">
            <w:pPr>
              <w:pageBreakBefore w:val="0"/>
              <w:widowControl w:val="0"/>
              <w:numPr>
                <w:ilvl w:val="0"/>
                <w:numId w:val="18"/>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支持在周报中展示全国排名和省排名</w:t>
            </w:r>
            <w:r>
              <w:rPr>
                <w:rFonts w:hint="eastAsia" w:ascii="宋体" w:hAnsi="宋体" w:eastAsia="宋体" w:cs="宋体"/>
                <w:sz w:val="24"/>
                <w:szCs w:val="24"/>
                <w:lang w:eastAsia="zh-CN"/>
              </w:rPr>
              <w:t>；</w:t>
            </w:r>
          </w:p>
          <w:p w14:paraId="4B2AE1D1">
            <w:pPr>
              <w:pageBreakBefore w:val="0"/>
              <w:widowControl w:val="0"/>
              <w:numPr>
                <w:ilvl w:val="0"/>
                <w:numId w:val="18"/>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支持按年、月、周检索时间范围内的周报数据；</w:t>
            </w:r>
          </w:p>
          <w:p w14:paraId="650155B3">
            <w:pPr>
              <w:pageBreakBefore w:val="0"/>
              <w:widowControl w:val="0"/>
              <w:numPr>
                <w:ilvl w:val="0"/>
                <w:numId w:val="18"/>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支持查看历史不同周期周报的变化趋势，趋势图支持放大、下载、图表切换等功能；</w:t>
            </w:r>
          </w:p>
        </w:tc>
      </w:tr>
      <w:tr w14:paraId="49DCBC08">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1071" w:type="dxa"/>
            <w:vAlign w:val="center"/>
          </w:tcPr>
          <w:p w14:paraId="11FB66B6">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预警记录</w:t>
            </w:r>
          </w:p>
        </w:tc>
        <w:tc>
          <w:tcPr>
            <w:tcW w:w="9118" w:type="dxa"/>
          </w:tcPr>
          <w:p w14:paraId="5E1E1F93">
            <w:pPr>
              <w:pageBreakBefore w:val="0"/>
              <w:widowControl w:val="0"/>
              <w:numPr>
                <w:ilvl w:val="0"/>
                <w:numId w:val="19"/>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支持查看历史预警记录、呼叫MDT记录、会诊记录；</w:t>
            </w:r>
          </w:p>
          <w:p w14:paraId="45983032">
            <w:pPr>
              <w:pageBreakBefore w:val="0"/>
              <w:widowControl w:val="0"/>
              <w:numPr>
                <w:ilvl w:val="0"/>
                <w:numId w:val="19"/>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支持对时效内的预警和历史呼叫记录进行操作，对时效外的呼叫MDT进行补签操作；</w:t>
            </w:r>
          </w:p>
          <w:p w14:paraId="71727BB6">
            <w:pPr>
              <w:pageBreakBefore w:val="0"/>
              <w:widowControl w:val="0"/>
              <w:numPr>
                <w:ilvl w:val="0"/>
                <w:numId w:val="19"/>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支持查看历史记录的接听和签到状态；</w:t>
            </w:r>
          </w:p>
          <w:p w14:paraId="78DFA532">
            <w:pPr>
              <w:pageBreakBefore w:val="0"/>
              <w:widowControl w:val="0"/>
              <w:numPr>
                <w:ilvl w:val="0"/>
                <w:numId w:val="19"/>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支持填写音视频记录的会诊意见功能。</w:t>
            </w:r>
          </w:p>
        </w:tc>
      </w:tr>
    </w:tbl>
    <w:p w14:paraId="78D14DFD">
      <w:pPr>
        <w:keepNext/>
        <w:keepLines/>
        <w:pageBreakBefore w:val="0"/>
        <w:widowControl w:val="0"/>
        <w:kinsoku/>
        <w:wordWrap/>
        <w:overflowPunct/>
        <w:topLinePunct w:val="0"/>
        <w:autoSpaceDE/>
        <w:autoSpaceDN/>
        <w:bidi w:val="0"/>
        <w:adjustRightInd/>
        <w:snapToGrid/>
        <w:spacing w:beforeAutospacing="0" w:afterAutospacing="0" w:line="360" w:lineRule="auto"/>
        <w:ind w:firstLine="482" w:firstLineChars="200"/>
        <w:textAlignment w:val="auto"/>
        <w:outlineLvl w:val="2"/>
        <w:rPr>
          <w:rFonts w:hint="eastAsia" w:ascii="宋体" w:hAnsi="宋体" w:eastAsia="宋体" w:cs="宋体"/>
          <w:b/>
          <w:sz w:val="24"/>
          <w:szCs w:val="24"/>
        </w:rPr>
      </w:pPr>
    </w:p>
    <w:p w14:paraId="69EEC196">
      <w:pPr>
        <w:keepNext/>
        <w:keepLines/>
        <w:pageBreakBefore w:val="0"/>
        <w:widowControl w:val="0"/>
        <w:kinsoku/>
        <w:wordWrap/>
        <w:overflowPunct/>
        <w:topLinePunct w:val="0"/>
        <w:autoSpaceDE/>
        <w:autoSpaceDN/>
        <w:bidi w:val="0"/>
        <w:adjustRightInd/>
        <w:snapToGrid/>
        <w:spacing w:beforeAutospacing="0" w:afterAutospacing="0" w:line="360" w:lineRule="auto"/>
        <w:ind w:firstLine="482" w:firstLineChars="200"/>
        <w:textAlignment w:val="auto"/>
        <w:outlineLvl w:val="2"/>
        <w:rPr>
          <w:rFonts w:hint="eastAsia" w:ascii="宋体" w:hAnsi="宋体" w:eastAsia="宋体" w:cs="宋体"/>
          <w:sz w:val="24"/>
          <w:szCs w:val="24"/>
        </w:rPr>
      </w:pPr>
      <w:r>
        <w:rPr>
          <w:rFonts w:hint="eastAsia" w:ascii="宋体" w:hAnsi="宋体" w:eastAsia="宋体" w:cs="宋体"/>
          <w:b/>
          <w:sz w:val="24"/>
          <w:szCs w:val="24"/>
        </w:rPr>
        <w:t>4.3 其他功能要求</w:t>
      </w:r>
    </w:p>
    <w:tbl>
      <w:tblPr>
        <w:tblStyle w:val="2"/>
        <w:tblW w:w="10197" w:type="dxa"/>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autofit"/>
        <w:tblCellMar>
          <w:top w:w="15" w:type="dxa"/>
          <w:left w:w="15" w:type="dxa"/>
          <w:bottom w:w="15" w:type="dxa"/>
          <w:right w:w="15" w:type="dxa"/>
        </w:tblCellMar>
      </w:tblPr>
      <w:tblGrid>
        <w:gridCol w:w="1007"/>
        <w:gridCol w:w="9190"/>
      </w:tblGrid>
      <w:tr w14:paraId="7DB792F8">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tblHeader/>
        </w:trPr>
        <w:tc>
          <w:tcPr>
            <w:tcW w:w="1007" w:type="dxa"/>
          </w:tcPr>
          <w:p w14:paraId="56F0B84B">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rPr>
            </w:pPr>
            <w:r>
              <w:rPr>
                <w:rFonts w:hint="eastAsia" w:ascii="宋体" w:hAnsi="宋体" w:eastAsia="宋体" w:cs="宋体"/>
                <w:b/>
                <w:sz w:val="24"/>
                <w:szCs w:val="24"/>
              </w:rPr>
              <w:t>功能项</w:t>
            </w:r>
          </w:p>
        </w:tc>
        <w:tc>
          <w:tcPr>
            <w:tcW w:w="9190" w:type="dxa"/>
          </w:tcPr>
          <w:p w14:paraId="77F7A4D4">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rPr>
            </w:pPr>
            <w:r>
              <w:rPr>
                <w:rFonts w:hint="eastAsia" w:ascii="宋体" w:hAnsi="宋体" w:eastAsia="宋体" w:cs="宋体"/>
                <w:b/>
                <w:sz w:val="24"/>
                <w:szCs w:val="24"/>
              </w:rPr>
              <w:t>功能描述</w:t>
            </w:r>
          </w:p>
        </w:tc>
      </w:tr>
      <w:tr w14:paraId="31C65C56">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1007" w:type="dxa"/>
            <w:vAlign w:val="center"/>
          </w:tcPr>
          <w:p w14:paraId="132480F6">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数据概览与统计分析</w:t>
            </w:r>
          </w:p>
        </w:tc>
        <w:tc>
          <w:tcPr>
            <w:tcW w:w="9190" w:type="dxa"/>
          </w:tcPr>
          <w:p w14:paraId="4F11F4BB">
            <w:pPr>
              <w:pageBreakBefore w:val="0"/>
              <w:widowControl w:val="0"/>
              <w:numPr>
                <w:ilvl w:val="0"/>
                <w:numId w:val="2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支持数据概览，统计特定时间段、特定来诊分类的就诊病人数、转入病人数及转出病人数，并查看变化趋势；</w:t>
            </w:r>
          </w:p>
          <w:p w14:paraId="02E1300C">
            <w:pPr>
              <w:pageBreakBefore w:val="0"/>
              <w:widowControl w:val="0"/>
              <w:numPr>
                <w:ilvl w:val="0"/>
                <w:numId w:val="2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支持院前院内衔接情况、来诊分类、症状分类的统计查看。</w:t>
            </w:r>
          </w:p>
        </w:tc>
      </w:tr>
      <w:tr w14:paraId="3B82162B">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1007" w:type="dxa"/>
            <w:vAlign w:val="center"/>
          </w:tcPr>
          <w:p w14:paraId="4EF96850">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系统管理</w:t>
            </w:r>
          </w:p>
        </w:tc>
        <w:tc>
          <w:tcPr>
            <w:tcW w:w="9190" w:type="dxa"/>
          </w:tcPr>
          <w:p w14:paraId="43AE4128">
            <w:pPr>
              <w:pageBreakBefore w:val="0"/>
              <w:widowControl w:val="0"/>
              <w:numPr>
                <w:ilvl w:val="0"/>
                <w:numId w:val="2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支持院内科室信息、医生信息等基础信息的设置与维护；</w:t>
            </w:r>
          </w:p>
          <w:p w14:paraId="02B7E4B7">
            <w:pPr>
              <w:pageBreakBefore w:val="0"/>
              <w:widowControl w:val="0"/>
              <w:numPr>
                <w:ilvl w:val="0"/>
                <w:numId w:val="2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支持账号、角色权限的配置；</w:t>
            </w:r>
          </w:p>
          <w:p w14:paraId="03E744E1">
            <w:pPr>
              <w:pageBreakBefore w:val="0"/>
              <w:widowControl w:val="0"/>
              <w:numPr>
                <w:ilvl w:val="0"/>
                <w:numId w:val="2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支持查看当前系统版本及版本更新信息。</w:t>
            </w:r>
          </w:p>
        </w:tc>
      </w:tr>
    </w:tbl>
    <w:p w14:paraId="32B4FD64">
      <w:pPr>
        <w:keepNext/>
        <w:keepLines/>
        <w:pageBreakBefore w:val="0"/>
        <w:widowControl w:val="0"/>
        <w:kinsoku/>
        <w:wordWrap/>
        <w:overflowPunct/>
        <w:topLinePunct w:val="0"/>
        <w:autoSpaceDE/>
        <w:autoSpaceDN/>
        <w:bidi w:val="0"/>
        <w:adjustRightInd/>
        <w:snapToGrid/>
        <w:spacing w:beforeAutospacing="0" w:afterAutospacing="0" w:line="360" w:lineRule="auto"/>
        <w:ind w:left="0" w:firstLine="0"/>
        <w:textAlignment w:val="auto"/>
        <w:outlineLvl w:val="1"/>
        <w:rPr>
          <w:rFonts w:hint="eastAsia" w:ascii="宋体" w:hAnsi="宋体" w:eastAsia="宋体" w:cs="宋体"/>
          <w:sz w:val="24"/>
          <w:szCs w:val="24"/>
        </w:rPr>
      </w:pPr>
      <w:r>
        <w:rPr>
          <w:rFonts w:hint="eastAsia" w:ascii="宋体" w:hAnsi="宋体" w:eastAsia="宋体" w:cs="宋体"/>
          <w:b/>
          <w:sz w:val="24"/>
          <w:szCs w:val="24"/>
        </w:rPr>
        <w:t>五、技术与服务要求</w:t>
      </w:r>
    </w:p>
    <w:p w14:paraId="7AEEAC10">
      <w:pPr>
        <w:keepNext/>
        <w:keepLines/>
        <w:pageBreakBefore w:val="0"/>
        <w:widowControl w:val="0"/>
        <w:kinsoku/>
        <w:wordWrap/>
        <w:overflowPunct/>
        <w:topLinePunct w:val="0"/>
        <w:autoSpaceDE/>
        <w:autoSpaceDN/>
        <w:bidi w:val="0"/>
        <w:adjustRightInd/>
        <w:snapToGrid/>
        <w:spacing w:beforeAutospacing="0" w:afterAutospacing="0" w:line="360" w:lineRule="auto"/>
        <w:ind w:left="0" w:firstLine="0"/>
        <w:textAlignment w:val="auto"/>
        <w:outlineLvl w:val="2"/>
        <w:rPr>
          <w:rFonts w:hint="eastAsia" w:ascii="宋体" w:hAnsi="宋体" w:eastAsia="宋体" w:cs="宋体"/>
          <w:sz w:val="24"/>
          <w:szCs w:val="24"/>
        </w:rPr>
      </w:pPr>
      <w:r>
        <w:rPr>
          <w:rFonts w:hint="eastAsia" w:ascii="宋体" w:hAnsi="宋体" w:eastAsia="宋体" w:cs="宋体"/>
          <w:b/>
          <w:sz w:val="24"/>
          <w:szCs w:val="24"/>
        </w:rPr>
        <w:t>5.1 产品与安装标准</w:t>
      </w:r>
    </w:p>
    <w:p w14:paraId="44BAB605">
      <w:pPr>
        <w:pageBreakBefore w:val="0"/>
        <w:widowControl w:val="0"/>
        <w:numPr>
          <w:ilvl w:val="0"/>
          <w:numId w:val="22"/>
        </w:numPr>
        <w:kinsoku/>
        <w:wordWrap/>
        <w:overflowPunct/>
        <w:topLinePunct w:val="0"/>
        <w:autoSpaceDE/>
        <w:autoSpaceDN/>
        <w:bidi w:val="0"/>
        <w:adjustRightInd/>
        <w:snapToGrid/>
        <w:spacing w:beforeAutospacing="0" w:afterAutospacing="0" w:line="360" w:lineRule="auto"/>
        <w:ind w:left="0" w:firstLine="0"/>
        <w:textAlignment w:val="auto"/>
        <w:rPr>
          <w:rFonts w:hint="eastAsia" w:ascii="宋体" w:hAnsi="宋体" w:eastAsia="宋体" w:cs="宋体"/>
          <w:sz w:val="24"/>
          <w:szCs w:val="24"/>
        </w:rPr>
      </w:pPr>
      <w:r>
        <w:rPr>
          <w:rFonts w:hint="eastAsia" w:ascii="宋体" w:hAnsi="宋体" w:eastAsia="宋体" w:cs="宋体"/>
          <w:sz w:val="24"/>
          <w:szCs w:val="24"/>
        </w:rPr>
        <w:t>产品须是按厂家出厂标准配置提供的整套全新产品，无侵权行为、无任何缺陷隐患，具备正规合法经销渠道，符合国家相关标准和我国相关检测标准要求的全新合格产品。相关产品、服务及安装须满足本项目采购需求。</w:t>
      </w:r>
    </w:p>
    <w:p w14:paraId="19598C3C">
      <w:pPr>
        <w:pageBreakBefore w:val="0"/>
        <w:widowControl w:val="0"/>
        <w:numPr>
          <w:ilvl w:val="0"/>
          <w:numId w:val="22"/>
        </w:numPr>
        <w:kinsoku/>
        <w:wordWrap/>
        <w:overflowPunct/>
        <w:topLinePunct w:val="0"/>
        <w:autoSpaceDE/>
        <w:autoSpaceDN/>
        <w:bidi w:val="0"/>
        <w:adjustRightInd/>
        <w:snapToGrid/>
        <w:spacing w:beforeAutospacing="0" w:afterAutospacing="0" w:line="360" w:lineRule="auto"/>
        <w:ind w:left="0" w:firstLine="0"/>
        <w:textAlignment w:val="auto"/>
        <w:rPr>
          <w:rFonts w:hint="eastAsia" w:ascii="宋体" w:hAnsi="宋体" w:eastAsia="宋体" w:cs="宋体"/>
          <w:sz w:val="24"/>
          <w:szCs w:val="24"/>
        </w:rPr>
      </w:pPr>
      <w:r>
        <w:rPr>
          <w:rFonts w:hint="eastAsia" w:ascii="宋体" w:hAnsi="宋体" w:eastAsia="宋体" w:cs="宋体"/>
          <w:sz w:val="24"/>
          <w:szCs w:val="24"/>
        </w:rPr>
        <w:t>安装标准：符合国家相关标准、行业标准、地方标准或者其他标准、规范。</w:t>
      </w:r>
    </w:p>
    <w:p w14:paraId="2D3F0E86">
      <w:pPr>
        <w:keepNext/>
        <w:keepLines/>
        <w:pageBreakBefore w:val="0"/>
        <w:widowControl w:val="0"/>
        <w:kinsoku/>
        <w:wordWrap/>
        <w:overflowPunct/>
        <w:topLinePunct w:val="0"/>
        <w:autoSpaceDE/>
        <w:autoSpaceDN/>
        <w:bidi w:val="0"/>
        <w:adjustRightInd/>
        <w:snapToGrid/>
        <w:spacing w:beforeAutospacing="0" w:afterAutospacing="0" w:line="360" w:lineRule="auto"/>
        <w:ind w:left="0" w:firstLine="0"/>
        <w:textAlignment w:val="auto"/>
        <w:outlineLvl w:val="2"/>
        <w:rPr>
          <w:rFonts w:hint="eastAsia" w:ascii="宋体" w:hAnsi="宋体" w:eastAsia="宋体" w:cs="宋体"/>
          <w:sz w:val="24"/>
          <w:szCs w:val="24"/>
        </w:rPr>
      </w:pPr>
      <w:r>
        <w:rPr>
          <w:rFonts w:hint="eastAsia" w:ascii="宋体" w:hAnsi="宋体" w:eastAsia="宋体" w:cs="宋体"/>
          <w:b/>
          <w:sz w:val="24"/>
          <w:szCs w:val="24"/>
        </w:rPr>
        <w:t>5.2 信息安全与运行保障</w:t>
      </w:r>
    </w:p>
    <w:p w14:paraId="3E3265F8">
      <w:pPr>
        <w:pageBreakBefore w:val="0"/>
        <w:widowControl w:val="0"/>
        <w:numPr>
          <w:ilvl w:val="0"/>
          <w:numId w:val="23"/>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★系统的安全性和保密性必须严格遵循相关信息安全标准，切实保证在系统使用的各个环节均能最大限度保障信息安全，杜绝各类漏洞及错误的出现。</w:t>
      </w:r>
    </w:p>
    <w:p w14:paraId="58C019EC">
      <w:pPr>
        <w:pageBreakBefore w:val="0"/>
        <w:widowControl w:val="0"/>
        <w:numPr>
          <w:ilvl w:val="0"/>
          <w:numId w:val="23"/>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系统安全、应用、运维同步设计、同步建设、同步应用、同步验收，系统整体方案必须确保系统安全可靠，满足采购人7×24小时运行要求。</w:t>
      </w:r>
    </w:p>
    <w:p w14:paraId="492A24FE">
      <w:pPr>
        <w:keepNext/>
        <w:keepLines/>
        <w:pageBreakBefore w:val="0"/>
        <w:widowControl w:val="0"/>
        <w:kinsoku/>
        <w:wordWrap/>
        <w:overflowPunct/>
        <w:topLinePunct w:val="0"/>
        <w:autoSpaceDE/>
        <w:autoSpaceDN/>
        <w:bidi w:val="0"/>
        <w:adjustRightInd/>
        <w:snapToGrid/>
        <w:spacing w:beforeAutospacing="0" w:afterAutospacing="0" w:line="360" w:lineRule="auto"/>
        <w:textAlignment w:val="auto"/>
        <w:outlineLvl w:val="2"/>
        <w:rPr>
          <w:rFonts w:hint="eastAsia" w:ascii="宋体" w:hAnsi="宋体" w:eastAsia="宋体" w:cs="宋体"/>
          <w:sz w:val="24"/>
          <w:szCs w:val="24"/>
        </w:rPr>
      </w:pPr>
      <w:r>
        <w:rPr>
          <w:rFonts w:hint="eastAsia" w:ascii="宋体" w:hAnsi="宋体" w:eastAsia="宋体" w:cs="宋体"/>
          <w:b/>
          <w:sz w:val="24"/>
          <w:szCs w:val="24"/>
        </w:rPr>
        <w:t>5.3 售后服务</w:t>
      </w:r>
    </w:p>
    <w:p w14:paraId="22B1E0F1">
      <w:pPr>
        <w:pageBreakBefore w:val="0"/>
        <w:widowControl w:val="0"/>
        <w:numPr>
          <w:ilvl w:val="0"/>
          <w:numId w:val="24"/>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★服务期内，所有产品的保修服务方式均为由产品生产厂家或厂家指派专业人员远程维护，供应商有责任为采购人提供维修服务和技术支持。</w:t>
      </w:r>
    </w:p>
    <w:p w14:paraId="16DF3A2C">
      <w:pPr>
        <w:pageBreakBefore w:val="0"/>
        <w:widowControl w:val="0"/>
        <w:numPr>
          <w:ilvl w:val="0"/>
          <w:numId w:val="24"/>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服务期内出现不能明确的故障时，或在收到采购人紧急情况维修通知后，供应商指定的售后服务人员应在1小时内做出响应，提供远程技术支持。一般问题2小时内解决；较大问题在4小时以内解决；重大问题4小时内提出解决方案，并在24小时内解决。</w:t>
      </w:r>
    </w:p>
    <w:p w14:paraId="101A043A">
      <w:pPr>
        <w:pageBreakBefore w:val="0"/>
        <w:widowControl w:val="0"/>
        <w:numPr>
          <w:ilvl w:val="0"/>
          <w:numId w:val="24"/>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服务期内免费提供该项目的软件系统升级服务以及维修与技术支持。</w:t>
      </w:r>
    </w:p>
    <w:p w14:paraId="120E1887">
      <w:pPr>
        <w:pageBreakBefore w:val="0"/>
        <w:widowControl w:val="0"/>
        <w:numPr>
          <w:ilvl w:val="0"/>
          <w:numId w:val="24"/>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免费提供每周7天、每天24小时不间断的电话支持服务，解答采购人在系统使用、维护过程中遇到的问题，并及时提出解决问题的建议和操作方法。</w:t>
      </w:r>
    </w:p>
    <w:p w14:paraId="78994B82">
      <w:pPr>
        <w:pageBreakBefore w:val="0"/>
        <w:widowControl w:val="0"/>
        <w:numPr>
          <w:ilvl w:val="0"/>
          <w:numId w:val="24"/>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每季度不定期线下或线上回访、维护。</w:t>
      </w:r>
    </w:p>
    <w:p w14:paraId="6B6C40CA">
      <w:pPr>
        <w:pageBreakBefore w:val="0"/>
        <w:widowControl w:val="0"/>
        <w:numPr>
          <w:ilvl w:val="0"/>
          <w:numId w:val="24"/>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未达到服务承诺的，采购人可采取必要补救措施，由此产生的风险和费用由供应商承担；因服务不到位导致故障延期的，服务期到期时间相应顺延，具体顺延规则在合同中明确。</w:t>
      </w:r>
    </w:p>
    <w:p w14:paraId="64EC0929">
      <w:pPr>
        <w:keepNext/>
        <w:keepLines/>
        <w:pageBreakBefore w:val="0"/>
        <w:widowControl w:val="0"/>
        <w:kinsoku/>
        <w:wordWrap/>
        <w:overflowPunct/>
        <w:topLinePunct w:val="0"/>
        <w:autoSpaceDE/>
        <w:autoSpaceDN/>
        <w:bidi w:val="0"/>
        <w:adjustRightInd/>
        <w:snapToGrid/>
        <w:spacing w:beforeAutospacing="0" w:afterAutospacing="0" w:line="360" w:lineRule="auto"/>
        <w:textAlignment w:val="auto"/>
        <w:outlineLvl w:val="2"/>
        <w:rPr>
          <w:rFonts w:hint="eastAsia" w:ascii="宋体" w:hAnsi="宋体" w:eastAsia="宋体" w:cs="宋体"/>
          <w:sz w:val="24"/>
          <w:szCs w:val="24"/>
        </w:rPr>
      </w:pPr>
      <w:r>
        <w:rPr>
          <w:rFonts w:hint="eastAsia" w:ascii="宋体" w:hAnsi="宋体" w:eastAsia="宋体" w:cs="宋体"/>
          <w:b/>
          <w:sz w:val="24"/>
          <w:szCs w:val="24"/>
        </w:rPr>
        <w:t>5.4 技术培训</w:t>
      </w:r>
    </w:p>
    <w:p w14:paraId="0A3AFE3E">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免费提供人员的培训，包括但不限于操作培训或面对面培训；免费培训或通过远程指导操作人员至熟悉为止。</w:t>
      </w:r>
    </w:p>
    <w:p w14:paraId="5C988B2C">
      <w:pPr>
        <w:keepNext/>
        <w:keepLines/>
        <w:pageBreakBefore w:val="0"/>
        <w:widowControl w:val="0"/>
        <w:kinsoku/>
        <w:wordWrap/>
        <w:overflowPunct/>
        <w:topLinePunct w:val="0"/>
        <w:autoSpaceDE/>
        <w:autoSpaceDN/>
        <w:bidi w:val="0"/>
        <w:adjustRightInd/>
        <w:snapToGrid/>
        <w:spacing w:beforeAutospacing="0" w:afterAutospacing="0" w:line="360" w:lineRule="auto"/>
        <w:textAlignment w:val="auto"/>
        <w:outlineLvl w:val="1"/>
        <w:rPr>
          <w:rFonts w:hint="eastAsia" w:ascii="宋体" w:hAnsi="宋体" w:eastAsia="宋体" w:cs="宋体"/>
          <w:sz w:val="24"/>
          <w:szCs w:val="24"/>
        </w:rPr>
      </w:pPr>
      <w:r>
        <w:rPr>
          <w:rFonts w:hint="eastAsia" w:ascii="宋体" w:hAnsi="宋体" w:eastAsia="宋体" w:cs="宋体"/>
          <w:b/>
          <w:sz w:val="24"/>
          <w:szCs w:val="24"/>
        </w:rPr>
        <w:t>六、知识产权与合规要求</w:t>
      </w:r>
    </w:p>
    <w:p w14:paraId="36A2B29E">
      <w:pPr>
        <w:keepNext/>
        <w:keepLines/>
        <w:pageBreakBefore w:val="0"/>
        <w:widowControl w:val="0"/>
        <w:kinsoku/>
        <w:wordWrap/>
        <w:overflowPunct/>
        <w:topLinePunct w:val="0"/>
        <w:autoSpaceDE/>
        <w:autoSpaceDN/>
        <w:bidi w:val="0"/>
        <w:adjustRightInd/>
        <w:snapToGrid/>
        <w:spacing w:beforeAutospacing="0" w:afterAutospacing="0" w:line="360" w:lineRule="auto"/>
        <w:textAlignment w:val="auto"/>
        <w:outlineLvl w:val="2"/>
        <w:rPr>
          <w:rFonts w:hint="eastAsia" w:ascii="宋体" w:hAnsi="宋体" w:eastAsia="宋体" w:cs="宋体"/>
          <w:sz w:val="24"/>
          <w:szCs w:val="24"/>
        </w:rPr>
      </w:pPr>
      <w:r>
        <w:rPr>
          <w:rFonts w:hint="eastAsia" w:ascii="宋体" w:hAnsi="宋体" w:eastAsia="宋体" w:cs="宋体"/>
          <w:b/>
          <w:sz w:val="24"/>
          <w:szCs w:val="24"/>
        </w:rPr>
        <w:t>6.1 知识产权</w:t>
      </w:r>
    </w:p>
    <w:p w14:paraId="1E810BA0">
      <w:pPr>
        <w:pageBreakBefore w:val="0"/>
        <w:widowControl w:val="0"/>
        <w:numPr>
          <w:ilvl w:val="0"/>
          <w:numId w:val="25"/>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供应商承诺投标产品无知识产权、专利、专有技术等方面纠纷，并须对响应文件内容所涉及的专利、专有技术、知识产权承担法律责任，负责保护采购人的利益不受任何损害。</w:t>
      </w:r>
    </w:p>
    <w:p w14:paraId="5C49C187">
      <w:pPr>
        <w:pageBreakBefore w:val="0"/>
        <w:widowControl w:val="0"/>
        <w:numPr>
          <w:ilvl w:val="0"/>
          <w:numId w:val="25"/>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一切由于文字、商标、技术和软件产权专利授权引起的法律裁决、诉讼和赔偿费用均由成交供应商负责。</w:t>
      </w:r>
    </w:p>
    <w:p w14:paraId="6F28B216">
      <w:pPr>
        <w:pageBreakBefore w:val="0"/>
        <w:widowControl w:val="0"/>
        <w:numPr>
          <w:ilvl w:val="0"/>
          <w:numId w:val="25"/>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具有产品知识产权（包括专利、软著、专有技术）的供应商，应在其响应文件中提供与其自有产品所持有的知识产权、专有技术相关的有效证明材料。</w:t>
      </w:r>
    </w:p>
    <w:p w14:paraId="45973EFE">
      <w:pPr>
        <w:keepNext/>
        <w:keepLines/>
        <w:pageBreakBefore w:val="0"/>
        <w:widowControl w:val="0"/>
        <w:kinsoku/>
        <w:wordWrap/>
        <w:overflowPunct/>
        <w:topLinePunct w:val="0"/>
        <w:autoSpaceDE/>
        <w:autoSpaceDN/>
        <w:bidi w:val="0"/>
        <w:adjustRightInd/>
        <w:snapToGrid/>
        <w:spacing w:beforeAutospacing="0" w:afterAutospacing="0" w:line="360" w:lineRule="auto"/>
        <w:textAlignment w:val="auto"/>
        <w:outlineLvl w:val="2"/>
        <w:rPr>
          <w:rFonts w:hint="eastAsia" w:ascii="宋体" w:hAnsi="宋体" w:eastAsia="宋体" w:cs="宋体"/>
          <w:sz w:val="24"/>
          <w:szCs w:val="24"/>
        </w:rPr>
      </w:pPr>
      <w:r>
        <w:rPr>
          <w:rFonts w:hint="eastAsia" w:ascii="宋体" w:hAnsi="宋体" w:eastAsia="宋体" w:cs="宋体"/>
          <w:b/>
          <w:sz w:val="24"/>
          <w:szCs w:val="24"/>
        </w:rPr>
        <w:t>6.2 医疗器械合规</w:t>
      </w:r>
    </w:p>
    <w:p w14:paraId="3107BF1D">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若投标产品属于医疗器械，投标供应商应符合《医疗器械经营质量管理规范》和《医疗器械监督管理条例》规定，并提供有效的医疗器械产品注册/备案证明材料和经营许可/备案证明材料。</w:t>
      </w:r>
    </w:p>
    <w:p w14:paraId="35342CF0">
      <w:pPr>
        <w:keepNext/>
        <w:keepLines/>
        <w:pageBreakBefore w:val="0"/>
        <w:widowControl w:val="0"/>
        <w:kinsoku/>
        <w:wordWrap/>
        <w:overflowPunct/>
        <w:topLinePunct w:val="0"/>
        <w:autoSpaceDE/>
        <w:autoSpaceDN/>
        <w:bidi w:val="0"/>
        <w:adjustRightInd/>
        <w:snapToGrid/>
        <w:spacing w:beforeAutospacing="0" w:afterAutospacing="0" w:line="360" w:lineRule="auto"/>
        <w:textAlignment w:val="auto"/>
        <w:outlineLvl w:val="2"/>
        <w:rPr>
          <w:rFonts w:hint="eastAsia" w:ascii="宋体" w:hAnsi="宋体" w:eastAsia="宋体" w:cs="宋体"/>
          <w:sz w:val="24"/>
          <w:szCs w:val="24"/>
        </w:rPr>
      </w:pPr>
      <w:r>
        <w:rPr>
          <w:rFonts w:hint="eastAsia" w:ascii="宋体" w:hAnsi="宋体" w:eastAsia="宋体" w:cs="宋体"/>
          <w:b/>
          <w:sz w:val="24"/>
          <w:szCs w:val="24"/>
        </w:rPr>
        <w:t>6.3 质保期</w:t>
      </w:r>
    </w:p>
    <w:p w14:paraId="2C619121">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质保期自约定验收机构完成验收之日起算，至成交供应商承诺的期限止。</w:t>
      </w:r>
    </w:p>
    <w:p w14:paraId="2AFC7810">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4B9FE99A">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lang w:val="en-US" w:eastAsia="zh-CN"/>
        </w:rPr>
        <w:t xml:space="preserve"> </w:t>
      </w:r>
      <w:bookmarkStart w:id="0" w:name="_GoBack"/>
      <w:bookmarkEnd w:id="0"/>
    </w:p>
    <w:p w14:paraId="179C25A1">
      <w:pPr>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病案统计办（信息）</w:t>
      </w:r>
    </w:p>
    <w:p w14:paraId="1D6CE30E">
      <w:pPr>
        <w:pageBreakBefore w:val="0"/>
        <w:widowControl w:val="0"/>
        <w:kinsoku/>
        <w:wordWrap/>
        <w:overflowPunct/>
        <w:topLinePunct w:val="0"/>
        <w:autoSpaceDE/>
        <w:autoSpaceDN/>
        <w:bidi w:val="0"/>
        <w:adjustRightInd/>
        <w:snapToGrid/>
        <w:spacing w:line="360" w:lineRule="auto"/>
        <w:jc w:val="righ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2026年9月11日</w:t>
      </w:r>
    </w:p>
    <w:p w14:paraId="0097C3D5">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p>
    <w:sectPr>
      <w:pgMar w:top="1134" w:right="1134" w:bottom="1134" w:left="1134" w:header="720" w:footer="720"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79EADC"/>
    <w:multiLevelType w:val="singleLevel"/>
    <w:tmpl w:val="8E79EADC"/>
    <w:lvl w:ilvl="0" w:tentative="0">
      <w:start w:val="1"/>
      <w:numFmt w:val="decimal"/>
      <w:suff w:val="nothing"/>
      <w:lvlText w:val="%1、"/>
      <w:lvlJc w:val="left"/>
    </w:lvl>
  </w:abstractNum>
  <w:abstractNum w:abstractNumId="1">
    <w:nsid w:val="92B2CC4F"/>
    <w:multiLevelType w:val="singleLevel"/>
    <w:tmpl w:val="92B2CC4F"/>
    <w:lvl w:ilvl="0" w:tentative="0">
      <w:start w:val="1"/>
      <w:numFmt w:val="decimal"/>
      <w:suff w:val="nothing"/>
      <w:lvlText w:val="%1、"/>
      <w:lvlJc w:val="left"/>
    </w:lvl>
  </w:abstractNum>
  <w:abstractNum w:abstractNumId="2">
    <w:nsid w:val="9B601157"/>
    <w:multiLevelType w:val="singleLevel"/>
    <w:tmpl w:val="9B601157"/>
    <w:lvl w:ilvl="0" w:tentative="0">
      <w:start w:val="1"/>
      <w:numFmt w:val="decimal"/>
      <w:suff w:val="nothing"/>
      <w:lvlText w:val="%1、"/>
      <w:lvlJc w:val="left"/>
    </w:lvl>
  </w:abstractNum>
  <w:abstractNum w:abstractNumId="3">
    <w:nsid w:val="A4103041"/>
    <w:multiLevelType w:val="singleLevel"/>
    <w:tmpl w:val="A4103041"/>
    <w:lvl w:ilvl="0" w:tentative="0">
      <w:start w:val="1"/>
      <w:numFmt w:val="decimal"/>
      <w:suff w:val="nothing"/>
      <w:lvlText w:val="%1、"/>
      <w:lvlJc w:val="left"/>
    </w:lvl>
  </w:abstractNum>
  <w:abstractNum w:abstractNumId="4">
    <w:nsid w:val="A8B2403F"/>
    <w:multiLevelType w:val="singleLevel"/>
    <w:tmpl w:val="A8B2403F"/>
    <w:lvl w:ilvl="0" w:tentative="0">
      <w:start w:val="1"/>
      <w:numFmt w:val="decimal"/>
      <w:suff w:val="nothing"/>
      <w:lvlText w:val="%1、"/>
      <w:lvlJc w:val="left"/>
    </w:lvl>
  </w:abstractNum>
  <w:abstractNum w:abstractNumId="5">
    <w:nsid w:val="B5E306ED"/>
    <w:multiLevelType w:val="singleLevel"/>
    <w:tmpl w:val="B5E306ED"/>
    <w:lvl w:ilvl="0" w:tentative="0">
      <w:start w:val="1"/>
      <w:numFmt w:val="decimal"/>
      <w:lvlText w:val="%1."/>
      <w:lvlJc w:val="left"/>
      <w:pPr>
        <w:ind w:left="420" w:hanging="420"/>
      </w:pPr>
    </w:lvl>
  </w:abstractNum>
  <w:abstractNum w:abstractNumId="6">
    <w:nsid w:val="BE6AB581"/>
    <w:multiLevelType w:val="singleLevel"/>
    <w:tmpl w:val="BE6AB581"/>
    <w:lvl w:ilvl="0" w:tentative="0">
      <w:start w:val="1"/>
      <w:numFmt w:val="decimal"/>
      <w:suff w:val="nothing"/>
      <w:lvlText w:val="%1、"/>
      <w:lvlJc w:val="left"/>
    </w:lvl>
  </w:abstractNum>
  <w:abstractNum w:abstractNumId="7">
    <w:nsid w:val="BF205925"/>
    <w:multiLevelType w:val="singleLevel"/>
    <w:tmpl w:val="BF205925"/>
    <w:lvl w:ilvl="0" w:tentative="0">
      <w:start w:val="1"/>
      <w:numFmt w:val="decimal"/>
      <w:lvlText w:val="%1."/>
      <w:lvlJc w:val="left"/>
      <w:pPr>
        <w:ind w:left="420" w:hanging="420"/>
      </w:pPr>
    </w:lvl>
  </w:abstractNum>
  <w:abstractNum w:abstractNumId="8">
    <w:nsid w:val="CF092B84"/>
    <w:multiLevelType w:val="singleLevel"/>
    <w:tmpl w:val="CF092B84"/>
    <w:lvl w:ilvl="0" w:tentative="0">
      <w:start w:val="1"/>
      <w:numFmt w:val="decimal"/>
      <w:lvlText w:val="%1."/>
      <w:lvlJc w:val="left"/>
      <w:pPr>
        <w:ind w:left="420" w:hanging="420"/>
      </w:pPr>
    </w:lvl>
  </w:abstractNum>
  <w:abstractNum w:abstractNumId="9">
    <w:nsid w:val="D6B12547"/>
    <w:multiLevelType w:val="singleLevel"/>
    <w:tmpl w:val="D6B12547"/>
    <w:lvl w:ilvl="0" w:tentative="0">
      <w:start w:val="1"/>
      <w:numFmt w:val="decimal"/>
      <w:suff w:val="nothing"/>
      <w:lvlText w:val="%1、"/>
      <w:lvlJc w:val="left"/>
    </w:lvl>
  </w:abstractNum>
  <w:abstractNum w:abstractNumId="10">
    <w:nsid w:val="DC2AAD37"/>
    <w:multiLevelType w:val="singleLevel"/>
    <w:tmpl w:val="DC2AAD37"/>
    <w:lvl w:ilvl="0" w:tentative="0">
      <w:start w:val="1"/>
      <w:numFmt w:val="decimal"/>
      <w:suff w:val="nothing"/>
      <w:lvlText w:val="%1、"/>
      <w:lvlJc w:val="left"/>
    </w:lvl>
  </w:abstractNum>
  <w:abstractNum w:abstractNumId="11">
    <w:nsid w:val="E45C7136"/>
    <w:multiLevelType w:val="singleLevel"/>
    <w:tmpl w:val="E45C7136"/>
    <w:lvl w:ilvl="0" w:tentative="0">
      <w:start w:val="1"/>
      <w:numFmt w:val="decimal"/>
      <w:suff w:val="nothing"/>
      <w:lvlText w:val="%1、"/>
      <w:lvlJc w:val="left"/>
    </w:lvl>
  </w:abstractNum>
  <w:abstractNum w:abstractNumId="12">
    <w:nsid w:val="ED32733D"/>
    <w:multiLevelType w:val="singleLevel"/>
    <w:tmpl w:val="ED32733D"/>
    <w:lvl w:ilvl="0" w:tentative="0">
      <w:start w:val="1"/>
      <w:numFmt w:val="decimal"/>
      <w:suff w:val="nothing"/>
      <w:lvlText w:val="%1、"/>
      <w:lvlJc w:val="left"/>
    </w:lvl>
  </w:abstractNum>
  <w:abstractNum w:abstractNumId="13">
    <w:nsid w:val="F28871FD"/>
    <w:multiLevelType w:val="singleLevel"/>
    <w:tmpl w:val="F28871FD"/>
    <w:lvl w:ilvl="0" w:tentative="0">
      <w:start w:val="1"/>
      <w:numFmt w:val="decimal"/>
      <w:suff w:val="nothing"/>
      <w:lvlText w:val="%1、"/>
      <w:lvlJc w:val="left"/>
    </w:lvl>
  </w:abstractNum>
  <w:abstractNum w:abstractNumId="14">
    <w:nsid w:val="F40836C6"/>
    <w:multiLevelType w:val="singleLevel"/>
    <w:tmpl w:val="F40836C6"/>
    <w:lvl w:ilvl="0" w:tentative="0">
      <w:start w:val="1"/>
      <w:numFmt w:val="decimal"/>
      <w:suff w:val="nothing"/>
      <w:lvlText w:val="%1、"/>
      <w:lvlJc w:val="left"/>
    </w:lvl>
  </w:abstractNum>
  <w:abstractNum w:abstractNumId="15">
    <w:nsid w:val="F62255C1"/>
    <w:multiLevelType w:val="singleLevel"/>
    <w:tmpl w:val="F62255C1"/>
    <w:lvl w:ilvl="0" w:tentative="0">
      <w:start w:val="1"/>
      <w:numFmt w:val="decimal"/>
      <w:suff w:val="nothing"/>
      <w:lvlText w:val="%1、"/>
      <w:lvlJc w:val="left"/>
    </w:lvl>
  </w:abstractNum>
  <w:abstractNum w:abstractNumId="16">
    <w:nsid w:val="045E9C73"/>
    <w:multiLevelType w:val="singleLevel"/>
    <w:tmpl w:val="045E9C73"/>
    <w:lvl w:ilvl="0" w:tentative="0">
      <w:start w:val="1"/>
      <w:numFmt w:val="decimal"/>
      <w:suff w:val="nothing"/>
      <w:lvlText w:val="%1、"/>
      <w:lvlJc w:val="left"/>
    </w:lvl>
  </w:abstractNum>
  <w:abstractNum w:abstractNumId="17">
    <w:nsid w:val="13C65CC9"/>
    <w:multiLevelType w:val="singleLevel"/>
    <w:tmpl w:val="13C65CC9"/>
    <w:lvl w:ilvl="0" w:tentative="0">
      <w:start w:val="1"/>
      <w:numFmt w:val="decimal"/>
      <w:suff w:val="nothing"/>
      <w:lvlText w:val="%1、"/>
      <w:lvlJc w:val="left"/>
    </w:lvl>
  </w:abstractNum>
  <w:abstractNum w:abstractNumId="18">
    <w:nsid w:val="2DC48427"/>
    <w:multiLevelType w:val="singleLevel"/>
    <w:tmpl w:val="2DC48427"/>
    <w:lvl w:ilvl="0" w:tentative="0">
      <w:start w:val="1"/>
      <w:numFmt w:val="decimal"/>
      <w:suff w:val="nothing"/>
      <w:lvlText w:val="%1、"/>
      <w:lvlJc w:val="left"/>
    </w:lvl>
  </w:abstractNum>
  <w:abstractNum w:abstractNumId="19">
    <w:nsid w:val="35CDC9AE"/>
    <w:multiLevelType w:val="singleLevel"/>
    <w:tmpl w:val="35CDC9AE"/>
    <w:lvl w:ilvl="0" w:tentative="0">
      <w:start w:val="1"/>
      <w:numFmt w:val="decimal"/>
      <w:suff w:val="nothing"/>
      <w:lvlText w:val="%1、"/>
      <w:lvlJc w:val="left"/>
    </w:lvl>
  </w:abstractNum>
  <w:abstractNum w:abstractNumId="20">
    <w:nsid w:val="44DE56B0"/>
    <w:multiLevelType w:val="singleLevel"/>
    <w:tmpl w:val="44DE56B0"/>
    <w:lvl w:ilvl="0" w:tentative="0">
      <w:start w:val="1"/>
      <w:numFmt w:val="decimal"/>
      <w:suff w:val="nothing"/>
      <w:lvlText w:val="%1、"/>
      <w:lvlJc w:val="left"/>
    </w:lvl>
  </w:abstractNum>
  <w:abstractNum w:abstractNumId="21">
    <w:nsid w:val="542EB0DC"/>
    <w:multiLevelType w:val="singleLevel"/>
    <w:tmpl w:val="542EB0DC"/>
    <w:lvl w:ilvl="0" w:tentative="0">
      <w:start w:val="1"/>
      <w:numFmt w:val="decimal"/>
      <w:suff w:val="nothing"/>
      <w:lvlText w:val="%1、"/>
      <w:lvlJc w:val="left"/>
    </w:lvl>
  </w:abstractNum>
  <w:abstractNum w:abstractNumId="22">
    <w:nsid w:val="59ADCABA"/>
    <w:multiLevelType w:val="singleLevel"/>
    <w:tmpl w:val="59ADCABA"/>
    <w:lvl w:ilvl="0" w:tentative="0">
      <w:start w:val="1"/>
      <w:numFmt w:val="decimal"/>
      <w:lvlText w:val="%1."/>
      <w:lvlJc w:val="left"/>
      <w:pPr>
        <w:ind w:left="420" w:hanging="420"/>
      </w:pPr>
    </w:lvl>
  </w:abstractNum>
  <w:abstractNum w:abstractNumId="23">
    <w:nsid w:val="6D732CFB"/>
    <w:multiLevelType w:val="singleLevel"/>
    <w:tmpl w:val="6D732CFB"/>
    <w:lvl w:ilvl="0" w:tentative="0">
      <w:start w:val="1"/>
      <w:numFmt w:val="decimal"/>
      <w:suff w:val="nothing"/>
      <w:lvlText w:val="%1、"/>
      <w:lvlJc w:val="left"/>
    </w:lvl>
  </w:abstractNum>
  <w:abstractNum w:abstractNumId="24">
    <w:nsid w:val="7C67EA65"/>
    <w:multiLevelType w:val="singleLevel"/>
    <w:tmpl w:val="7C67EA65"/>
    <w:lvl w:ilvl="0" w:tentative="0">
      <w:start w:val="1"/>
      <w:numFmt w:val="decimal"/>
      <w:suff w:val="nothing"/>
      <w:lvlText w:val="%1、"/>
      <w:lvlJc w:val="left"/>
    </w:lvl>
  </w:abstractNum>
  <w:num w:numId="1">
    <w:abstractNumId w:val="15"/>
  </w:num>
  <w:num w:numId="2">
    <w:abstractNumId w:val="16"/>
  </w:num>
  <w:num w:numId="3">
    <w:abstractNumId w:val="9"/>
  </w:num>
  <w:num w:numId="4">
    <w:abstractNumId w:val="21"/>
  </w:num>
  <w:num w:numId="5">
    <w:abstractNumId w:val="2"/>
  </w:num>
  <w:num w:numId="6">
    <w:abstractNumId w:val="11"/>
  </w:num>
  <w:num w:numId="7">
    <w:abstractNumId w:val="0"/>
  </w:num>
  <w:num w:numId="8">
    <w:abstractNumId w:val="6"/>
  </w:num>
  <w:num w:numId="9">
    <w:abstractNumId w:val="13"/>
  </w:num>
  <w:num w:numId="10">
    <w:abstractNumId w:val="14"/>
  </w:num>
  <w:num w:numId="11">
    <w:abstractNumId w:val="18"/>
  </w:num>
  <w:num w:numId="12">
    <w:abstractNumId w:val="10"/>
  </w:num>
  <w:num w:numId="13">
    <w:abstractNumId w:val="1"/>
  </w:num>
  <w:num w:numId="14">
    <w:abstractNumId w:val="23"/>
  </w:num>
  <w:num w:numId="15">
    <w:abstractNumId w:val="12"/>
  </w:num>
  <w:num w:numId="16">
    <w:abstractNumId w:val="19"/>
  </w:num>
  <w:num w:numId="17">
    <w:abstractNumId w:val="4"/>
  </w:num>
  <w:num w:numId="18">
    <w:abstractNumId w:val="20"/>
  </w:num>
  <w:num w:numId="19">
    <w:abstractNumId w:val="17"/>
  </w:num>
  <w:num w:numId="20">
    <w:abstractNumId w:val="24"/>
  </w:num>
  <w:num w:numId="21">
    <w:abstractNumId w:val="3"/>
  </w:num>
  <w:num w:numId="22">
    <w:abstractNumId w:val="8"/>
  </w:num>
  <w:num w:numId="23">
    <w:abstractNumId w:val="22"/>
  </w:num>
  <w:num w:numId="24">
    <w:abstractNumId w:val="7"/>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9"/>
  <w:documentProtection w:enforcement="0"/>
  <w:defaultTabStop w:val="420"/>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37A29"/>
    <w:rsid w:val="0A170E7E"/>
    <w:rsid w:val="1B4949CD"/>
    <w:rsid w:val="1C0A685C"/>
    <w:rsid w:val="227B2B13"/>
    <w:rsid w:val="30CB3166"/>
    <w:rsid w:val="35250956"/>
    <w:rsid w:val="48BA2B68"/>
    <w:rsid w:val="505E20E4"/>
    <w:rsid w:val="5167665C"/>
    <w:rsid w:val="5EB81B54"/>
    <w:rsid w:val="60400949"/>
    <w:rsid w:val="61154C74"/>
    <w:rsid w:val="697828D5"/>
    <w:rsid w:val="700C2B87"/>
    <w:rsid w:val="786936F8"/>
    <w:rsid w:val="7DF32B5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Pages>
  <Words>1982</Words>
  <Characters>2015</Characters>
  <TotalTime>86</TotalTime>
  <ScaleCrop>false</ScaleCrop>
  <LinksUpToDate>false</LinksUpToDate>
  <CharactersWithSpaces>2020</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2026-09-10T14:56:00Z</dcterms:created>
  <dc:creator>samguo</dc:creator>
  <cp:lastModifiedBy>xiao</cp:lastModifiedBy>
  <dcterms:modified xsi:type="dcterms:W3CDTF">2026-09-11T08:29:23Z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eyJoZGlkIjoiNTZkMzY1OTA1M2IwMTA2ZDhjYTgwOGNmMmFkZjQ3MzAiLCJ1c2VySWQiOiI2ODE3Mjk2MjAifQ==</vt:lpwstr>
  </property>
  <property fmtid="{D5CDD505-2E9C-101B-9397-08002B2CF9AE}" pid="3" name="KSOProductBuildVer">
    <vt:lpwstr>2052-12.1.0.28505</vt:lpwstr>
  </property>
  <property fmtid="{D5CDD505-2E9C-101B-9397-08002B2CF9AE}" pid="4" name="ICV">
    <vt:lpwstr>D87ABB2B43EA471CB4DC900CEA75E406_13</vt:lpwstr>
  </property>
</Properties>
</file>