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中山市东升医院2026-2028年度消防维护保养及配件更换项目</w:t>
      </w:r>
      <w:r>
        <w:rPr>
          <w:rFonts w:ascii="宋体" w:hAnsi="宋体" w:eastAsia="宋体" w:cs="宋体"/>
          <w:b/>
          <w:bCs/>
          <w:spacing w:val="4"/>
          <w:sz w:val="47"/>
          <w:szCs w:val="47"/>
          <w:lang w:eastAsia="zh-CN"/>
        </w:rPr>
        <w:t>响应文件</w:t>
      </w:r>
    </w:p>
    <w:p w14:paraId="338CD2FE">
      <w:pPr>
        <w:pStyle w:val="2"/>
        <w:spacing w:line="247" w:lineRule="auto"/>
        <w:rPr>
          <w:lang w:eastAsia="zh-CN"/>
        </w:rPr>
      </w:pPr>
    </w:p>
    <w:p w14:paraId="1073FC52">
      <w:pPr>
        <w:pStyle w:val="2"/>
        <w:spacing w:line="247" w:lineRule="auto"/>
        <w:rPr>
          <w:lang w:eastAsia="zh-CN"/>
        </w:rPr>
      </w:pPr>
    </w:p>
    <w:p w14:paraId="76DBF516">
      <w:pPr>
        <w:pStyle w:val="2"/>
        <w:spacing w:line="247" w:lineRule="auto"/>
        <w:rPr>
          <w:lang w:eastAsia="zh-CN"/>
        </w:rPr>
      </w:pPr>
    </w:p>
    <w:p w14:paraId="7E46F770">
      <w:pPr>
        <w:pStyle w:val="2"/>
        <w:spacing w:line="247" w:lineRule="auto"/>
        <w:rPr>
          <w:lang w:eastAsia="zh-CN"/>
        </w:rPr>
      </w:pPr>
    </w:p>
    <w:p w14:paraId="769B815E">
      <w:pPr>
        <w:pStyle w:val="2"/>
        <w:spacing w:line="247" w:lineRule="auto"/>
        <w:rPr>
          <w:lang w:eastAsia="zh-CN"/>
        </w:rPr>
      </w:pPr>
    </w:p>
    <w:p w14:paraId="7B529BE3">
      <w:pPr>
        <w:pStyle w:val="2"/>
        <w:spacing w:line="247" w:lineRule="auto"/>
        <w:rPr>
          <w:lang w:eastAsia="zh-CN"/>
        </w:rPr>
      </w:pPr>
    </w:p>
    <w:p w14:paraId="16208457">
      <w:pPr>
        <w:pStyle w:val="2"/>
        <w:spacing w:line="247" w:lineRule="auto"/>
        <w:rPr>
          <w:lang w:eastAsia="zh-CN"/>
        </w:rPr>
      </w:pPr>
    </w:p>
    <w:p w14:paraId="5723285D">
      <w:pPr>
        <w:pStyle w:val="2"/>
        <w:spacing w:line="248" w:lineRule="auto"/>
        <w:rPr>
          <w:lang w:eastAsia="zh-CN"/>
        </w:rPr>
      </w:pPr>
    </w:p>
    <w:p w14:paraId="37C9723C">
      <w:pPr>
        <w:pStyle w:val="2"/>
        <w:spacing w:line="248" w:lineRule="auto"/>
        <w:rPr>
          <w:lang w:eastAsia="zh-CN"/>
        </w:rPr>
      </w:pPr>
    </w:p>
    <w:p w14:paraId="58D11985">
      <w:pPr>
        <w:pStyle w:val="2"/>
        <w:spacing w:line="248" w:lineRule="auto"/>
        <w:rPr>
          <w:lang w:eastAsia="zh-CN"/>
        </w:rPr>
      </w:pPr>
    </w:p>
    <w:p w14:paraId="5E2B3D32">
      <w:pPr>
        <w:pStyle w:val="2"/>
        <w:spacing w:line="248" w:lineRule="auto"/>
        <w:rPr>
          <w:lang w:eastAsia="zh-CN"/>
        </w:rPr>
      </w:pPr>
    </w:p>
    <w:p w14:paraId="7F891FFF">
      <w:pPr>
        <w:pStyle w:val="2"/>
        <w:spacing w:line="248" w:lineRule="auto"/>
        <w:rPr>
          <w:lang w:eastAsia="zh-CN"/>
        </w:rPr>
      </w:pPr>
    </w:p>
    <w:p w14:paraId="2B03D7A3">
      <w:pPr>
        <w:pStyle w:val="2"/>
        <w:spacing w:line="248" w:lineRule="auto"/>
        <w:rPr>
          <w:lang w:eastAsia="zh-CN"/>
        </w:rPr>
      </w:pPr>
    </w:p>
    <w:p w14:paraId="21F1022D">
      <w:pPr>
        <w:pStyle w:val="2"/>
        <w:spacing w:line="248" w:lineRule="auto"/>
        <w:rPr>
          <w:lang w:eastAsia="zh-CN"/>
        </w:rPr>
      </w:pPr>
    </w:p>
    <w:p w14:paraId="2F827075">
      <w:pPr>
        <w:pStyle w:val="2"/>
        <w:spacing w:line="248" w:lineRule="auto"/>
        <w:rPr>
          <w:lang w:eastAsia="zh-CN"/>
        </w:rPr>
      </w:pPr>
    </w:p>
    <w:p w14:paraId="0713AC1F">
      <w:pPr>
        <w:pStyle w:val="2"/>
        <w:spacing w:line="248" w:lineRule="auto"/>
        <w:rPr>
          <w:lang w:eastAsia="zh-CN"/>
        </w:rPr>
      </w:pPr>
    </w:p>
    <w:p w14:paraId="7F42F37A">
      <w:pPr>
        <w:pStyle w:val="2"/>
        <w:spacing w:line="248" w:lineRule="auto"/>
        <w:rPr>
          <w:lang w:eastAsia="zh-CN"/>
        </w:rPr>
      </w:pPr>
    </w:p>
    <w:p w14:paraId="514364A2">
      <w:pPr>
        <w:pStyle w:val="2"/>
        <w:spacing w:line="248" w:lineRule="auto"/>
        <w:rPr>
          <w:lang w:eastAsia="zh-CN"/>
        </w:rPr>
      </w:pPr>
    </w:p>
    <w:p w14:paraId="1626D0EF">
      <w:pPr>
        <w:pStyle w:val="2"/>
        <w:spacing w:line="248" w:lineRule="auto"/>
        <w:rPr>
          <w:lang w:eastAsia="zh-CN"/>
        </w:rPr>
      </w:pPr>
    </w:p>
    <w:p w14:paraId="45CE5823">
      <w:pPr>
        <w:pStyle w:val="2"/>
        <w:spacing w:line="248" w:lineRule="auto"/>
        <w:rPr>
          <w:lang w:eastAsia="zh-CN"/>
        </w:rPr>
      </w:pPr>
    </w:p>
    <w:p w14:paraId="3F3159DE">
      <w:pPr>
        <w:pStyle w:val="2"/>
        <w:spacing w:line="248" w:lineRule="auto"/>
        <w:rPr>
          <w:lang w:eastAsia="zh-CN"/>
        </w:rPr>
      </w:pPr>
    </w:p>
    <w:p w14:paraId="16776187">
      <w:pPr>
        <w:pStyle w:val="2"/>
        <w:spacing w:line="248" w:lineRule="auto"/>
        <w:rPr>
          <w:lang w:eastAsia="zh-CN"/>
        </w:rPr>
      </w:pPr>
    </w:p>
    <w:p w14:paraId="17459F8B">
      <w:pPr>
        <w:pStyle w:val="2"/>
        <w:spacing w:line="248" w:lineRule="auto"/>
        <w:rPr>
          <w:lang w:eastAsia="zh-CN"/>
        </w:rPr>
      </w:pPr>
    </w:p>
    <w:p w14:paraId="7464C756">
      <w:pPr>
        <w:pStyle w:val="2"/>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3CA08C93">
      <w:pPr>
        <w:pStyle w:val="10"/>
      </w:pPr>
    </w:p>
    <w:tbl>
      <w:tblPr>
        <w:tblStyle w:val="11"/>
        <w:tblW w:w="93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531"/>
        <w:gridCol w:w="3164"/>
        <w:gridCol w:w="2630"/>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22" w:hRule="atLeast"/>
          <w:jc w:val="center"/>
        </w:trPr>
        <w:tc>
          <w:tcPr>
            <w:tcW w:w="3531"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164" w:type="dxa"/>
            <w:vAlign w:val="center"/>
          </w:tcPr>
          <w:p w14:paraId="612F4846">
            <w:pPr>
              <w:spacing w:before="40" w:line="219" w:lineRule="auto"/>
              <w:jc w:val="center"/>
              <w:rPr>
                <w:rFonts w:hint="eastAsia"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下浮率报价</w:t>
            </w:r>
          </w:p>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630"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087" w:hRule="atLeast"/>
          <w:jc w:val="center"/>
        </w:trPr>
        <w:tc>
          <w:tcPr>
            <w:tcW w:w="3531"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中山市东升医院2026-2028年度消防维护保养及配件更换项目</w:t>
            </w:r>
          </w:p>
        </w:tc>
        <w:tc>
          <w:tcPr>
            <w:tcW w:w="3164"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630" w:type="dxa"/>
            <w:vAlign w:val="center"/>
          </w:tcPr>
          <w:p w14:paraId="75863F85">
            <w:pPr>
              <w:pStyle w:val="2"/>
              <w:jc w:val="center"/>
              <w:rPr>
                <w:rFonts w:hint="default"/>
                <w:lang w:val="en-US" w:eastAsia="zh-CN"/>
              </w:rPr>
            </w:pPr>
            <w:r>
              <w:rPr>
                <w:rFonts w:hint="eastAsia"/>
                <w:lang w:val="en-US" w:eastAsia="zh-CN"/>
              </w:rPr>
              <w:t>请填写附件一《中山市东升医院消防工程配件清单》相关内容</w:t>
            </w:r>
          </w:p>
        </w:tc>
      </w:tr>
    </w:tbl>
    <w:p w14:paraId="1CE97BEE">
      <w:pPr>
        <w:pStyle w:val="2"/>
        <w:spacing w:line="371" w:lineRule="auto"/>
      </w:pPr>
    </w:p>
    <w:p w14:paraId="1EFC8127">
      <w:pPr>
        <w:pStyle w:val="2"/>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732D213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highlight w:val="none"/>
          <w:lang w:eastAsia="zh-CN"/>
        </w:rPr>
      </w:pPr>
      <w:r>
        <w:rPr>
          <w:rFonts w:ascii="宋体" w:hAnsi="宋体" w:eastAsia="宋体" w:cs="宋体"/>
          <w:b/>
          <w:bCs/>
          <w:snapToGrid w:val="0"/>
          <w:color w:val="000000"/>
          <w:spacing w:val="7"/>
          <w:sz w:val="20"/>
          <w:szCs w:val="20"/>
          <w:lang w:val="en-US" w:eastAsia="zh-CN" w:bidi="ar-SA"/>
        </w:rPr>
        <w:t>1.</w:t>
      </w:r>
      <w:r>
        <w:rPr>
          <w:rFonts w:hint="eastAsia" w:ascii="宋体" w:hAnsi="宋体" w:eastAsia="宋体" w:cs="宋体"/>
          <w:b/>
          <w:bCs/>
          <w:snapToGrid w:val="0"/>
          <w:color w:val="000000"/>
          <w:spacing w:val="7"/>
          <w:sz w:val="20"/>
          <w:szCs w:val="20"/>
          <w:lang w:val="en-US" w:eastAsia="zh-CN" w:bidi="ar-SA"/>
        </w:rPr>
        <w:t xml:space="preserve"> </w:t>
      </w:r>
      <w:r>
        <w:rPr>
          <w:rFonts w:hint="eastAsia" w:ascii="宋体" w:hAnsi="宋体" w:eastAsia="宋体" w:cs="宋体"/>
          <w:b/>
          <w:bCs/>
          <w:spacing w:val="7"/>
          <w:sz w:val="20"/>
          <w:szCs w:val="20"/>
          <w:highlight w:val="none"/>
          <w:lang w:val="en-US" w:eastAsia="zh-CN"/>
        </w:rPr>
        <w:t>该项目预算金额为：人民币239500元（其中：（1）消防维护保养预算金额：139500元（2）消防配件更换预算金额：100000元，针对配件单价下浮，预算金额不变，配件按实际发生量结算）。本项目采用下浮率方式报价，供应商须针对预算金额和配件单价报出一个统一的下浮率，下浮率取值范围为0%（含）至50%（含），超出此范围的报价将按无效报价处理。</w:t>
      </w:r>
    </w:p>
    <w:p w14:paraId="1B2B275F">
      <w:pPr>
        <w:pStyle w:val="10"/>
        <w:keepNext w:val="0"/>
        <w:keepLines w:val="0"/>
        <w:pageBreakBefore w:val="0"/>
        <w:widowControl w:val="0"/>
        <w:kinsoku/>
        <w:wordWrap/>
        <w:overflowPunct/>
        <w:topLinePunct w:val="0"/>
        <w:autoSpaceDE w:val="0"/>
        <w:autoSpaceDN w:val="0"/>
        <w:bidi w:val="0"/>
        <w:adjustRightInd w:val="0"/>
        <w:snapToGrid/>
        <w:spacing w:before="0" w:beforeLines="50"/>
        <w:textAlignment w:val="auto"/>
        <w:rPr>
          <w:rFonts w:hint="default"/>
          <w:lang w:val="en-US" w:eastAsia="zh-CN"/>
        </w:rPr>
      </w:pPr>
      <w:r>
        <w:rPr>
          <w:rFonts w:hint="eastAsia" w:hAnsi="宋体" w:cs="宋体"/>
          <w:b/>
          <w:bCs/>
          <w:spacing w:val="7"/>
          <w:sz w:val="20"/>
          <w:szCs w:val="20"/>
          <w:highlight w:val="none"/>
          <w:lang w:val="en-US" w:eastAsia="zh-CN"/>
        </w:rPr>
        <w:t>2. 本项目实行服务费总价包干，成交价即为合同价，报价为含税价。报价包含（但不限于）成交供应商的员工工资、社会保险、福利、税费、“中山市残疾人就业保障金”、员工培训费、卫生费用、餐饮、日常接待、办公费用、投入物资、清洁用品用具、防护用品（如手套、口罩等）、意外风险等。</w:t>
      </w:r>
    </w:p>
    <w:p w14:paraId="31EE09CF">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napToGrid w:val="0"/>
          <w:color w:val="000000"/>
          <w:sz w:val="20"/>
          <w:szCs w:val="20"/>
          <w:lang w:val="en-US" w:eastAsia="zh-CN" w:bidi="ar-SA"/>
        </w:rPr>
        <w:t xml:space="preserve">3. </w:t>
      </w:r>
      <w:r>
        <w:rPr>
          <w:rFonts w:hint="eastAsia" w:ascii="宋体" w:hAnsi="宋体" w:eastAsia="宋体" w:cs="宋体"/>
          <w:b/>
          <w:bCs/>
          <w:sz w:val="20"/>
          <w:szCs w:val="20"/>
          <w:highlight w:val="none"/>
          <w:lang w:val="en-US" w:eastAsia="zh-CN"/>
        </w:rPr>
        <w:t>本项目的评审采用最低价法（报价格式详见响应文件模板中（一）报价单），在符合项目需求的前提下，选取最低价格为拟中选供应商，如有两家或以上供应商相同报价时，以平台响应报名时间更早者为优先。</w:t>
      </w:r>
    </w:p>
    <w:p w14:paraId="21B1F009">
      <w:pPr>
        <w:pStyle w:val="10"/>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lang w:val="en-US" w:eastAsia="zh-CN"/>
        </w:rPr>
      </w:pPr>
      <w:r>
        <w:rPr>
          <w:rFonts w:hint="eastAsia" w:hAnsi="宋体" w:cs="宋体"/>
          <w:b/>
          <w:bCs/>
          <w:sz w:val="20"/>
          <w:szCs w:val="20"/>
          <w:lang w:val="en-US" w:eastAsia="zh-CN"/>
        </w:rPr>
        <w:t>4. 报价次数：1次。</w:t>
      </w:r>
    </w:p>
    <w:p w14:paraId="590C065E">
      <w:pPr>
        <w:pStyle w:val="10"/>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default" w:hAnsi="宋体" w:cs="宋体"/>
          <w:b/>
          <w:bCs/>
          <w:sz w:val="20"/>
          <w:szCs w:val="20"/>
          <w:lang w:val="en-US" w:eastAsia="zh-CN"/>
        </w:rPr>
      </w:pPr>
      <w:r>
        <w:rPr>
          <w:rFonts w:hint="eastAsia" w:hAnsi="宋体" w:cs="宋体"/>
          <w:b/>
          <w:bCs/>
          <w:sz w:val="20"/>
          <w:szCs w:val="20"/>
          <w:lang w:val="en-US" w:eastAsia="zh-CN"/>
        </w:rPr>
        <w:t>5. 须按照公告要求填写附件一《中山市东升医院消防工程配件清单》。</w:t>
      </w:r>
    </w:p>
    <w:p w14:paraId="5E5536D4">
      <w:pPr>
        <w:spacing w:before="79" w:line="219" w:lineRule="auto"/>
        <w:ind w:left="122"/>
        <w:rPr>
          <w:rFonts w:ascii="宋体" w:hAnsi="宋体" w:eastAsia="宋体" w:cs="宋体"/>
          <w:spacing w:val="2"/>
          <w:sz w:val="24"/>
          <w:szCs w:val="24"/>
          <w:lang w:eastAsia="zh-CN"/>
        </w:rPr>
      </w:pPr>
    </w:p>
    <w:p w14:paraId="60320B2F">
      <w:pPr>
        <w:spacing w:before="79" w:line="219" w:lineRule="auto"/>
        <w:ind w:left="122"/>
        <w:rPr>
          <w:rFonts w:ascii="宋体" w:hAnsi="宋体" w:eastAsia="宋体" w:cs="宋体"/>
          <w:spacing w:val="2"/>
          <w:sz w:val="24"/>
          <w:szCs w:val="24"/>
          <w:lang w:eastAsia="zh-CN"/>
        </w:rPr>
      </w:pPr>
    </w:p>
    <w:p w14:paraId="135A0D05">
      <w:pPr>
        <w:pStyle w:val="10"/>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23BEBF76">
      <w:pPr>
        <w:widowControl w:val="0"/>
        <w:kinsoku/>
        <w:autoSpaceDE/>
        <w:autoSpaceDN/>
        <w:adjustRightInd/>
        <w:snapToGrid/>
        <w:jc w:val="left"/>
        <w:textAlignment w:val="auto"/>
        <w:rPr>
          <w:rFonts w:ascii="Calibri" w:hAnsi="Calibri" w:eastAsia="宋体" w:cs="Times New Roman"/>
          <w:b/>
          <w:bCs/>
          <w:snapToGrid/>
          <w:kern w:val="2"/>
          <w:sz w:val="28"/>
          <w:szCs w:val="28"/>
          <w:lang w:eastAsia="zh-CN"/>
        </w:rPr>
      </w:pPr>
      <w:r>
        <w:rPr>
          <w:rFonts w:hint="eastAsia" w:ascii="Calibri" w:hAnsi="Calibri" w:eastAsia="宋体" w:cs="Times New Roman"/>
          <w:b/>
          <w:bCs/>
          <w:snapToGrid/>
          <w:kern w:val="2"/>
          <w:sz w:val="28"/>
          <w:szCs w:val="28"/>
          <w:lang w:val="en-US" w:eastAsia="zh-CN"/>
        </w:rPr>
        <w:t xml:space="preserve">附件一 </w:t>
      </w:r>
      <w:r>
        <w:rPr>
          <w:rFonts w:hint="eastAsia" w:ascii="Calibri" w:hAnsi="Calibri" w:eastAsia="宋体" w:cs="Times New Roman"/>
          <w:b/>
          <w:bCs/>
          <w:snapToGrid/>
          <w:kern w:val="2"/>
          <w:sz w:val="28"/>
          <w:szCs w:val="28"/>
          <w:lang w:eastAsia="zh-CN"/>
        </w:rPr>
        <w:t>中山市东升医院消防工程配件清单</w:t>
      </w:r>
    </w:p>
    <w:tbl>
      <w:tblPr>
        <w:tblStyle w:val="7"/>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85" w:type="dxa"/>
          <w:left w:w="85" w:type="dxa"/>
          <w:bottom w:w="85" w:type="dxa"/>
          <w:right w:w="85" w:type="dxa"/>
        </w:tblCellMar>
      </w:tblPr>
      <w:tblGrid>
        <w:gridCol w:w="514"/>
        <w:gridCol w:w="1715"/>
        <w:gridCol w:w="1698"/>
        <w:gridCol w:w="711"/>
        <w:gridCol w:w="4718"/>
        <w:gridCol w:w="990"/>
        <w:gridCol w:w="1008"/>
        <w:gridCol w:w="2432"/>
        <w:gridCol w:w="1067"/>
      </w:tblGrid>
      <w:tr w14:paraId="54DB6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BCB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2"/>
                <w:sz w:val="20"/>
                <w:szCs w:val="20"/>
                <w:u w:val="none"/>
                <w:lang w:eastAsia="zh-CN"/>
              </w:rPr>
            </w:pPr>
            <w:r>
              <w:rPr>
                <w:rFonts w:hint="eastAsia" w:ascii="宋体" w:hAnsi="宋体" w:eastAsia="宋体" w:cs="宋体"/>
                <w:b/>
                <w:bCs/>
                <w:i w:val="0"/>
                <w:iCs w:val="0"/>
                <w:snapToGrid/>
                <w:color w:val="000000"/>
                <w:kern w:val="0"/>
                <w:sz w:val="20"/>
                <w:szCs w:val="20"/>
                <w:u w:val="none"/>
                <w:lang w:val="en-US" w:eastAsia="zh-CN" w:bidi="ar"/>
              </w:rPr>
              <w:t>序号</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9FA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2"/>
                <w:sz w:val="20"/>
                <w:szCs w:val="20"/>
                <w:u w:val="none"/>
                <w:lang w:eastAsia="zh-CN"/>
              </w:rPr>
            </w:pPr>
            <w:r>
              <w:rPr>
                <w:rFonts w:hint="eastAsia" w:ascii="宋体" w:hAnsi="宋体" w:eastAsia="宋体" w:cs="宋体"/>
                <w:b/>
                <w:bCs/>
                <w:i w:val="0"/>
                <w:iCs w:val="0"/>
                <w:snapToGrid/>
                <w:color w:val="000000"/>
                <w:kern w:val="0"/>
                <w:sz w:val="20"/>
                <w:szCs w:val="20"/>
                <w:u w:val="none"/>
                <w:lang w:val="en-US" w:eastAsia="zh-CN" w:bidi="ar"/>
              </w:rPr>
              <w:t>名称</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048C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2"/>
                <w:sz w:val="20"/>
                <w:szCs w:val="20"/>
                <w:u w:val="none"/>
                <w:lang w:eastAsia="zh-CN"/>
              </w:rPr>
            </w:pPr>
            <w:r>
              <w:rPr>
                <w:rFonts w:hint="eastAsia" w:ascii="宋体" w:hAnsi="宋体" w:eastAsia="宋体" w:cs="宋体"/>
                <w:b/>
                <w:bCs/>
                <w:i w:val="0"/>
                <w:iCs w:val="0"/>
                <w:snapToGrid/>
                <w:color w:val="000000"/>
                <w:kern w:val="0"/>
                <w:sz w:val="20"/>
                <w:szCs w:val="20"/>
                <w:u w:val="none"/>
                <w:lang w:val="en-US" w:eastAsia="zh-CN" w:bidi="ar"/>
              </w:rPr>
              <w:t>规格</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5935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2"/>
                <w:sz w:val="20"/>
                <w:szCs w:val="20"/>
                <w:u w:val="none"/>
                <w:lang w:eastAsia="zh-CN"/>
              </w:rPr>
            </w:pPr>
            <w:r>
              <w:rPr>
                <w:rFonts w:hint="eastAsia" w:ascii="宋体" w:hAnsi="宋体" w:eastAsia="宋体" w:cs="宋体"/>
                <w:b/>
                <w:bCs/>
                <w:i w:val="0"/>
                <w:iCs w:val="0"/>
                <w:snapToGrid/>
                <w:color w:val="000000"/>
                <w:kern w:val="0"/>
                <w:sz w:val="20"/>
                <w:szCs w:val="20"/>
                <w:u w:val="none"/>
                <w:lang w:val="en-US" w:eastAsia="zh-CN" w:bidi="ar"/>
              </w:rPr>
              <w:t>单位</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95F1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2"/>
                <w:sz w:val="20"/>
                <w:szCs w:val="20"/>
                <w:u w:val="none"/>
                <w:lang w:eastAsia="zh-CN"/>
              </w:rPr>
            </w:pPr>
            <w:r>
              <w:rPr>
                <w:rFonts w:hint="eastAsia" w:ascii="宋体" w:hAnsi="宋体" w:eastAsia="宋体" w:cs="宋体"/>
                <w:b/>
                <w:bCs/>
                <w:i w:val="0"/>
                <w:iCs w:val="0"/>
                <w:snapToGrid/>
                <w:color w:val="000000"/>
                <w:kern w:val="0"/>
                <w:sz w:val="20"/>
                <w:szCs w:val="20"/>
                <w:u w:val="none"/>
                <w:lang w:val="en-US" w:eastAsia="zh-CN" w:bidi="ar"/>
              </w:rPr>
              <w:t>主要技术参数</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82F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2"/>
                <w:sz w:val="20"/>
                <w:szCs w:val="20"/>
                <w:u w:val="none"/>
                <w:lang w:eastAsia="zh-CN"/>
              </w:rPr>
            </w:pPr>
            <w:r>
              <w:rPr>
                <w:rFonts w:hint="eastAsia" w:ascii="宋体" w:hAnsi="宋体" w:eastAsia="宋体" w:cs="宋体"/>
                <w:b/>
                <w:bCs/>
                <w:i w:val="0"/>
                <w:iCs w:val="0"/>
                <w:snapToGrid/>
                <w:color w:val="000000"/>
                <w:kern w:val="0"/>
                <w:sz w:val="20"/>
                <w:szCs w:val="20"/>
                <w:u w:val="none"/>
                <w:lang w:val="en-US" w:eastAsia="zh-CN" w:bidi="ar"/>
              </w:rPr>
              <w:t>最高单价限价</w:t>
            </w:r>
            <w:r>
              <w:rPr>
                <w:rFonts w:hint="eastAsia" w:ascii="宋体" w:hAnsi="宋体" w:eastAsia="宋体" w:cs="宋体"/>
                <w:b/>
                <w:bCs/>
                <w:i w:val="0"/>
                <w:iCs w:val="0"/>
                <w:snapToGrid/>
                <w:color w:val="000000"/>
                <w:kern w:val="0"/>
                <w:sz w:val="20"/>
                <w:szCs w:val="20"/>
                <w:u w:val="none"/>
                <w:lang w:val="en-US" w:eastAsia="zh-CN" w:bidi="ar"/>
              </w:rPr>
              <w:br w:type="textWrapping"/>
            </w:r>
            <w:r>
              <w:rPr>
                <w:rFonts w:hint="eastAsia" w:ascii="宋体" w:hAnsi="宋体" w:eastAsia="宋体" w:cs="宋体"/>
                <w:b/>
                <w:bCs/>
                <w:i w:val="0"/>
                <w:iCs w:val="0"/>
                <w:snapToGrid/>
                <w:color w:val="000000"/>
                <w:kern w:val="0"/>
                <w:sz w:val="20"/>
                <w:szCs w:val="20"/>
                <w:u w:val="none"/>
                <w:lang w:val="en-US" w:eastAsia="zh-CN" w:bidi="ar"/>
              </w:rPr>
              <w:t>（元）</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F49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0"/>
                <w:sz w:val="20"/>
                <w:szCs w:val="20"/>
                <w:u w:val="none"/>
                <w:lang w:val="en-US" w:eastAsia="zh-CN" w:bidi="ar"/>
              </w:rPr>
            </w:pPr>
            <w:r>
              <w:rPr>
                <w:rFonts w:hint="eastAsia" w:ascii="宋体" w:hAnsi="宋体" w:eastAsia="宋体" w:cs="宋体"/>
                <w:b/>
                <w:bCs/>
                <w:i w:val="0"/>
                <w:iCs w:val="0"/>
                <w:snapToGrid/>
                <w:color w:val="000000"/>
                <w:kern w:val="0"/>
                <w:sz w:val="20"/>
                <w:szCs w:val="20"/>
                <w:u w:val="none"/>
                <w:lang w:val="en-US" w:eastAsia="zh-CN" w:bidi="ar"/>
              </w:rPr>
              <w:t>意向</w:t>
            </w:r>
          </w:p>
          <w:p w14:paraId="50D09E7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2"/>
                <w:sz w:val="20"/>
                <w:szCs w:val="20"/>
                <w:u w:val="none"/>
                <w:lang w:eastAsia="zh-CN"/>
              </w:rPr>
            </w:pPr>
            <w:r>
              <w:rPr>
                <w:rFonts w:hint="eastAsia" w:ascii="宋体" w:hAnsi="宋体" w:eastAsia="宋体" w:cs="宋体"/>
                <w:b/>
                <w:bCs/>
                <w:i w:val="0"/>
                <w:iCs w:val="0"/>
                <w:snapToGrid/>
                <w:color w:val="000000"/>
                <w:kern w:val="0"/>
                <w:sz w:val="20"/>
                <w:szCs w:val="20"/>
                <w:u w:val="none"/>
                <w:lang w:val="en-US" w:eastAsia="zh-CN" w:bidi="ar"/>
              </w:rPr>
              <w:t>品牌</w:t>
            </w:r>
            <w:r>
              <w:rPr>
                <w:rFonts w:hint="eastAsia" w:ascii="宋体" w:hAnsi="宋体" w:eastAsia="宋体" w:cs="宋体"/>
                <w:b/>
                <w:bCs/>
                <w:i w:val="0"/>
                <w:iCs w:val="0"/>
                <w:snapToGrid/>
                <w:color w:val="000000"/>
                <w:kern w:val="0"/>
                <w:sz w:val="20"/>
                <w:szCs w:val="20"/>
                <w:u w:val="none"/>
                <w:lang w:val="en-US" w:eastAsia="zh-CN" w:bidi="ar"/>
              </w:rPr>
              <w:br w:type="textWrapping"/>
            </w:r>
            <w:r>
              <w:rPr>
                <w:rFonts w:hint="eastAsia" w:ascii="宋体" w:hAnsi="宋体" w:eastAsia="宋体" w:cs="宋体"/>
                <w:b/>
                <w:bCs/>
                <w:i w:val="0"/>
                <w:iCs w:val="0"/>
                <w:snapToGrid/>
                <w:color w:val="000000"/>
                <w:kern w:val="0"/>
                <w:sz w:val="20"/>
                <w:szCs w:val="20"/>
                <w:u w:val="none"/>
                <w:lang w:val="en-US" w:eastAsia="zh-CN" w:bidi="ar"/>
              </w:rPr>
              <w:t>（如有）</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8E5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0"/>
                <w:sz w:val="20"/>
                <w:szCs w:val="20"/>
                <w:u w:val="none"/>
                <w:lang w:val="en-US" w:eastAsia="zh-CN" w:bidi="ar"/>
              </w:rPr>
            </w:pPr>
            <w:r>
              <w:rPr>
                <w:rFonts w:hint="eastAsia" w:ascii="宋体" w:hAnsi="宋体" w:eastAsia="宋体" w:cs="宋体"/>
                <w:b/>
                <w:bCs/>
                <w:i w:val="0"/>
                <w:iCs w:val="0"/>
                <w:snapToGrid/>
                <w:color w:val="000000"/>
                <w:kern w:val="0"/>
                <w:sz w:val="20"/>
                <w:szCs w:val="20"/>
                <w:u w:val="none"/>
                <w:lang w:val="en-US" w:eastAsia="zh-CN" w:bidi="ar"/>
              </w:rPr>
              <w:t xml:space="preserve">参数响应情况 </w:t>
            </w:r>
          </w:p>
          <w:p w14:paraId="00EE15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2"/>
                <w:sz w:val="20"/>
                <w:szCs w:val="20"/>
                <w:u w:val="none"/>
                <w:lang w:eastAsia="zh-CN"/>
              </w:rPr>
            </w:pPr>
            <w:r>
              <w:rPr>
                <w:rFonts w:hint="eastAsia" w:ascii="宋体" w:hAnsi="宋体" w:eastAsia="宋体" w:cs="宋体"/>
                <w:b/>
                <w:bCs/>
                <w:i w:val="0"/>
                <w:iCs w:val="0"/>
                <w:snapToGrid/>
                <w:color w:val="000000"/>
                <w:kern w:val="0"/>
                <w:sz w:val="20"/>
                <w:szCs w:val="20"/>
                <w:u w:val="none"/>
                <w:lang w:val="en-US" w:eastAsia="zh-CN" w:bidi="ar"/>
              </w:rPr>
              <w:t>(完全响应/正偏离/负偏离)，如有偏离请具体说明</w:t>
            </w: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CCE7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snapToGrid/>
                <w:color w:val="000000"/>
                <w:kern w:val="2"/>
                <w:sz w:val="20"/>
                <w:szCs w:val="20"/>
                <w:u w:val="none"/>
                <w:lang w:eastAsia="zh-CN"/>
              </w:rPr>
            </w:pPr>
            <w:r>
              <w:rPr>
                <w:rFonts w:hint="eastAsia" w:ascii="宋体" w:hAnsi="宋体" w:eastAsia="宋体" w:cs="宋体"/>
                <w:b/>
                <w:bCs/>
                <w:i w:val="0"/>
                <w:iCs w:val="0"/>
                <w:snapToGrid/>
                <w:color w:val="000000"/>
                <w:kern w:val="0"/>
                <w:sz w:val="20"/>
                <w:szCs w:val="20"/>
                <w:u w:val="none"/>
                <w:lang w:val="en-US" w:eastAsia="zh-CN" w:bidi="ar"/>
              </w:rPr>
              <w:t>质保期</w:t>
            </w:r>
          </w:p>
        </w:tc>
      </w:tr>
      <w:tr w14:paraId="7D6F0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B13E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7939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0"/>
                <w:sz w:val="20"/>
                <w:szCs w:val="20"/>
                <w:u w:val="none"/>
                <w:lang w:val="en-US" w:eastAsia="zh-CN" w:bidi="ar"/>
              </w:rPr>
            </w:pPr>
            <w:r>
              <w:rPr>
                <w:rFonts w:hint="eastAsia" w:ascii="宋体" w:hAnsi="宋体" w:eastAsia="宋体" w:cs="宋体"/>
                <w:i w:val="0"/>
                <w:iCs w:val="0"/>
                <w:snapToGrid/>
                <w:color w:val="000000"/>
                <w:kern w:val="0"/>
                <w:sz w:val="20"/>
                <w:szCs w:val="20"/>
                <w:u w:val="none"/>
                <w:lang w:val="en-US" w:eastAsia="zh-CN" w:bidi="ar"/>
              </w:rPr>
              <w:t>感烟探测器</w:t>
            </w:r>
          </w:p>
          <w:p w14:paraId="002B42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BAE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JBF5100</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4D9C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993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光电式，DC 24V总线，灵敏度0.5~3.0dB/m，保护面积60~80㎡，静态电流≤300μA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453B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highlight w:val="none"/>
                <w:u w:val="none"/>
                <w:lang w:val="en-US" w:eastAsia="zh-CN" w:bidi="ar"/>
              </w:rPr>
              <w:t>23.66</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B9A0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6071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0821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50A64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A8E5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0DA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0"/>
                <w:sz w:val="20"/>
                <w:szCs w:val="20"/>
                <w:u w:val="none"/>
                <w:lang w:val="en-US" w:eastAsia="zh-CN" w:bidi="ar"/>
              </w:rPr>
            </w:pPr>
            <w:r>
              <w:rPr>
                <w:rFonts w:hint="eastAsia" w:ascii="宋体" w:hAnsi="宋体" w:eastAsia="宋体" w:cs="宋体"/>
                <w:i w:val="0"/>
                <w:iCs w:val="0"/>
                <w:snapToGrid/>
                <w:color w:val="000000"/>
                <w:kern w:val="0"/>
                <w:sz w:val="20"/>
                <w:szCs w:val="20"/>
                <w:u w:val="none"/>
                <w:lang w:val="en-US" w:eastAsia="zh-CN" w:bidi="ar"/>
              </w:rPr>
              <w:t>感温探测器</w:t>
            </w:r>
          </w:p>
          <w:p w14:paraId="7A6D39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38C6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JBF5100A</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D49A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E22B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定温+差温，动作温度60℃，DC 24V总线，保护面积≤30㎡，静态电流≤200μA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ADB7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21.07</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0BC0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8D81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4E3B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72FDB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309A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3</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C608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0"/>
                <w:sz w:val="20"/>
                <w:szCs w:val="20"/>
                <w:u w:val="none"/>
                <w:lang w:val="en-US" w:eastAsia="zh-CN" w:bidi="ar"/>
              </w:rPr>
            </w:pPr>
            <w:r>
              <w:rPr>
                <w:rFonts w:hint="eastAsia" w:ascii="宋体" w:hAnsi="宋体" w:eastAsia="宋体" w:cs="宋体"/>
                <w:i w:val="0"/>
                <w:iCs w:val="0"/>
                <w:snapToGrid/>
                <w:color w:val="000000"/>
                <w:kern w:val="0"/>
                <w:sz w:val="20"/>
                <w:szCs w:val="20"/>
                <w:u w:val="none"/>
                <w:lang w:val="en-US" w:eastAsia="zh-CN" w:bidi="ar"/>
              </w:rPr>
              <w:t>输入输出模块多线</w:t>
            </w:r>
          </w:p>
          <w:p w14:paraId="4A9A046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044E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JBF-5155</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0159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38A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DC 24V，多线直启，输出触点2A/30VDC，带反馈输入，线路断/短路检测</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5694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28.80</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09C9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699A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F928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4CC3E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AA66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4</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0E8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0"/>
                <w:sz w:val="20"/>
                <w:szCs w:val="20"/>
                <w:u w:val="none"/>
                <w:lang w:val="en-US" w:eastAsia="zh-CN" w:bidi="ar"/>
              </w:rPr>
            </w:pPr>
            <w:r>
              <w:rPr>
                <w:rFonts w:hint="eastAsia" w:ascii="宋体" w:hAnsi="宋体" w:eastAsia="宋体" w:cs="宋体"/>
                <w:i w:val="0"/>
                <w:iCs w:val="0"/>
                <w:snapToGrid/>
                <w:color w:val="000000"/>
                <w:kern w:val="0"/>
                <w:sz w:val="20"/>
                <w:szCs w:val="20"/>
                <w:u w:val="none"/>
                <w:lang w:val="en-US" w:eastAsia="zh-CN" w:bidi="ar"/>
              </w:rPr>
              <w:t>输入模块</w:t>
            </w:r>
          </w:p>
          <w:p w14:paraId="4FA723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2497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JBF5131A</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81C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4C0C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DC 24V总线，接收无源干接点信号，动作指示灯红色，静态电流≤500μA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C03D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18.47</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6BE4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9983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30EB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50DF1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D5FB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5</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33E3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0"/>
                <w:sz w:val="20"/>
                <w:szCs w:val="20"/>
                <w:u w:val="none"/>
                <w:lang w:val="en-US" w:eastAsia="zh-CN" w:bidi="ar"/>
              </w:rPr>
            </w:pPr>
            <w:r>
              <w:rPr>
                <w:rFonts w:hint="eastAsia" w:ascii="宋体" w:hAnsi="宋体" w:eastAsia="宋体" w:cs="宋体"/>
                <w:i w:val="0"/>
                <w:iCs w:val="0"/>
                <w:snapToGrid/>
                <w:color w:val="000000"/>
                <w:kern w:val="0"/>
                <w:sz w:val="20"/>
                <w:szCs w:val="20"/>
                <w:u w:val="none"/>
                <w:lang w:val="en-US" w:eastAsia="zh-CN" w:bidi="ar"/>
              </w:rPr>
              <w:t>输出模块</w:t>
            </w:r>
          </w:p>
          <w:p w14:paraId="318761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491A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JBF5142</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4CC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5BEA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DC 24V总线，1组常开/常闭触点，容量1A/30VDC，静态电流≤0.5mA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57B5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30.59</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389F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EF05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AEB9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0E4B7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01C5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6</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3B9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0"/>
                <w:sz w:val="20"/>
                <w:szCs w:val="20"/>
                <w:u w:val="none"/>
                <w:lang w:val="en-US" w:eastAsia="zh-CN" w:bidi="ar"/>
              </w:rPr>
            </w:pPr>
            <w:r>
              <w:rPr>
                <w:rFonts w:hint="eastAsia" w:ascii="宋体" w:hAnsi="宋体" w:eastAsia="宋体" w:cs="宋体"/>
                <w:i w:val="0"/>
                <w:iCs w:val="0"/>
                <w:snapToGrid/>
                <w:color w:val="000000"/>
                <w:kern w:val="0"/>
                <w:sz w:val="20"/>
                <w:szCs w:val="20"/>
                <w:u w:val="none"/>
                <w:lang w:val="en-US" w:eastAsia="zh-CN" w:bidi="ar"/>
              </w:rPr>
              <w:t>隔离模块</w:t>
            </w:r>
          </w:p>
          <w:p w14:paraId="024B5C9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D2E4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JBF5141</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1E74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757E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DC 24V总线，短路隔离，保护≤40个总线设备，短路响应≤200ms，自动恢复</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5D59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17.31</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1BF5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6CFC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A723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2E9D3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984D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7</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A20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0"/>
                <w:sz w:val="20"/>
                <w:szCs w:val="20"/>
                <w:u w:val="none"/>
                <w:lang w:val="en-US" w:eastAsia="zh-CN" w:bidi="ar"/>
              </w:rPr>
            </w:pPr>
            <w:r>
              <w:rPr>
                <w:rFonts w:hint="eastAsia" w:ascii="宋体" w:hAnsi="宋体" w:eastAsia="宋体" w:cs="宋体"/>
                <w:i w:val="0"/>
                <w:iCs w:val="0"/>
                <w:snapToGrid/>
                <w:color w:val="000000"/>
                <w:kern w:val="0"/>
                <w:sz w:val="20"/>
                <w:szCs w:val="20"/>
                <w:u w:val="none"/>
                <w:lang w:val="en-US" w:eastAsia="zh-CN" w:bidi="ar"/>
              </w:rPr>
              <w:t>消火栓按钮</w:t>
            </w:r>
          </w:p>
          <w:p w14:paraId="1466ECF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0F31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JBF4123B</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3C63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0172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DC 24V总线，机械锁定，带启动/回答指示灯，防护IP54，复位用钥匙</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9276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23.37</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A556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9CF4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49CC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4A3B6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96E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8</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1B65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0"/>
                <w:sz w:val="20"/>
                <w:szCs w:val="20"/>
                <w:u w:val="none"/>
                <w:lang w:val="en-US" w:eastAsia="zh-CN" w:bidi="ar"/>
              </w:rPr>
            </w:pPr>
            <w:r>
              <w:rPr>
                <w:rFonts w:hint="eastAsia" w:ascii="宋体" w:hAnsi="宋体" w:eastAsia="宋体" w:cs="宋体"/>
                <w:i w:val="0"/>
                <w:iCs w:val="0"/>
                <w:snapToGrid/>
                <w:color w:val="000000"/>
                <w:kern w:val="0"/>
                <w:sz w:val="20"/>
                <w:szCs w:val="20"/>
                <w:u w:val="none"/>
                <w:lang w:val="en-US" w:eastAsia="zh-CN" w:bidi="ar"/>
              </w:rPr>
              <w:t>手动报警按钮</w:t>
            </w:r>
          </w:p>
          <w:p w14:paraId="706E59B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C09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JBF4121B-P</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A829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B81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DC 24V总线，按压玻璃片报警，钥匙复位，防护IP54，红色PC外壳</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CA78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22.22</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4837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58C6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2160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592BA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1C07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9</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B2FE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声光报警器二线（北大青鸟兼容）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E998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JBF5176A</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C847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430B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DC 24V二总线供电通讯，声压≥85dB@3m，LED闪频1~2Hz，动作电流≤25mA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4E71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34.56</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C04E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1AE0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5BD5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5AC19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A887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10</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20AD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0"/>
                <w:sz w:val="20"/>
                <w:szCs w:val="20"/>
                <w:u w:val="none"/>
                <w:lang w:val="en-US" w:eastAsia="zh-CN" w:bidi="ar"/>
              </w:rPr>
            </w:pPr>
            <w:r>
              <w:rPr>
                <w:rFonts w:hint="eastAsia" w:ascii="宋体" w:hAnsi="宋体" w:eastAsia="宋体" w:cs="宋体"/>
                <w:i w:val="0"/>
                <w:iCs w:val="0"/>
                <w:snapToGrid/>
                <w:color w:val="000000"/>
                <w:kern w:val="0"/>
                <w:sz w:val="20"/>
                <w:szCs w:val="20"/>
                <w:u w:val="none"/>
                <w:lang w:val="en-US" w:eastAsia="zh-CN" w:bidi="ar"/>
              </w:rPr>
              <w:t>消防电话分机</w:t>
            </w:r>
          </w:p>
          <w:p w14:paraId="24B9FB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（北大青鸟兼容）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DE92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DH9271（多线制）</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783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2D5D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多线制，DC 24V（主机供电），一键呼叫消防电话主机，振铃声级≥70dB</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8C8E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53.10</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2D8D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ED35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F0CC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569D7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60A3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11</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8A29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消防箱箱体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0C5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95×65（cm）</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B47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160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碳钢Q235，板厚≥1.2mm，静电喷涂红色（RAL3000），开门方式单/双门</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986D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120</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1AD6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0A6B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1155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3E347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A1F4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12</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A6A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消防水带</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21E6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DN65</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AF7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388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涤纶长丝编织+聚氨酯内衬，工作压力≥0.8MPa，长度20m，带KD65铝接口</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6363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108.21</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1783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0574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7764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0BAD2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2E59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13</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7D7B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消防软管卷盘</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321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DN15</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6447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4D8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软管内径19mm，长度25m或30m，工作压力0.4~1.0MPa，配直流/雾化喷枪</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495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129.86</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7D6F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B5A9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427C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5D364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E203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14</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798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铜枪头</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E952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DN65</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94C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EAE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黄铜（HPb59-1），直流/开花两用，带开关阀，工作压力≤1.6MPa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4575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14.40</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434F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093E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BAB9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76B8F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328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15</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A0C1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铝枪头</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C711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DN65</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E0C5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B47B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铝合金（ZL102），阳极氧化，重量轻，工作压力≤1.6MPa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EBE3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23.04</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8238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D7F6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8EE6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095F0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358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16</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2B39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消火栓栓头</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9F42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DN65</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F5E5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1ED4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球墨铸铁阀体（QT450），铜阀杆，公称压力1.6MPa，减压稳压型，出口KWS65</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62EF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60.48</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6506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F4D1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5669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391B8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4512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17</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9A4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压力表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2E46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1.6MPa Y-100</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F8D7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0DE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表盘100mm，精度1.6级，接口M20×1.5，测量介质水/气体，温度≤80℃</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7D56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14.43</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AC08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49FB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D5C9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690A4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500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18</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58CE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压力表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DF83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2.5MPa Y-100</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1BF0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65AA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同上，量程0~2.5MPa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CEAE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25.97</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704A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440E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57A9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5D434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B2A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19</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9E9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消防喷淋头</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5483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DN15</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A97A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9D65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玻璃球式，公称动作温度68℃（红色），流量系数K=80，工作压力0.1~1.2MPa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0140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4.33</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7A4E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98F2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2E80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76469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1A8A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20</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FC43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安全出口指示牌</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39F5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单面，220V</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DB76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95F8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LED光源，应急时间≥90min，表面亮度≥50cd/m²，功率≤3W，铝框+玻璃面板</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F7F1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17.31</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881E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A20B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CE09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2B6DE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3AF4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21</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02E6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疏散指示牌</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BB8A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单面，220V</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3886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C50C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指示方向：左/右/双向/无方向，LED光源，应急时间≥90min，表面亮度≥50cd/m²，功率≤3W，铝框+玻璃面板</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234F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17.31</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60D0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237B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2D30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715D7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0FA5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22</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63E5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应急照明灯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C144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单面，220V</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D01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D524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LED 2×3W或2×5W，应急时间≥90min，转换时间≤5s，光通量≥50lm</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8426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23.09</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F833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C041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E4E7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1EDB4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5283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23</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EA54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防烟面罩</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8526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TZL30</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9208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0947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过滤式自救呼吸器，防护CO≥30min，滤烟效率≥95%，吸气阻力≤800Pa</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C430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25.97</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0AC9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3D8B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B2E5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4C1CD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6AE4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24</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EBD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干粉灭火器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2C19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4kg</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3DC2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6F09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ABC干粉（磷酸铵盐），灭火级别2A,55B，喷射时间≥13s，喷射距离≥3.5m</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4FA7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60</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CDC8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A70D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BB3D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7E87F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0D6A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25</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0A37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干粉灭火器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F8C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5kg</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DDF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0049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ABC干粉，灭火级别3A,89B，喷射时间≥15s，喷射距离≥4m</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B999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70</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DFCF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9843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1106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76737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A7D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26</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2D50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灭火器收纳箱</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0C2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适配4/5kg×2</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A7A3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8D79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碳钢Q235，板厚≥0.8mm，静电喷涂红色，正面印“灭火器箱”，开启方式翻盖或对开门</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6A3A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48.96</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B520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E87E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8826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27480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DDBB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27</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BFDF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防火门闭门器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69B7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适用门重45~85kg</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A549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004D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液压调速，两段调速（180°~15°/15°~0°），使用寿命≥20万次，明装</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4AF2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120</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4677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CEA5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FEDB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47F28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45D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28</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3134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防火门门锁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28C6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3F85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155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不锈钢或锌合金锁体，耐火试验≥1.5h内锁体不失效，遇热不自动开门</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5DC6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60</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AADB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EFBC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CD7C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5422D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0FB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29</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CE87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防火门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BEB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含安装和配件费用</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3584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平方米</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C80A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甲级（≥1.5h），钢质，内填防火材料，配密封条</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C345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548.29</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46BA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FC6D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5BA1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20B70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CC88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30</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E12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灭火器检修充装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9BA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4kg</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6A29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具</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849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干粉灭火器检修：筒体水压试验（2.1MPa）、灭火剂充装（ABC干粉纯度≥90%）、驱动气体充装（氮气压力1.2MPa）、更换老化密封件</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313C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14.43</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A7F5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239D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7F7B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6A31F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85A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31</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CA8A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灭火器检修充装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47C3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5kg</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3A6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具</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9663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同上，5kg筒体水压试验相同，充装量5kg±0.05kg</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5A17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17.31</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8E28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2E0B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69FE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64C6E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C71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32</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050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不锈钢铁马护栏</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804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1200mm×1500mm</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B91C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1615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材质：201不锈钢，厚度0.6mm；外管Φ32，内管Φ18；竖管5根；单个重量≥3.2kg；尺寸：1200mm×1500mm；焊接牢固、防锈耐用、便于移动拼接。</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31B8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195</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A529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0504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B02D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r w14:paraId="0E3EF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3D47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33</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3CE7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不锈钢铁马护栏</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F4E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1200mm×2000mm</w:t>
            </w:r>
          </w:p>
        </w:tc>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D1B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个</w:t>
            </w:r>
          </w:p>
        </w:tc>
        <w:tc>
          <w:tcPr>
            <w:tcW w:w="1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61D0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snapToGrid/>
                <w:color w:val="000000"/>
                <w:kern w:val="2"/>
                <w:sz w:val="20"/>
                <w:szCs w:val="20"/>
                <w:u w:val="none"/>
                <w:lang w:eastAsia="zh-CN"/>
              </w:rPr>
            </w:pPr>
            <w:r>
              <w:rPr>
                <w:rFonts w:hint="eastAsia" w:ascii="宋体" w:hAnsi="宋体" w:eastAsia="宋体" w:cs="宋体"/>
                <w:i w:val="0"/>
                <w:iCs w:val="0"/>
                <w:snapToGrid/>
                <w:color w:val="000000"/>
                <w:kern w:val="0"/>
                <w:sz w:val="20"/>
                <w:szCs w:val="20"/>
                <w:u w:val="none"/>
                <w:lang w:val="en-US" w:eastAsia="zh-CN" w:bidi="ar"/>
              </w:rPr>
              <w:t>材质：201不锈钢，厚度0.6mm；外管Φ32，内管Φ18；竖管5根；单个重量≥4.0kg；尺寸：1200mm×2000mm；焊接牢固、防锈耐用、便于移动拼接。</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EC4A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i w:val="0"/>
                <w:iCs w:val="0"/>
                <w:snapToGrid/>
                <w:color w:val="auto"/>
                <w:kern w:val="2"/>
                <w:sz w:val="20"/>
                <w:szCs w:val="20"/>
                <w:u w:val="none"/>
                <w:lang w:eastAsia="zh-CN"/>
              </w:rPr>
            </w:pPr>
            <w:r>
              <w:rPr>
                <w:rFonts w:hint="eastAsia" w:ascii="宋体" w:hAnsi="宋体" w:eastAsia="宋体" w:cs="宋体"/>
                <w:i w:val="0"/>
                <w:iCs w:val="0"/>
                <w:snapToGrid/>
                <w:color w:val="auto"/>
                <w:kern w:val="0"/>
                <w:sz w:val="20"/>
                <w:szCs w:val="20"/>
                <w:u w:val="none"/>
                <w:lang w:val="en-US" w:eastAsia="zh-CN" w:bidi="ar"/>
              </w:rPr>
              <w:t>236</w:t>
            </w: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7A57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9BBD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B3F0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i w:val="0"/>
                <w:iCs w:val="0"/>
                <w:snapToGrid/>
                <w:color w:val="000000"/>
                <w:kern w:val="2"/>
                <w:sz w:val="20"/>
                <w:szCs w:val="20"/>
                <w:u w:val="none"/>
                <w:lang w:eastAsia="zh-CN"/>
              </w:rPr>
            </w:pPr>
          </w:p>
        </w:tc>
      </w:tr>
    </w:tbl>
    <w:p w14:paraId="69575788">
      <w:pPr>
        <w:widowControl w:val="0"/>
        <w:kinsoku/>
        <w:autoSpaceDE/>
        <w:autoSpaceDN/>
        <w:adjustRightInd/>
        <w:snapToGrid/>
        <w:jc w:val="both"/>
        <w:textAlignment w:val="auto"/>
        <w:rPr>
          <w:rFonts w:hint="eastAsia" w:ascii="Calibri" w:hAnsi="Calibri" w:eastAsia="宋体" w:cs="Times New Roman"/>
          <w:b/>
          <w:bCs/>
          <w:snapToGrid/>
          <w:kern w:val="2"/>
          <w:szCs w:val="24"/>
          <w:lang w:val="en-US" w:eastAsia="zh-CN"/>
        </w:rPr>
      </w:pPr>
    </w:p>
    <w:p w14:paraId="68E4374C">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Calibri" w:hAnsi="Calibri" w:eastAsia="宋体" w:cs="Times New Roman"/>
          <w:b/>
          <w:bCs/>
          <w:snapToGrid/>
          <w:kern w:val="2"/>
          <w:szCs w:val="24"/>
          <w:lang w:val="en-US" w:eastAsia="zh-CN"/>
        </w:rPr>
      </w:pPr>
      <w:r>
        <w:rPr>
          <w:rFonts w:hint="eastAsia" w:ascii="Calibri" w:hAnsi="Calibri" w:eastAsia="宋体" w:cs="Times New Roman"/>
          <w:b/>
          <w:bCs/>
          <w:snapToGrid/>
          <w:kern w:val="2"/>
          <w:szCs w:val="24"/>
          <w:lang w:val="en-US" w:eastAsia="zh-CN"/>
        </w:rPr>
        <w:t>说明：</w:t>
      </w:r>
    </w:p>
    <w:p w14:paraId="76FA7381">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default" w:ascii="Calibri" w:hAnsi="Calibri" w:eastAsia="宋体" w:cs="Times New Roman"/>
          <w:b/>
          <w:bCs/>
          <w:snapToGrid/>
          <w:kern w:val="2"/>
          <w:szCs w:val="24"/>
          <w:lang w:val="en-US" w:eastAsia="zh-CN"/>
        </w:rPr>
      </w:pPr>
      <w:r>
        <w:rPr>
          <w:rFonts w:hint="eastAsia" w:ascii="Calibri" w:hAnsi="Calibri" w:eastAsia="宋体" w:cs="Times New Roman"/>
          <w:b/>
          <w:bCs/>
          <w:snapToGrid/>
          <w:kern w:val="2"/>
          <w:szCs w:val="24"/>
          <w:lang w:val="en-US" w:eastAsia="zh-CN"/>
        </w:rPr>
        <w:t>1.供货时间：响应供应商应保证充足的货物，保证供货，在收到采购人下单通知后3个自然日内把指定货物交付到中山市东升医院指定地方</w:t>
      </w:r>
    </w:p>
    <w:p w14:paraId="69FB2779">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Calibri" w:hAnsi="Calibri" w:eastAsia="宋体" w:cs="Times New Roman"/>
          <w:b/>
          <w:bCs/>
          <w:snapToGrid/>
          <w:kern w:val="2"/>
          <w:szCs w:val="24"/>
          <w:lang w:val="en-US" w:eastAsia="zh-CN"/>
        </w:rPr>
      </w:pPr>
      <w:r>
        <w:rPr>
          <w:rFonts w:hint="eastAsia" w:ascii="Calibri" w:hAnsi="Calibri" w:eastAsia="宋体" w:cs="Times New Roman"/>
          <w:b/>
          <w:bCs/>
          <w:snapToGrid/>
          <w:kern w:val="2"/>
          <w:szCs w:val="24"/>
          <w:lang w:val="en-US" w:eastAsia="zh-CN"/>
        </w:rPr>
        <w:t>2.报价要求：应为人民币含税全包价，包括货物、人工费、包装费、运杂费、保险费、卸车费、配合费、检测费、配送费、税金(普票)及本项目实施过程中需要的所有费用，采购人不再单独支付其他费用。</w:t>
      </w:r>
    </w:p>
    <w:p w14:paraId="2E7D98A1">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Calibri" w:hAnsi="Calibri" w:eastAsia="宋体" w:cs="Times New Roman"/>
          <w:snapToGrid/>
          <w:kern w:val="2"/>
          <w:szCs w:val="24"/>
          <w:lang w:val="en-US" w:eastAsia="zh-CN"/>
        </w:rPr>
      </w:pPr>
      <w:r>
        <w:rPr>
          <w:rFonts w:hint="eastAsia" w:ascii="Calibri" w:hAnsi="Calibri" w:eastAsia="宋体" w:cs="Times New Roman"/>
          <w:b/>
          <w:bCs/>
          <w:snapToGrid/>
          <w:kern w:val="2"/>
          <w:szCs w:val="24"/>
          <w:lang w:val="en-US" w:eastAsia="zh-CN"/>
        </w:rPr>
        <w:t>3.按实结算：协议供货，供货期内采购人可按照实际使用需要分批次要求成交供应商供货，并按批次结算。合同无预付款，每批次订货无预付款。</w:t>
      </w:r>
    </w:p>
    <w:p w14:paraId="1735FC70">
      <w:pPr>
        <w:rPr>
          <w:rFonts w:ascii="宋体" w:hAnsi="宋体" w:eastAsia="宋体" w:cs="宋体"/>
          <w:b/>
          <w:bCs/>
          <w:spacing w:val="5"/>
          <w:sz w:val="20"/>
          <w:szCs w:val="20"/>
          <w:lang w:eastAsia="zh-CN"/>
        </w:rPr>
      </w:pPr>
    </w:p>
    <w:p w14:paraId="0F6B389B">
      <w:pPr>
        <w:rPr>
          <w:rFonts w:ascii="宋体" w:hAnsi="宋体" w:eastAsia="宋体" w:cs="宋体"/>
          <w:b/>
          <w:bCs/>
          <w:spacing w:val="5"/>
          <w:sz w:val="20"/>
          <w:szCs w:val="20"/>
          <w:lang w:eastAsia="zh-CN"/>
        </w:rPr>
      </w:pPr>
    </w:p>
    <w:p w14:paraId="423BCC10">
      <w:pPr>
        <w:rPr>
          <w:rFonts w:ascii="宋体" w:hAnsi="宋体" w:eastAsia="宋体" w:cs="宋体"/>
          <w:b/>
          <w:bCs/>
          <w:spacing w:val="5"/>
          <w:sz w:val="20"/>
          <w:szCs w:val="20"/>
          <w:lang w:eastAsia="zh-CN"/>
        </w:rPr>
      </w:pPr>
    </w:p>
    <w:p w14:paraId="5174352E">
      <w:pPr>
        <w:rPr>
          <w:rFonts w:ascii="宋体" w:hAnsi="宋体" w:eastAsia="宋体" w:cs="宋体"/>
          <w:b/>
          <w:bCs/>
          <w:spacing w:val="5"/>
          <w:sz w:val="20"/>
          <w:szCs w:val="20"/>
          <w:lang w:eastAsia="zh-CN"/>
        </w:rPr>
      </w:pPr>
    </w:p>
    <w:p w14:paraId="66C185EE">
      <w:pPr>
        <w:rPr>
          <w:rFonts w:ascii="宋体" w:hAnsi="宋体" w:eastAsia="宋体" w:cs="宋体"/>
          <w:b/>
          <w:bCs/>
          <w:spacing w:val="5"/>
          <w:sz w:val="20"/>
          <w:szCs w:val="20"/>
          <w:lang w:eastAsia="zh-CN"/>
        </w:rPr>
      </w:pPr>
    </w:p>
    <w:p w14:paraId="120C860E">
      <w:pPr>
        <w:rPr>
          <w:rFonts w:ascii="宋体" w:hAnsi="宋体" w:eastAsia="宋体" w:cs="宋体"/>
          <w:b/>
          <w:bCs/>
          <w:spacing w:val="5"/>
          <w:sz w:val="20"/>
          <w:szCs w:val="20"/>
          <w:lang w:eastAsia="zh-CN"/>
        </w:rPr>
      </w:pPr>
    </w:p>
    <w:p w14:paraId="273E9DC0">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2D05F82E">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D812FB1">
      <w:pPr>
        <w:rPr>
          <w:rFonts w:ascii="宋体" w:hAnsi="宋体" w:eastAsia="宋体" w:cs="宋体"/>
          <w:b/>
          <w:bCs/>
          <w:spacing w:val="5"/>
          <w:sz w:val="20"/>
          <w:szCs w:val="20"/>
          <w:lang w:eastAsia="zh-CN"/>
        </w:rPr>
      </w:pPr>
      <w:r>
        <w:rPr>
          <w:rFonts w:ascii="宋体" w:hAnsi="宋体" w:eastAsia="宋体" w:cs="宋体"/>
          <w:spacing w:val="-2"/>
          <w:sz w:val="24"/>
          <w:szCs w:val="24"/>
          <w:lang w:eastAsia="zh-CN"/>
        </w:rPr>
        <w:t>__</w:t>
      </w:r>
      <w:r>
        <w:rPr>
          <w:rFonts w:ascii="宋体" w:hAnsi="宋体" w:eastAsia="宋体" w:cs="宋体"/>
          <w:spacing w:val="-2"/>
          <w:sz w:val="24"/>
          <w:szCs w:val="24"/>
          <w:u w:val="single"/>
          <w:lang w:eastAsia="zh-CN"/>
        </w:rPr>
        <w:t>_</w:t>
      </w:r>
      <w:r>
        <w:rPr>
          <w:rFonts w:hint="eastAsia" w:ascii="宋体" w:hAnsi="宋体" w:eastAsia="宋体" w:cs="宋体"/>
          <w:spacing w:val="-2"/>
          <w:sz w:val="24"/>
          <w:szCs w:val="24"/>
          <w:u w:val="single"/>
          <w:lang w:val="en-US" w:eastAsia="zh-CN"/>
        </w:rPr>
        <w:t xml:space="preserve">    </w:t>
      </w:r>
      <w:r>
        <w:rPr>
          <w:rFonts w:ascii="宋体" w:hAnsi="宋体" w:eastAsia="宋体" w:cs="宋体"/>
          <w:spacing w:val="-2"/>
          <w:sz w:val="24"/>
          <w:szCs w:val="24"/>
          <w:lang w:eastAsia="zh-CN"/>
        </w:rPr>
        <w:t>__年</w:t>
      </w:r>
      <w:r>
        <w:rPr>
          <w:rFonts w:ascii="宋体" w:hAnsi="宋体" w:eastAsia="宋体" w:cs="宋体"/>
          <w:spacing w:val="-2"/>
          <w:sz w:val="24"/>
          <w:szCs w:val="24"/>
          <w:u w:val="single"/>
          <w:lang w:eastAsia="zh-CN"/>
        </w:rPr>
        <w:t xml:space="preserve"> </w:t>
      </w:r>
      <w:r>
        <w:rPr>
          <w:rFonts w:hint="eastAsia" w:ascii="宋体" w:hAnsi="宋体" w:eastAsia="宋体" w:cs="宋体"/>
          <w:spacing w:val="-2"/>
          <w:sz w:val="24"/>
          <w:szCs w:val="24"/>
          <w:u w:val="single"/>
          <w:lang w:val="en-US" w:eastAsia="zh-CN"/>
        </w:rPr>
        <w:t xml:space="preserve">    </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hint="eastAsia" w:ascii="宋体" w:hAnsi="宋体" w:eastAsia="宋体" w:cs="宋体"/>
          <w:spacing w:val="-2"/>
          <w:sz w:val="24"/>
          <w:szCs w:val="24"/>
          <w:u w:val="single"/>
          <w:lang w:val="en-US" w:eastAsia="zh-CN"/>
        </w:rPr>
        <w:t xml:space="preserve">  </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133AC01C">
      <w:pPr>
        <w:rPr>
          <w:rFonts w:ascii="宋体" w:hAnsi="宋体" w:eastAsia="宋体" w:cs="宋体"/>
          <w:b/>
          <w:bCs/>
          <w:spacing w:val="5"/>
          <w:sz w:val="20"/>
          <w:szCs w:val="20"/>
          <w:lang w:eastAsia="zh-CN"/>
        </w:rPr>
      </w:pPr>
    </w:p>
    <w:p w14:paraId="14FD8636">
      <w:pPr>
        <w:rPr>
          <w:rFonts w:ascii="宋体" w:hAnsi="宋体" w:eastAsia="宋体" w:cs="宋体"/>
          <w:b/>
          <w:bCs/>
          <w:spacing w:val="5"/>
          <w:sz w:val="20"/>
          <w:szCs w:val="20"/>
          <w:lang w:eastAsia="zh-CN"/>
        </w:rPr>
      </w:pPr>
    </w:p>
    <w:p w14:paraId="5087CB0A">
      <w:pPr>
        <w:rPr>
          <w:rFonts w:ascii="宋体" w:hAnsi="宋体" w:eastAsia="宋体" w:cs="宋体"/>
          <w:b/>
          <w:bCs/>
          <w:spacing w:val="5"/>
          <w:sz w:val="20"/>
          <w:szCs w:val="20"/>
          <w:lang w:eastAsia="zh-CN"/>
        </w:rPr>
      </w:pPr>
      <w:r>
        <w:rPr>
          <w:rFonts w:ascii="宋体" w:hAnsi="宋体" w:eastAsia="宋体" w:cs="宋体"/>
          <w:b/>
          <w:bCs/>
          <w:spacing w:val="5"/>
          <w:sz w:val="20"/>
          <w:szCs w:val="20"/>
          <w:lang w:eastAsia="zh-CN"/>
        </w:rPr>
        <w:br w:type="page"/>
      </w:r>
    </w:p>
    <w:p w14:paraId="21A9EF19">
      <w:pPr>
        <w:spacing w:before="41" w:line="228" w:lineRule="auto"/>
        <w:outlineLvl w:val="0"/>
        <w:rPr>
          <w:rFonts w:ascii="宋体" w:hAnsi="宋体" w:eastAsia="宋体" w:cs="宋体"/>
          <w:b/>
          <w:bCs/>
          <w:spacing w:val="5"/>
          <w:sz w:val="20"/>
          <w:szCs w:val="20"/>
          <w:lang w:eastAsia="zh-CN"/>
        </w:rPr>
        <w:sectPr>
          <w:pgSz w:w="16840" w:h="11900" w:orient="landscape"/>
          <w:pgMar w:top="850" w:right="1077" w:bottom="850" w:left="1077" w:header="0" w:footer="0" w:gutter="0"/>
          <w:cols w:space="720" w:num="1"/>
        </w:sectPr>
      </w:pP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2"/>
        <w:spacing w:line="325" w:lineRule="auto"/>
        <w:rPr>
          <w:lang w:eastAsia="zh-CN"/>
        </w:rPr>
      </w:pPr>
    </w:p>
    <w:p w14:paraId="0DF79E5D">
      <w:pPr>
        <w:pStyle w:val="2"/>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中山市东升医院2026-2028年度消防维护保养及配件更换项目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2"/>
        <w:spacing w:line="281" w:lineRule="auto"/>
        <w:rPr>
          <w:lang w:eastAsia="zh-CN"/>
        </w:rPr>
      </w:pPr>
    </w:p>
    <w:p w14:paraId="531F2256">
      <w:pPr>
        <w:pStyle w:val="2"/>
        <w:spacing w:line="281" w:lineRule="auto"/>
        <w:rPr>
          <w:lang w:eastAsia="zh-CN"/>
        </w:rPr>
      </w:pPr>
    </w:p>
    <w:p w14:paraId="1757552E">
      <w:pPr>
        <w:pStyle w:val="2"/>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包括但不限于消防技术服务相关内容</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2"/>
        <w:spacing w:line="264" w:lineRule="auto"/>
        <w:rPr>
          <w:lang w:eastAsia="zh-CN"/>
        </w:rPr>
      </w:pPr>
    </w:p>
    <w:p w14:paraId="7669B1F2">
      <w:pPr>
        <w:pStyle w:val="2"/>
        <w:spacing w:line="264" w:lineRule="auto"/>
        <w:rPr>
          <w:lang w:eastAsia="zh-CN"/>
        </w:rPr>
      </w:pPr>
    </w:p>
    <w:p w14:paraId="35AD54B7">
      <w:pPr>
        <w:pStyle w:val="2"/>
        <w:spacing w:line="265" w:lineRule="auto"/>
        <w:rPr>
          <w:lang w:eastAsia="zh-CN"/>
        </w:rPr>
      </w:pPr>
    </w:p>
    <w:p w14:paraId="2B647D9C">
      <w:pPr>
        <w:pStyle w:val="2"/>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2"/>
        <w:spacing w:line="296" w:lineRule="auto"/>
        <w:rPr>
          <w:lang w:eastAsia="zh-CN"/>
        </w:rPr>
      </w:pPr>
    </w:p>
    <w:p w14:paraId="6CE3F126">
      <w:pPr>
        <w:pStyle w:val="2"/>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2"/>
        <w:spacing w:line="296" w:lineRule="auto"/>
        <w:rPr>
          <w:lang w:eastAsia="zh-CN"/>
        </w:rPr>
      </w:pPr>
    </w:p>
    <w:p w14:paraId="161E9A72">
      <w:pPr>
        <w:pStyle w:val="2"/>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2"/>
        <w:spacing w:line="267" w:lineRule="auto"/>
        <w:rPr>
          <w:lang w:eastAsia="zh-CN"/>
        </w:rPr>
      </w:pPr>
    </w:p>
    <w:p w14:paraId="74CD3E9F">
      <w:pPr>
        <w:pStyle w:val="2"/>
        <w:spacing w:line="267" w:lineRule="auto"/>
        <w:rPr>
          <w:lang w:eastAsia="zh-CN"/>
        </w:rPr>
      </w:pPr>
    </w:p>
    <w:p w14:paraId="663913BF">
      <w:pPr>
        <w:pStyle w:val="2"/>
        <w:spacing w:line="267" w:lineRule="auto"/>
        <w:rPr>
          <w:lang w:eastAsia="zh-CN"/>
        </w:rPr>
      </w:pPr>
    </w:p>
    <w:p w14:paraId="37346176">
      <w:pPr>
        <w:pStyle w:val="2"/>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2"/>
        <w:spacing w:line="273" w:lineRule="auto"/>
      </w:pPr>
    </w:p>
    <w:p w14:paraId="59ACC4F7">
      <w:pPr>
        <w:pStyle w:val="2"/>
        <w:spacing w:line="273" w:lineRule="auto"/>
      </w:pPr>
    </w:p>
    <w:p w14:paraId="72D9DF12">
      <w:pPr>
        <w:pStyle w:val="2"/>
        <w:spacing w:line="273" w:lineRule="auto"/>
      </w:pPr>
    </w:p>
    <w:p w14:paraId="32571043">
      <w:pPr>
        <w:pStyle w:val="2"/>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2"/>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2"/>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中山市东升医院2026-2028年度消防维护保养及配件更换项目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2"/>
        <w:spacing w:line="283" w:lineRule="auto"/>
        <w:rPr>
          <w:lang w:eastAsia="zh-CN"/>
        </w:rPr>
      </w:pPr>
    </w:p>
    <w:p w14:paraId="6F145D85">
      <w:pPr>
        <w:pStyle w:val="2"/>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2"/>
        <w:spacing w:line="277" w:lineRule="auto"/>
        <w:rPr>
          <w:lang w:eastAsia="zh-CN"/>
        </w:rPr>
      </w:pPr>
    </w:p>
    <w:p w14:paraId="130A4A24">
      <w:pPr>
        <w:pStyle w:val="2"/>
        <w:spacing w:line="277" w:lineRule="auto"/>
        <w:rPr>
          <w:lang w:eastAsia="zh-CN"/>
        </w:rPr>
      </w:pPr>
    </w:p>
    <w:p w14:paraId="379E201F">
      <w:pPr>
        <w:pStyle w:val="2"/>
        <w:spacing w:line="277" w:lineRule="auto"/>
        <w:rPr>
          <w:lang w:eastAsia="zh-CN"/>
        </w:rPr>
      </w:pPr>
    </w:p>
    <w:p w14:paraId="4C47DA1B">
      <w:pPr>
        <w:pStyle w:val="2"/>
        <w:spacing w:line="278" w:lineRule="auto"/>
        <w:rPr>
          <w:lang w:eastAsia="zh-CN"/>
        </w:rPr>
      </w:pPr>
    </w:p>
    <w:p w14:paraId="4CD07A94">
      <w:pPr>
        <w:pStyle w:val="2"/>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5F9EBEDF">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十一、响应供应商须已在“社会消防技术服务信息系统”完成备案，且备案的服务类型包含消防设施维护保养检测。（提供相关证明文件或截图）</w:t>
      </w:r>
    </w:p>
    <w:p w14:paraId="16909AC6">
      <w:pPr>
        <w:rPr>
          <w:rFonts w:hint="default"/>
          <w:lang w:val="en-US" w:eastAsia="zh-CN"/>
        </w:rPr>
      </w:pPr>
      <w:r>
        <w:rPr>
          <w:rFonts w:hint="default"/>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2"/>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1"/>
        <w:tblW w:w="9859" w:type="dxa"/>
        <w:tblInd w:w="-4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34" w:type="dxa"/>
          <w:bottom w:w="57" w:type="dxa"/>
          <w:right w:w="34" w:type="dxa"/>
        </w:tblCellMar>
      </w:tblPr>
      <w:tblGrid>
        <w:gridCol w:w="659"/>
        <w:gridCol w:w="5810"/>
        <w:gridCol w:w="1317"/>
        <w:gridCol w:w="1141"/>
        <w:gridCol w:w="932"/>
      </w:tblGrid>
      <w:tr w14:paraId="48901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926" w:hRule="atLeast"/>
        </w:trPr>
        <w:tc>
          <w:tcPr>
            <w:tcW w:w="659" w:type="dxa"/>
            <w:vAlign w:val="center"/>
          </w:tcPr>
          <w:p w14:paraId="5BDB5DDC">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rPr>
            </w:pPr>
            <w:r>
              <w:rPr>
                <w:rFonts w:hint="eastAsia" w:ascii="宋体" w:hAnsi="宋体" w:eastAsia="宋体" w:cs="宋体"/>
                <w:b/>
                <w:bCs/>
                <w:spacing w:val="5"/>
              </w:rPr>
              <w:t>序号</w:t>
            </w:r>
          </w:p>
        </w:tc>
        <w:tc>
          <w:tcPr>
            <w:tcW w:w="5810" w:type="dxa"/>
            <w:vAlign w:val="center"/>
          </w:tcPr>
          <w:p w14:paraId="3674397B">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rPr>
            </w:pPr>
            <w:r>
              <w:rPr>
                <w:rFonts w:hint="eastAsia" w:ascii="宋体" w:hAnsi="宋体" w:eastAsia="宋体" w:cs="宋体"/>
                <w:b/>
                <w:bCs/>
                <w:spacing w:val="8"/>
              </w:rPr>
              <w:t>采购需求的要求</w:t>
            </w:r>
          </w:p>
        </w:tc>
        <w:tc>
          <w:tcPr>
            <w:tcW w:w="1317" w:type="dxa"/>
            <w:vAlign w:val="center"/>
          </w:tcPr>
          <w:p w14:paraId="0CA0F39F">
            <w:pPr>
              <w:keepNext w:val="0"/>
              <w:keepLines w:val="0"/>
              <w:pageBreakBefore w:val="0"/>
              <w:widowControl/>
              <w:kinsoku w:val="0"/>
              <w:wordWrap/>
              <w:overflowPunct/>
              <w:topLinePunct w:val="0"/>
              <w:autoSpaceDE w:val="0"/>
              <w:autoSpaceDN w:val="0"/>
              <w:bidi w:val="0"/>
              <w:adjustRightInd w:val="0"/>
              <w:snapToGrid w:val="0"/>
              <w:spacing w:line="24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7215C25B">
            <w:pPr>
              <w:keepNext w:val="0"/>
              <w:keepLines w:val="0"/>
              <w:pageBreakBefore w:val="0"/>
              <w:widowControl/>
              <w:kinsoku w:val="0"/>
              <w:wordWrap/>
              <w:overflowPunct/>
              <w:topLinePunct w:val="0"/>
              <w:autoSpaceDE w:val="0"/>
              <w:autoSpaceDN w:val="0"/>
              <w:bidi w:val="0"/>
              <w:adjustRightInd w:val="0"/>
              <w:snapToGrid w:val="0"/>
              <w:spacing w:line="24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53D5C9DE">
            <w:pPr>
              <w:keepNext w:val="0"/>
              <w:keepLines w:val="0"/>
              <w:pageBreakBefore w:val="0"/>
              <w:widowControl/>
              <w:kinsoku w:val="0"/>
              <w:wordWrap/>
              <w:overflowPunct/>
              <w:topLinePunct w:val="0"/>
              <w:autoSpaceDE w:val="0"/>
              <w:autoSpaceDN w:val="0"/>
              <w:bidi w:val="0"/>
              <w:adjustRightInd w:val="0"/>
              <w:snapToGrid w:val="0"/>
              <w:spacing w:line="24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141" w:type="dxa"/>
            <w:vAlign w:val="center"/>
          </w:tcPr>
          <w:p w14:paraId="393D5586">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宋体" w:hAnsi="宋体" w:eastAsia="宋体" w:cs="宋体"/>
                <w:b/>
                <w:bCs/>
                <w:spacing w:val="7"/>
              </w:rPr>
            </w:pPr>
            <w:r>
              <w:rPr>
                <w:rFonts w:hint="eastAsia" w:ascii="宋体" w:hAnsi="宋体" w:eastAsia="宋体" w:cs="宋体"/>
                <w:b/>
                <w:bCs/>
                <w:spacing w:val="7"/>
              </w:rPr>
              <w:t>偏离</w:t>
            </w:r>
          </w:p>
          <w:p w14:paraId="189B2D09">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rPr>
            </w:pPr>
            <w:r>
              <w:rPr>
                <w:rFonts w:hint="eastAsia" w:ascii="宋体" w:hAnsi="宋体" w:eastAsia="宋体" w:cs="宋体"/>
                <w:b/>
                <w:bCs/>
                <w:spacing w:val="7"/>
              </w:rPr>
              <w:t>情况</w:t>
            </w:r>
          </w:p>
        </w:tc>
        <w:tc>
          <w:tcPr>
            <w:tcW w:w="932" w:type="dxa"/>
            <w:vAlign w:val="center"/>
          </w:tcPr>
          <w:p w14:paraId="261E1BC4">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7DFF0214">
            <w:pPr>
              <w:pStyle w:val="2"/>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default"/>
                <w:lang w:val="en-US" w:eastAsia="zh-CN"/>
              </w:rPr>
            </w:pPr>
            <w:r>
              <w:rPr>
                <w:rFonts w:hint="eastAsia" w:ascii="宋体" w:hAnsi="宋体" w:eastAsia="宋体" w:cs="宋体"/>
                <w:b/>
                <w:bCs/>
                <w:spacing w:val="7"/>
                <w:lang w:val="en-US" w:eastAsia="zh-CN"/>
              </w:rPr>
              <w:t>页码</w:t>
            </w:r>
          </w:p>
        </w:tc>
      </w:tr>
      <w:tr w14:paraId="4D2F4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1962" w:hRule="atLeast"/>
        </w:trPr>
        <w:tc>
          <w:tcPr>
            <w:tcW w:w="659"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810" w:type="dxa"/>
          </w:tcPr>
          <w:p w14:paraId="707C695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一、项目概况</w:t>
            </w:r>
          </w:p>
          <w:p w14:paraId="05FD2F1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项目名称：中山市东升医院2026-2028年度消防维护保养及配件更换项目</w:t>
            </w:r>
          </w:p>
          <w:p w14:paraId="21CA5809">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项目编号：FW-CW-CW-2026053</w:t>
            </w:r>
          </w:p>
          <w:p w14:paraId="4887BECB">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用户单位：中山市东升医院</w:t>
            </w:r>
          </w:p>
          <w:p w14:paraId="6A47B16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预算金额：239500元，具体构成如下：</w:t>
            </w:r>
          </w:p>
          <w:p w14:paraId="29EB0084">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（1）消防维护保养预算金额：139500元</w:t>
            </w:r>
          </w:p>
          <w:p w14:paraId="0200D56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（2）消防配件更换预算金额：100000元</w:t>
            </w:r>
          </w:p>
          <w:p w14:paraId="44D446F2">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项目范围：本项目服务范围系依据《中华人民共和国消防法》《中华人民共和国消防法实施细则》《WS308-2009 医疗机构消防安全管理》《医疗机构消防安全管理九项规定》《消防监督检查规定》《建筑消防设施的维护管理》《火灾自动系统施工及验收规范》《自动喷水灭火系统施工及验收规范》《建筑自动消防设施及消防控制室规范化管理标准》《广东省公安厅关于依法开展消防设施维护保养检测技术服务工作的通知》等相关法律法规要求，覆盖中山市东升医院总院、坦背院区，以及医院全权管理、使用的全部院内辖区、配套附属场地；针对上述区域内全部消防设备设施提供完整服务，包含全面巡检、专业性能检测、故障维修更换、全周期运维管理等工作，以确保医院消防设施完好有效。具体涵盖消火栓系统；自动喷水灭火系统；火灾自动报警系统及中央监控系统；消防水泵设备；防排烟系统；消防联动系统（含事故广播、警铃系统等）；应急照明及疏散指示系统（包括应急照明电源、出口指示灯、应急照明灯、疏散指示灯等）；气体自动灭火系统；消防门及防火卷帘；以及其他各类与消防安全相关的设备。</w:t>
            </w:r>
          </w:p>
          <w:p w14:paraId="743E3231">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6. 本项目服务期限为三年，自2026年9月1日起至2029年8月31日止。服务实施采用1+1+1模式，即首年度签订年度合同，合同期满后，若采购人对成交供应商的服务质量表示满意且考核结果合格，经采购人批准，可续签下一年度合同；若采购人对成交供应商的服务不满意（连续两个季度考核结果均低于75分），有权单方面终止合同。</w:t>
            </w:r>
          </w:p>
        </w:tc>
        <w:tc>
          <w:tcPr>
            <w:tcW w:w="1317" w:type="dxa"/>
          </w:tcPr>
          <w:p w14:paraId="5B3B314A">
            <w:pPr>
              <w:pStyle w:val="12"/>
              <w:rPr>
                <w:rFonts w:ascii="宋体" w:hAnsi="宋体" w:eastAsia="宋体" w:cs="宋体"/>
                <w:lang w:eastAsia="zh-CN"/>
              </w:rPr>
            </w:pPr>
          </w:p>
        </w:tc>
        <w:tc>
          <w:tcPr>
            <w:tcW w:w="1141" w:type="dxa"/>
          </w:tcPr>
          <w:p w14:paraId="28582A36">
            <w:pPr>
              <w:pStyle w:val="12"/>
              <w:rPr>
                <w:rFonts w:ascii="宋体" w:hAnsi="宋体" w:eastAsia="宋体" w:cs="宋体"/>
                <w:lang w:eastAsia="zh-CN"/>
              </w:rPr>
            </w:pPr>
          </w:p>
        </w:tc>
        <w:tc>
          <w:tcPr>
            <w:tcW w:w="932" w:type="dxa"/>
          </w:tcPr>
          <w:p w14:paraId="78917541">
            <w:pPr>
              <w:pStyle w:val="12"/>
              <w:rPr>
                <w:rFonts w:ascii="宋体" w:hAnsi="宋体" w:eastAsia="宋体" w:cs="宋体"/>
                <w:lang w:eastAsia="zh-CN"/>
              </w:rPr>
            </w:pPr>
          </w:p>
        </w:tc>
      </w:tr>
      <w:tr w14:paraId="5ED83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537" w:hRule="atLeast"/>
        </w:trPr>
        <w:tc>
          <w:tcPr>
            <w:tcW w:w="659"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810" w:type="dxa"/>
          </w:tcPr>
          <w:p w14:paraId="5066EDB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二、响应供应商资质要求</w:t>
            </w:r>
          </w:p>
          <w:p w14:paraId="3214F33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供应商须为在中华人民共和国境内注册的法人或其他组织，具备独立承担民事责任的能力，其营业执照经营范围应包含消防技术服务相关内容。</w:t>
            </w:r>
          </w:p>
          <w:p w14:paraId="74521F6D">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响应供应商须已在“社会消防技术服务信息系统”完成备案，且备案的服务类型包含消防设施维护保养检测。</w:t>
            </w:r>
          </w:p>
          <w:p w14:paraId="60AFB97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响应供应商应具备项目承接能力、合同履约能力、售后服务能力及良好的商业信誉。</w:t>
            </w:r>
          </w:p>
          <w:p w14:paraId="3B62352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响应供应商须具有良好的商业信誉和健全的财务会计制度，并具有依法缴纳税收和社会保障资金的良好记录。</w:t>
            </w:r>
          </w:p>
          <w:p w14:paraId="0A13334B">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5. 响应供应商在参与公开招标活动中无违法违纪行为及受处罚记录，且不存在围标、串标等行为。</w:t>
            </w:r>
          </w:p>
        </w:tc>
        <w:tc>
          <w:tcPr>
            <w:tcW w:w="1317" w:type="dxa"/>
          </w:tcPr>
          <w:p w14:paraId="11B334CA">
            <w:pPr>
              <w:pStyle w:val="12"/>
              <w:rPr>
                <w:rFonts w:ascii="宋体" w:hAnsi="宋体" w:eastAsia="宋体" w:cs="宋体"/>
                <w:lang w:eastAsia="zh-CN"/>
              </w:rPr>
            </w:pPr>
          </w:p>
        </w:tc>
        <w:tc>
          <w:tcPr>
            <w:tcW w:w="1141" w:type="dxa"/>
          </w:tcPr>
          <w:p w14:paraId="0566467E">
            <w:pPr>
              <w:pStyle w:val="12"/>
              <w:rPr>
                <w:rFonts w:ascii="宋体" w:hAnsi="宋体" w:eastAsia="宋体" w:cs="宋体"/>
                <w:lang w:eastAsia="zh-CN"/>
              </w:rPr>
            </w:pPr>
          </w:p>
        </w:tc>
        <w:tc>
          <w:tcPr>
            <w:tcW w:w="932" w:type="dxa"/>
          </w:tcPr>
          <w:p w14:paraId="7F6D937D">
            <w:pPr>
              <w:pStyle w:val="12"/>
              <w:rPr>
                <w:rFonts w:ascii="宋体" w:hAnsi="宋体" w:eastAsia="宋体" w:cs="宋体"/>
                <w:lang w:eastAsia="zh-CN"/>
              </w:rPr>
            </w:pPr>
          </w:p>
        </w:tc>
      </w:tr>
      <w:tr w14:paraId="4438D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650" w:hRule="atLeast"/>
        </w:trPr>
        <w:tc>
          <w:tcPr>
            <w:tcW w:w="659"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810" w:type="dxa"/>
          </w:tcPr>
          <w:p w14:paraId="1E01CDBA">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三、服务要求</w:t>
            </w:r>
          </w:p>
          <w:p w14:paraId="2C5F7D9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成交供应商中标后应详阅采购人提供的各类图纸资料，熟悉现场所有消防设备、消防水源的状况，会同采购人制定维保检查计划。派出具备相关资质和专业技术的维保人员（消防设施操作员证中级，其中1人要持低压电工作业证）组成的专家小组到现场对消防系统、设备及设施进行定期检查，每年月检12次，季检4次，年检1次。维修前需与采购人协商好检修日期及注意事项，获得采购人同意后才能进行，以免因检修时出现火灾报警等通知影响正常医疗秩序。成交供应商应对所有系统和装置的检查、测试和维护均必须有完整的记录，每次保养后，应向采购人提供一份由供应商技术人员签名的标准保养记录，如无记录视为未进行检测和维护处理。成交供应商应在每月10日前向采购人主管部门提交上个月的所有记录表以便于保管和存档。协助采购人完成各项社会消防技术服务平台的申报。</w:t>
            </w:r>
          </w:p>
          <w:p w14:paraId="3BEAB6D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严格执行日常维修、定期检修和紧急排故等维护保养工作，成交供应商每月需派2名思想素质高、责任心强、技术熟练、固定的具备相关资质和专业技术的维保人员（消防设施操作员证中级，其中1人要持低压电工作业证），遵守采购人的管理制度，完成每月维护保养工作。消防设施检测仪器及维保工具到位，维保人员需着整齐的服装。加强对技术维保人员的日常安全教育与安全管理，避免任何安全事故的发生，因管理不善而造成的安全生产事故，成交供应商应承担全部责任。</w:t>
            </w:r>
          </w:p>
          <w:p w14:paraId="1821971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每次检修后，成交供应商应随时全面将消防系统运行情况通报采购人专管负责人，注意发现问题，研究问题，并须以书面形式向采购人提出科学、合理的整改建议，确保采购人管理部门消防系统正常运行。</w:t>
            </w:r>
          </w:p>
          <w:p w14:paraId="61C64BB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在系统维修时，如需断电断水，应事先以书面向采购人报告，取得同意，并须通知到各科室主任和护士长后由采购人安排人员现场监督，加强防范措施后方能动工。涉及到动火作业等需提前进行审批，并做好相应防护措施，避免发生火灾。</w:t>
            </w:r>
          </w:p>
          <w:p w14:paraId="519D3089">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完善采购人《消防值班人员职责》、《消防控制室管理制度》等消防管理的规章制度。</w:t>
            </w:r>
          </w:p>
          <w:p w14:paraId="2323837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 响应时间：设立24小时值班电话，当系统出现严重故障或发生火灾时，维保人员必须保证在30分钟到场，如遇特殊情况如堵车等情况会提前告知采购人。一般故障要求在48小时内处理完毕，遇上特殊故障，成交供应商需另行向采购人汇报，商议解决方案及时间。</w:t>
            </w:r>
          </w:p>
          <w:p w14:paraId="5BFF5A4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 采购人举办大型活动、法定节假日（包括但不限于五一、国庆、春节等）成交供应商应安排人员进行消防安全巡查，以确保消防安全。委派一名工程师负责每年6月和11月分别协调组织进行一次全院性消防疏散演练和消防技能培训。采购人消防值班人员如有变动，成交供应商应随时派专业技术人员进行培训，详细介绍系统的组成、日常操作、注意事项等，使每位值班人员可以正确和熟练操作设备，掌握发生火灾或故障时的处理方法。</w:t>
            </w:r>
          </w:p>
          <w:p w14:paraId="788F79F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 成交供应商应配合医院升级改造、扩建、各科室装修等现有消防设施的联动调试工作（包括新增设施如烟感等接入主机的调试、管网充放水配合、试压配合等），相关消防改造工程由采购人依法另行招标确定施工单位。成交供应商应提供技术咨询服务，不得拒绝或拖延配合。</w:t>
            </w:r>
          </w:p>
          <w:p w14:paraId="6D0889D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 采购人不指定唯一消防承包商在场内进行消防改造工作，成交供应商须于签订维保合同期内提供消防改造服务的各项工程造价及单价，经采购人同意确认后方可在场内提供消防改造服务。</w:t>
            </w:r>
          </w:p>
          <w:p w14:paraId="49DB023D">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10. 成交供应商必须保障整个消防系统设备的正常运作，配合各部门的消防检查，由于国家、省、市等政府部门检查、评比的需要，需要按国家级标准或省市级标准进行操作的，应在规定的时间内完成并达到标准。若由于成交供应商工作上失职、渎职或其他违法行为造成重大事故或严重损失，使该消防系统在发生火灾时不能投入使用，所造成的损失由成交供应商承担，并按情节轻重追究相关的责任。</w:t>
            </w:r>
          </w:p>
          <w:p w14:paraId="71B805D5">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11. 成交供应商违反约定，包括但不限于没有按时进行、月巡检、季检、年度检查的，或者违反约定不按时到现场维护保养排除消防隐患的，或者出具不规范的检查报告导致采购人的消防不能通过当地消防部门检查的，或者更换设备、零配件等不及时给采购人造成损失或者更换设备、零部件等存在不匹配或有质量问题导致采购人消防系统无法正常使用等，采购人有权暂停支付或拒付的维护保养费，同时成交供应商给采购人造成损失的，还应当承担采购人的一切损失。</w:t>
            </w:r>
          </w:p>
          <w:p w14:paraId="2C0524D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12. 采购人职能部门、临床医护人员及承包采购人物业管理的保安、工程部门对成交供应商消防维保项目进行监督、检查及管理，若发现违反约定的地方，有权责令整改，并上报医院后勤保障部门。</w:t>
            </w:r>
          </w:p>
          <w:p w14:paraId="4FEB379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13. 成交供应商驻守的维保人员应遵守采购人的各项规章制度，如因成交供应商责任造成维保人员、采购人及第三方的设备设施、财产损坏或人身损害的，由成交供应商负责对损坏的设备恢复原状并承担所造成的所有责任及赔偿。</w:t>
            </w:r>
          </w:p>
          <w:p w14:paraId="76D87302">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14. 在服务过程中，成交供应商必须先对采购人损坏的配件进行全力维修。如确认无法维修而需要更换时，成交供应商应提前通知采购人并经采购人确认后方可更换，并将换下的旧配件交给采购人确认处理。</w:t>
            </w:r>
          </w:p>
          <w:p w14:paraId="3BC8132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15. 服务期满时，采购人与成交供应商双方对所有地点的消防设备设施进行一次全面检查，成交供应商必须保证采购人的消防设备设施达到正常运行状态，方可交付给采购人；如果在全面检查过程中发现设备设施有故障或损坏的，应由成交供应商负责维修至完好状态并承担相关费用，如需更换设备零部件的，在招标附件配件清单内经采购人核实后直接更换。如需更换设备零部件超出清单范围、清单未列明的新增配件，成交供应商应及时通知采购人，并将需购买产品的规格型号、价格清单交由采购人审核确认后由采购人负责购买，由成交供应商负责安装、更换、调试，采购人不再另行支付安装费用。否则，采购人有权请第三方进行维修，因此产生的费用由成交供应商承担。</w:t>
            </w:r>
          </w:p>
          <w:p w14:paraId="1A991A9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16. 本服务期限届满之日起，服务商需全程配合采购人组织的维保交接工作，积极对接新任维保单位，完整移交设备台账、运维记录、账号密码、备品配件、技术资料等相关资料，并做好现场技术交底、故障隐患说明、系统运行状态对接等工作，不得以任何理由推诿拖延，确保维保工作连续无间断。</w:t>
            </w:r>
          </w:p>
        </w:tc>
        <w:tc>
          <w:tcPr>
            <w:tcW w:w="1317" w:type="dxa"/>
          </w:tcPr>
          <w:p w14:paraId="6483D143">
            <w:pPr>
              <w:pStyle w:val="12"/>
              <w:rPr>
                <w:rFonts w:ascii="宋体" w:hAnsi="宋体" w:eastAsia="宋体" w:cs="宋体"/>
                <w:lang w:eastAsia="zh-CN"/>
              </w:rPr>
            </w:pPr>
          </w:p>
        </w:tc>
        <w:tc>
          <w:tcPr>
            <w:tcW w:w="1141" w:type="dxa"/>
          </w:tcPr>
          <w:p w14:paraId="774B4E9C">
            <w:pPr>
              <w:pStyle w:val="12"/>
              <w:rPr>
                <w:rFonts w:ascii="宋体" w:hAnsi="宋体" w:eastAsia="宋体" w:cs="宋体"/>
                <w:lang w:eastAsia="zh-CN"/>
              </w:rPr>
            </w:pPr>
          </w:p>
        </w:tc>
        <w:tc>
          <w:tcPr>
            <w:tcW w:w="932" w:type="dxa"/>
          </w:tcPr>
          <w:p w14:paraId="1AD5B7C7">
            <w:pPr>
              <w:pStyle w:val="12"/>
              <w:rPr>
                <w:rFonts w:ascii="宋体" w:hAnsi="宋体" w:eastAsia="宋体" w:cs="宋体"/>
                <w:lang w:eastAsia="zh-CN"/>
              </w:rPr>
            </w:pPr>
          </w:p>
        </w:tc>
      </w:tr>
      <w:tr w14:paraId="7A53DF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210" w:hRule="atLeast"/>
        </w:trPr>
        <w:tc>
          <w:tcPr>
            <w:tcW w:w="659"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810" w:type="dxa"/>
          </w:tcPr>
          <w:p w14:paraId="64D4078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四、服务内容</w:t>
            </w:r>
          </w:p>
          <w:p w14:paraId="732D533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消火栓灭火系统</w:t>
            </w:r>
          </w:p>
          <w:p w14:paraId="3D98B36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 外观检查：</w:t>
            </w:r>
          </w:p>
          <w:p w14:paraId="77F2F64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1.1.1 室外消火栓的工作状态是否正常，栓口、栓体是否破损；</w:t>
            </w:r>
          </w:p>
          <w:p w14:paraId="3921797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1.1.2室外消火栓的出水及出水压力是否正常；</w:t>
            </w:r>
          </w:p>
          <w:p w14:paraId="00AC26A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1.1.3 消防储水池是否变形，损伤、漏水、储水是否满足要求；</w:t>
            </w:r>
          </w:p>
          <w:p w14:paraId="78AB515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1.1.4 操作控制盘，检查水泵能否启动；</w:t>
            </w:r>
          </w:p>
          <w:p w14:paraId="7B4E208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1.1.5 消防管网是否变形、损伤、漏水。是否用于支撑、吊挂其他物件。管网上的阀门开启位置是否正确，检查阀门是否损坏。</w:t>
            </w:r>
          </w:p>
          <w:p w14:paraId="2936978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1.1.6 消火栓箱是否变形、损伤、门的开关是否灵活，周围有无障碍物；</w:t>
            </w:r>
          </w:p>
          <w:p w14:paraId="673AC53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1.1.7 水带、水枪、卷盘是否破损，启泵破玻按钮是否正常，能否正常报警；</w:t>
            </w:r>
          </w:p>
          <w:p w14:paraId="37340A0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1.1.8 消火栓位置指示标志是否明显。</w:t>
            </w:r>
          </w:p>
          <w:p w14:paraId="23355E8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1.1.9 消火栓、水带、水枪的接口处密封垫是否老化；</w:t>
            </w:r>
          </w:p>
          <w:p w14:paraId="135F904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 性能检查：</w:t>
            </w:r>
          </w:p>
          <w:p w14:paraId="689B687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1.2.1 水源的补水装置是否正常（浮球阀等）；</w:t>
            </w:r>
          </w:p>
          <w:p w14:paraId="1043765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1.2.2 水位计及压力表是否正常；</w:t>
            </w:r>
          </w:p>
          <w:p w14:paraId="377392C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1.2.3 电动机的控制装置是否正常，双电源切换是否正常；</w:t>
            </w:r>
          </w:p>
          <w:p w14:paraId="539521D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1.2.4 启动装置的启泵及停泵按钮开关是否正常；</w:t>
            </w:r>
          </w:p>
          <w:p w14:paraId="10E1317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1.2.5 水泵与电机的联接轴是否松动、变形、锈蚀；</w:t>
            </w:r>
          </w:p>
          <w:p w14:paraId="088CC2F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1.2.6 电动机的机械性能是否良好（是否发热、松动、杂音）；</w:t>
            </w:r>
          </w:p>
          <w:p w14:paraId="653C09C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1.2.7 水泵控制柜的手动、自动转换按钮是否正常；主、备泵切换是否正常；</w:t>
            </w:r>
          </w:p>
          <w:p w14:paraId="32ECF12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1.2.8 启动水泵，打开试验阀，检查压力和流量是否正常。</w:t>
            </w:r>
          </w:p>
          <w:p w14:paraId="0FB684C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1.2.9 水泵接合器的保护箱、接口、阀门是否正常；</w:t>
            </w:r>
          </w:p>
          <w:p w14:paraId="2C8BAF3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1.2.10 打开最不利点消火栓不少于二个，检查栓口出水是否正常；</w:t>
            </w:r>
          </w:p>
          <w:p w14:paraId="05B6B9D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1.2.11 各种阀门是否处于正常的开启位置；</w:t>
            </w:r>
          </w:p>
          <w:p w14:paraId="3CE32F8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1.2.12 溢水管的排水是否正常；</w:t>
            </w:r>
          </w:p>
          <w:p w14:paraId="2319DAD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自动喷水灭火系统</w:t>
            </w:r>
          </w:p>
          <w:p w14:paraId="7E108D5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2.1 消防水源供水能力是否正常及消防水泵动力是否正常；</w:t>
            </w:r>
          </w:p>
          <w:p w14:paraId="7196122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2.2 报警阀各部件的工作状态是否正常；</w:t>
            </w:r>
          </w:p>
          <w:p w14:paraId="256CD1C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2.3 消防水泵应每月启动运转一次，检查其运转是否正常；</w:t>
            </w:r>
          </w:p>
          <w:p w14:paraId="002389A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2.4 消防水泵接合器的接口及附件是否完好，有无渗漏、闷盖是否齐全；</w:t>
            </w:r>
          </w:p>
          <w:p w14:paraId="78DB97A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2.5 每季度应对报警阀、水流指示器进行一次放水试验，检查系统的供水能力是否正常，压力开关报警是否能启动喷淋水泵，水力警铃功能是否正常；（合同生效首月进行一次，以后每三个月1次）</w:t>
            </w:r>
          </w:p>
          <w:p w14:paraId="208C65F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2.6 合同生效首月及每六个月对水源的供水能力进行一次检查；</w:t>
            </w:r>
          </w:p>
          <w:p w14:paraId="04AA218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2.7 检查管网管道有无机械损伤，管道固定是否牢固，发现问题应及时处理。</w:t>
            </w:r>
          </w:p>
          <w:p w14:paraId="5453771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2.8 检查末端试水装置、微控闸阀、止回阀是否正常；</w:t>
            </w:r>
          </w:p>
          <w:p w14:paraId="181065F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 防排烟系统</w:t>
            </w:r>
          </w:p>
          <w:p w14:paraId="3587FAB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3.1 检查防烟分区周围有无影响使用的障碍物。</w:t>
            </w:r>
          </w:p>
          <w:p w14:paraId="0586DFA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3.2 检查吸烟口有无变形、损伤，周围有无影响吸烟的障碍。</w:t>
            </w:r>
          </w:p>
          <w:p w14:paraId="3F4BD95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3.3 检查风管有无变形、损伤，支撑是否松动，风管是否与可燃性接触。</w:t>
            </w:r>
          </w:p>
          <w:p w14:paraId="73D5F64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3.4 检查送风机、排烟风机周围有无可燃性，安装螺栓是否松动，传动机械是否变形，叶轮与外壳是否接触。风机的电源供电是否正常。</w:t>
            </w:r>
          </w:p>
          <w:p w14:paraId="03202AA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3.5 检查风机与排烟口连接部位的法兰有无损伤。</w:t>
            </w:r>
          </w:p>
          <w:p w14:paraId="40803C6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3.6 检查风机的启动装置的开关、线路是否正常。</w:t>
            </w:r>
          </w:p>
          <w:p w14:paraId="7D5E5A5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3.7 利用手动或自动启动装置，对每个防烟分区的动作进行试验，检查风机的运转是否正常，叶轮的旋转方向是否正确。</w:t>
            </w:r>
          </w:p>
          <w:p w14:paraId="1737867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3.8 检查排烟阀、防火阀、正压送风阀动作是否灵活。</w:t>
            </w:r>
          </w:p>
          <w:p w14:paraId="2A55CE4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 火灾自动报警系统和火灾事故广播系统</w:t>
            </w:r>
          </w:p>
          <w:p w14:paraId="72D4C1E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4.1 检查集中报警控制器的功能是否正常，同时检查复位、消音、故障报警功能是否正常。</w:t>
            </w:r>
          </w:p>
          <w:p w14:paraId="428A8EE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4.2 试验火灾警报装置的声、光显示装置是否正常。</w:t>
            </w:r>
          </w:p>
          <w:p w14:paraId="7C6AAFB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4.3 试验水流指示器、压力开关的报警功能、信号显示是否正常。</w:t>
            </w:r>
          </w:p>
          <w:p w14:paraId="2D8CF5E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4.4 对备用电源进行检查看其功能是否正常。</w:t>
            </w:r>
          </w:p>
          <w:p w14:paraId="6C68848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4.5 检查破玻按钮、警铃的功能是否正常。</w:t>
            </w:r>
          </w:p>
          <w:p w14:paraId="4A20E5A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4.6 检查防排烟设备、电动防火阀、防火卷帘等控制设备的控制、显示功能是否正常。</w:t>
            </w:r>
          </w:p>
          <w:p w14:paraId="6D0AE5A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4.7 检查室内消火栓、自动喷水灭火系统的控制设备的控制、显示功能是否正常。</w:t>
            </w:r>
          </w:p>
          <w:p w14:paraId="1BD10B3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4.8检查火灾事故广播及疏散指示标志灯的控制显示功能是否正常。</w:t>
            </w:r>
          </w:p>
          <w:p w14:paraId="296C664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4.9 在消防控制室做系统内所有消防对讲电话通话试验，电话插孔通话试验，检查通话是否畅通，语音是否清晰。</w:t>
            </w:r>
          </w:p>
          <w:p w14:paraId="6806763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4.10 检查所有的手动、自动转换开关的功能是否正常。</w:t>
            </w:r>
          </w:p>
          <w:p w14:paraId="6F098D8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4.11 进行普通电梯迫降试验，检查是否安全有效，消防电梯是否运行正常；</w:t>
            </w:r>
          </w:p>
          <w:p w14:paraId="03F89B9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4.12滚动测试全部感烟感温探测器；</w:t>
            </w:r>
          </w:p>
          <w:p w14:paraId="77CF073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4.13 合同生效首月，以后每六个月进行一次全面联动测试，并提供书面测试报告。</w:t>
            </w:r>
          </w:p>
          <w:p w14:paraId="784F56C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 灭火器：</w:t>
            </w:r>
          </w:p>
          <w:p w14:paraId="7144AB3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5.1 检查灭火器的外观是否正常，是否在有效期内；</w:t>
            </w:r>
          </w:p>
          <w:p w14:paraId="47217B6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5.2 检查灭火器的压力(或重量)是否正常；手把、胶管等配件是否完好；</w:t>
            </w:r>
          </w:p>
          <w:p w14:paraId="405FD42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5.3 根据灭火器的保养要求，采用正确的方法对灭火器进行维护和保养，确保灭火器在需要使用时能正常发挥作用。</w:t>
            </w:r>
          </w:p>
          <w:p w14:paraId="46B0352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 消防及防火门</w:t>
            </w:r>
          </w:p>
          <w:p w14:paraId="2E31356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6.1 检查消防卷帘的外观是否完整，帘下有否阻挡物；</w:t>
            </w:r>
          </w:p>
          <w:p w14:paraId="278E3EF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6.2 破玻按钮是否完好，功能正常；</w:t>
            </w:r>
          </w:p>
          <w:p w14:paraId="6F3B3E7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6.3 电机运行是否正常，闸门上、落是否顺畅、可靠；</w:t>
            </w:r>
          </w:p>
          <w:p w14:paraId="3683692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6.4 检查防火门外观是否完好，闭门器是否有效；</w:t>
            </w:r>
          </w:p>
          <w:p w14:paraId="49591F8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6.5 防火门开闭是否顺畅、可靠，关闭是否完全。</w:t>
            </w:r>
          </w:p>
          <w:p w14:paraId="37D8E37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 气体灭火系统</w:t>
            </w:r>
          </w:p>
          <w:p w14:paraId="006B505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7.1 储存容器、管道、阀门等全部系统组件无碰撞及机械损伤，无泄漏；</w:t>
            </w:r>
          </w:p>
          <w:p w14:paraId="2F06925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7.2 灭火剂和驱动气体储存容器压力正常；</w:t>
            </w:r>
          </w:p>
          <w:p w14:paraId="46C9C71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7.3 手动操作装置防护罩、铅封和安全标志完整；</w:t>
            </w:r>
          </w:p>
          <w:p w14:paraId="27C92E9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7.4 吹扫各喷嘴孔口，确认无堵塞；</w:t>
            </w:r>
          </w:p>
          <w:p w14:paraId="40E57F6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7.5 预制灭火系统的设备状态和运行状态正常。</w:t>
            </w:r>
          </w:p>
          <w:p w14:paraId="5011C08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7.6 每年进行一次模拟启动试验或模拟喷气试验。</w:t>
            </w:r>
          </w:p>
          <w:p w14:paraId="3CCBCE9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8. 本项目还包含上述未列举的与消防相关设备设施的检测和维修服务。</w:t>
            </w:r>
          </w:p>
        </w:tc>
        <w:tc>
          <w:tcPr>
            <w:tcW w:w="1317" w:type="dxa"/>
          </w:tcPr>
          <w:p w14:paraId="193D8761">
            <w:pPr>
              <w:pStyle w:val="12"/>
              <w:rPr>
                <w:rFonts w:ascii="宋体" w:hAnsi="宋体" w:eastAsia="宋体" w:cs="宋体"/>
                <w:lang w:eastAsia="zh-CN"/>
              </w:rPr>
            </w:pPr>
          </w:p>
        </w:tc>
        <w:tc>
          <w:tcPr>
            <w:tcW w:w="1141" w:type="dxa"/>
          </w:tcPr>
          <w:p w14:paraId="091A4CD4">
            <w:pPr>
              <w:pStyle w:val="12"/>
              <w:rPr>
                <w:rFonts w:ascii="宋体" w:hAnsi="宋体" w:eastAsia="宋体" w:cs="宋体"/>
                <w:lang w:eastAsia="zh-CN"/>
              </w:rPr>
            </w:pPr>
          </w:p>
        </w:tc>
        <w:tc>
          <w:tcPr>
            <w:tcW w:w="932" w:type="dxa"/>
          </w:tcPr>
          <w:p w14:paraId="5DE84176">
            <w:pPr>
              <w:pStyle w:val="12"/>
              <w:rPr>
                <w:rFonts w:ascii="宋体" w:hAnsi="宋体" w:eastAsia="宋体" w:cs="宋体"/>
                <w:lang w:eastAsia="zh-CN"/>
              </w:rPr>
            </w:pPr>
          </w:p>
        </w:tc>
      </w:tr>
      <w:tr w14:paraId="13314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1468" w:hRule="atLeast"/>
        </w:trPr>
        <w:tc>
          <w:tcPr>
            <w:tcW w:w="659"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810" w:type="dxa"/>
          </w:tcPr>
          <w:p w14:paraId="2859F13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五、配件供应要求</w:t>
            </w:r>
          </w:p>
          <w:p w14:paraId="1FB401B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1. </w:t>
            </w:r>
            <w:r>
              <w:rPr>
                <w:rFonts w:hint="eastAsia" w:ascii="宋体" w:hAnsi="宋体" w:eastAsia="宋体" w:cs="宋体"/>
                <w:sz w:val="20"/>
                <w:szCs w:val="20"/>
                <w:lang w:eastAsia="zh-CN"/>
              </w:rPr>
              <w:t>在维保期内，如需要更换设备零部件，成交供应商应优先对损坏配件进行全力维修。如确认无法维修而需要更换时，成交供应商应提前通知采购人并经采购人确认后方可更换，并将换下的旧配件交采购人确认处理。</w:t>
            </w:r>
          </w:p>
          <w:p w14:paraId="7BE86F7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2. </w:t>
            </w:r>
            <w:r>
              <w:rPr>
                <w:rFonts w:hint="eastAsia" w:ascii="宋体" w:hAnsi="宋体" w:eastAsia="宋体" w:cs="宋体"/>
                <w:sz w:val="20"/>
                <w:szCs w:val="20"/>
                <w:lang w:eastAsia="zh-CN"/>
              </w:rPr>
              <w:t>更换配件时，必须采用《消防工程配件清单》（详见附件1）内列明的品类及型号。清单内已明确最高限价的，结算单价不得超过该限价，</w:t>
            </w:r>
            <w:r>
              <w:rPr>
                <w:rFonts w:hint="eastAsia" w:ascii="宋体" w:hAnsi="宋体" w:eastAsia="宋体" w:cs="宋体"/>
                <w:sz w:val="20"/>
                <w:szCs w:val="20"/>
                <w:lang w:val="en-US" w:eastAsia="zh-CN"/>
              </w:rPr>
              <w:t>合同期内不随市场同类商品价格波动进行调整。响应供应商须对附件1《消防工程配件清单》进行整体响应，注明配件意向品牌（如有）、质保期及参数响应情况。</w:t>
            </w:r>
          </w:p>
          <w:p w14:paraId="11FA4D6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lang w:eastAsia="zh-CN"/>
              </w:rPr>
              <w:t>成交供应商应储备适量的主要备件和易耗配件，确保在收到采购人下单通知后，3个自然日内将指定货物交付至中山市东升医院指定地点，并负责安装、更换、调试，采购人不再另行支付安装费用。</w:t>
            </w:r>
          </w:p>
          <w:p w14:paraId="79C3C22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4. </w:t>
            </w:r>
            <w:r>
              <w:rPr>
                <w:rFonts w:hint="eastAsia" w:ascii="宋体" w:hAnsi="宋体" w:eastAsia="宋体" w:cs="宋体"/>
                <w:sz w:val="20"/>
                <w:szCs w:val="20"/>
                <w:lang w:eastAsia="zh-CN"/>
              </w:rPr>
              <w:t>如需更换的配件超出《消防工程配件清单》范围或清单未列明，成交供应商应及时通知采购人，并将拟采购产品的规格型号、价格清单交由采购人审核确认后，由采购人负责购买。成交供应商负责后续的安装、更换、调试，采购人不再另行支付安装费用。</w:t>
            </w:r>
          </w:p>
          <w:p w14:paraId="66BD1B5C">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 xml:space="preserve">5. </w:t>
            </w:r>
            <w:r>
              <w:rPr>
                <w:rFonts w:hint="eastAsia" w:ascii="宋体" w:hAnsi="宋体" w:eastAsia="宋体" w:cs="宋体"/>
                <w:sz w:val="20"/>
                <w:szCs w:val="20"/>
                <w:lang w:eastAsia="zh-CN"/>
              </w:rPr>
              <w:t>配件费用按实际发生量结算。采购人可按照实际使用需要分批次要求成交供应商供货，并按批次结算。合同无预付款，每批次订货亦无预付款。报价应为人民币含税全包价，包括但不限于货物、人工费、包装费、运杂费、保险费、卸车费、配合费、检测费、配送费、税金等实施过程中需要的所有费用。</w:t>
            </w:r>
          </w:p>
        </w:tc>
        <w:tc>
          <w:tcPr>
            <w:tcW w:w="1317" w:type="dxa"/>
          </w:tcPr>
          <w:p w14:paraId="400EB205">
            <w:pPr>
              <w:pStyle w:val="12"/>
              <w:rPr>
                <w:rFonts w:ascii="宋体" w:hAnsi="宋体" w:eastAsia="宋体" w:cs="宋体"/>
                <w:lang w:eastAsia="zh-CN"/>
              </w:rPr>
            </w:pPr>
          </w:p>
        </w:tc>
        <w:tc>
          <w:tcPr>
            <w:tcW w:w="1141" w:type="dxa"/>
          </w:tcPr>
          <w:p w14:paraId="4379F7B4">
            <w:pPr>
              <w:pStyle w:val="12"/>
              <w:rPr>
                <w:rFonts w:ascii="宋体" w:hAnsi="宋体" w:eastAsia="宋体" w:cs="宋体"/>
                <w:lang w:eastAsia="zh-CN"/>
              </w:rPr>
            </w:pPr>
          </w:p>
        </w:tc>
        <w:tc>
          <w:tcPr>
            <w:tcW w:w="932" w:type="dxa"/>
          </w:tcPr>
          <w:p w14:paraId="114F3BB4">
            <w:pPr>
              <w:pStyle w:val="12"/>
              <w:rPr>
                <w:rFonts w:ascii="宋体" w:hAnsi="宋体" w:eastAsia="宋体" w:cs="宋体"/>
                <w:lang w:eastAsia="zh-CN"/>
              </w:rPr>
            </w:pPr>
          </w:p>
        </w:tc>
      </w:tr>
      <w:tr w14:paraId="4232D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1753" w:hRule="atLeast"/>
        </w:trPr>
        <w:tc>
          <w:tcPr>
            <w:tcW w:w="659"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810" w:type="dxa"/>
          </w:tcPr>
          <w:p w14:paraId="1B58460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六、人员要求：</w:t>
            </w:r>
          </w:p>
          <w:p w14:paraId="0CF4034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人员配置要求：</w:t>
            </w:r>
          </w:p>
          <w:p w14:paraId="76B33C1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1.1 项目负责人（1名）：具备一级注册消防工程师资格；</w:t>
            </w:r>
          </w:p>
          <w:p w14:paraId="46CC1AE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1.2 技术负责人（1名）：具备一级注册消防工程师资格；</w:t>
            </w:r>
          </w:p>
          <w:p w14:paraId="193C0A9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1.3 维保团队：中级以上消防设施操作员不少于2人（其中1人要持低压电工作业证）</w:t>
            </w:r>
          </w:p>
          <w:p w14:paraId="046B334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人员稳定性要求：</w:t>
            </w:r>
          </w:p>
          <w:p w14:paraId="54D47E8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2.1 成交供应商应确保维保人员的稳定性，经采购人认可的维保人员不得随意频繁更换，如因成交供应商原因需更换的，需向采购人提出书面更换申请并经采购人同意后方可进行更换，且不得影响消防维保服务工作的正常开展。</w:t>
            </w:r>
          </w:p>
          <w:p w14:paraId="0208601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2.2 不能胜任的维保人员应及时更换。</w:t>
            </w:r>
          </w:p>
          <w:p w14:paraId="1D82EC7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如果成交供应商委派的维保人员不符合要求（有事实依据证明不能胜任该岗位）的，采购人有权要求成交供应商更换维保人员至合格为止。成交供应商接到采购人书面换人通知后，应在1周内更换合格的维保人员到位，逾期不更换或更换的维保人员仍不符合要求的，成交供应商有权扣减该月的维保服务费，直至合格人员到位为止。</w:t>
            </w:r>
          </w:p>
          <w:p w14:paraId="50CD36BA">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2.3 成交供应商应做好人员流动情况的储备工作，如遇人员辞职情况的，成交供应商应在做好新到岗人员培训工作，培训合格方能上岗。成交供应商应做好维保工作的无缝交接，如应发现缺岗或并岗的，每缺少1日按照当月实际提供的服务天数进行服务费的支付。</w:t>
            </w:r>
          </w:p>
        </w:tc>
        <w:tc>
          <w:tcPr>
            <w:tcW w:w="1317" w:type="dxa"/>
          </w:tcPr>
          <w:p w14:paraId="0ECC2677">
            <w:pPr>
              <w:pStyle w:val="12"/>
              <w:rPr>
                <w:rFonts w:ascii="宋体" w:hAnsi="宋体" w:eastAsia="宋体" w:cs="宋体"/>
                <w:lang w:eastAsia="zh-CN"/>
              </w:rPr>
            </w:pPr>
          </w:p>
        </w:tc>
        <w:tc>
          <w:tcPr>
            <w:tcW w:w="1141" w:type="dxa"/>
          </w:tcPr>
          <w:p w14:paraId="79CBAC54">
            <w:pPr>
              <w:pStyle w:val="12"/>
              <w:rPr>
                <w:rFonts w:ascii="宋体" w:hAnsi="宋体" w:eastAsia="宋体" w:cs="宋体"/>
                <w:lang w:eastAsia="zh-CN"/>
              </w:rPr>
            </w:pPr>
          </w:p>
        </w:tc>
        <w:tc>
          <w:tcPr>
            <w:tcW w:w="932" w:type="dxa"/>
          </w:tcPr>
          <w:p w14:paraId="2FDC2C96">
            <w:pPr>
              <w:pStyle w:val="12"/>
              <w:rPr>
                <w:rFonts w:ascii="宋体" w:hAnsi="宋体" w:eastAsia="宋体" w:cs="宋体"/>
                <w:lang w:eastAsia="zh-CN"/>
              </w:rPr>
            </w:pPr>
          </w:p>
        </w:tc>
      </w:tr>
      <w:tr w14:paraId="0012E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1054" w:hRule="atLeast"/>
        </w:trPr>
        <w:tc>
          <w:tcPr>
            <w:tcW w:w="659"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810" w:type="dxa"/>
          </w:tcPr>
          <w:p w14:paraId="5F4927B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七、监督考核及责任条款</w:t>
            </w:r>
          </w:p>
          <w:p w14:paraId="6365149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由采购人每季度根据附件二《东升医院消防维保服务监督考评表》对成交供应商的服务质量进行监督与考核，考核结果与当季的服务费挂钩（采购人可根据实际工作需要调整考核项目，调整后的考核项目需通知成交供应商），成交供应商应积极配合采购人的监督和考核，不得以任何理由拒绝或阻挠。</w:t>
            </w:r>
          </w:p>
          <w:p w14:paraId="2C9C8EC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扣分扣款规定：成交供应商在考核结果上签名确认，并针对存在问题立即整改。</w:t>
            </w:r>
          </w:p>
          <w:p w14:paraId="3A2366D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考核结果：总分为100分，90分为合格分，考核结果≥90分的，全额支付当月服务费；考核结果为85-90分的，采购人对成交供应商按100元/分从当月服务费中扣减；考核结果为80-85分的，采购人对成交供应商按300元/分从当月服务费中扣减；如果成交供应商连续2个月服务质量低于80分或因成交供应商的责任发生安全事件且造成严重后果的，采购人有权拒绝支付当季服务费且单方提前终止合同，履约保证金不予退还，采购人保留继续追究成交供应商相关责任的权利。</w:t>
            </w:r>
          </w:p>
          <w:p w14:paraId="580ACA2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如果成交供应商未按要求落实消防设备设施维保工作的、未按时提交检测报告或维修登记表等资料的、存在弄虚作假等行为的、被上级部门通报批评（属于因维护不到位的情况），采购人有权从当月服务费中扣减相应的服务费：第一次发现扣服务费的1000元，第二次扣2000元，第三次扣5000元，以此类推，直至扣完当季服务费为止；情节恶劣或者造成严重后果的，采购人有权拒绝支付当季服务费且单方提前终止合同，履约保证金不予退还，采购人保留继续追究成交供应商相关责任的权利。</w:t>
            </w:r>
          </w:p>
          <w:p w14:paraId="23C5BE9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消防设施到期年度检测不合格的，由成交供应商承担维修及复验等相关检测费用，并需向采购人支付5000元/次的违约金。</w:t>
            </w:r>
          </w:p>
          <w:p w14:paraId="2CB43AB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消防设施出现故障时接到通知后值班人员未能按规定响应时间内（值班人员30分钟）到达现场的每次扣减500元。由于未及时到场导致的所有后果及责任由成交供应商负责。</w:t>
            </w:r>
          </w:p>
          <w:p w14:paraId="778F4F9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7. 如因成交供应商原因所导致的一切安全事故、责任和后果由成交供应商自行承担，采购人保留追究成交供应商责任的权利。</w:t>
            </w:r>
          </w:p>
        </w:tc>
        <w:tc>
          <w:tcPr>
            <w:tcW w:w="1317" w:type="dxa"/>
          </w:tcPr>
          <w:p w14:paraId="3CC5F3B6">
            <w:pPr>
              <w:pStyle w:val="12"/>
              <w:rPr>
                <w:rFonts w:ascii="宋体" w:hAnsi="宋体" w:eastAsia="宋体" w:cs="宋体"/>
                <w:lang w:eastAsia="zh-CN"/>
              </w:rPr>
            </w:pPr>
          </w:p>
        </w:tc>
        <w:tc>
          <w:tcPr>
            <w:tcW w:w="1141" w:type="dxa"/>
          </w:tcPr>
          <w:p w14:paraId="3ECDB715">
            <w:pPr>
              <w:pStyle w:val="12"/>
              <w:rPr>
                <w:rFonts w:ascii="宋体" w:hAnsi="宋体" w:eastAsia="宋体" w:cs="宋体"/>
                <w:lang w:eastAsia="zh-CN"/>
              </w:rPr>
            </w:pPr>
          </w:p>
        </w:tc>
        <w:tc>
          <w:tcPr>
            <w:tcW w:w="932" w:type="dxa"/>
          </w:tcPr>
          <w:p w14:paraId="2750298F">
            <w:pPr>
              <w:pStyle w:val="12"/>
              <w:rPr>
                <w:rFonts w:ascii="宋体" w:hAnsi="宋体" w:eastAsia="宋体" w:cs="宋体"/>
                <w:lang w:eastAsia="zh-CN"/>
              </w:rPr>
            </w:pPr>
          </w:p>
        </w:tc>
      </w:tr>
      <w:tr w14:paraId="5237D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1171" w:hRule="atLeast"/>
        </w:trPr>
        <w:tc>
          <w:tcPr>
            <w:tcW w:w="659"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810" w:type="dxa"/>
          </w:tcPr>
          <w:p w14:paraId="086DAEF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八、投标报价要求</w:t>
            </w:r>
          </w:p>
          <w:p w14:paraId="0A9D556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预算金额为：人民币239500元（其中：（1）消防维护保养预算金额：139500元（2）消防配件更换预算金额：100000元，针对配件单价下浮，预算金额不变，配件按实际发生量结算）。本项目采用下浮率方式报价，供应商须针对预算金额和配件单价报出一个统一的下浮率，下浮率取值范围为0%（含）至50%（含），超出此范围的报价将按无效报价处理。</w:t>
            </w:r>
          </w:p>
          <w:p w14:paraId="191F9E5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本项目实行服务费总价包干，成交价即为合同价，报价为含税价。报价包含（但不限于）成交供应商的员工工资、社会保险、福利、税费、“中山市残疾人就业保障金”、员工培训费、卫生费用、餐饮、日常接待、办公费用、投入物资、清洁用品用具、防护用品（如手套、口罩等）、意外风险等。</w:t>
            </w:r>
          </w:p>
          <w:p w14:paraId="4D6D2AA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报价次数：1次。</w:t>
            </w:r>
          </w:p>
        </w:tc>
        <w:tc>
          <w:tcPr>
            <w:tcW w:w="1317" w:type="dxa"/>
          </w:tcPr>
          <w:p w14:paraId="0F06F75D">
            <w:pPr>
              <w:pStyle w:val="12"/>
              <w:rPr>
                <w:rFonts w:ascii="宋体" w:hAnsi="宋体" w:eastAsia="宋体" w:cs="宋体"/>
                <w:lang w:eastAsia="zh-CN"/>
              </w:rPr>
            </w:pPr>
          </w:p>
        </w:tc>
        <w:tc>
          <w:tcPr>
            <w:tcW w:w="1141" w:type="dxa"/>
          </w:tcPr>
          <w:p w14:paraId="1CE95EF2">
            <w:pPr>
              <w:pStyle w:val="12"/>
              <w:rPr>
                <w:rFonts w:ascii="宋体" w:hAnsi="宋体" w:eastAsia="宋体" w:cs="宋体"/>
                <w:lang w:eastAsia="zh-CN"/>
              </w:rPr>
            </w:pPr>
          </w:p>
        </w:tc>
        <w:tc>
          <w:tcPr>
            <w:tcW w:w="932" w:type="dxa"/>
          </w:tcPr>
          <w:p w14:paraId="4E83D91F">
            <w:pPr>
              <w:pStyle w:val="12"/>
              <w:rPr>
                <w:rFonts w:ascii="宋体" w:hAnsi="宋体" w:eastAsia="宋体" w:cs="宋体"/>
                <w:lang w:eastAsia="zh-CN"/>
              </w:rPr>
            </w:pPr>
          </w:p>
        </w:tc>
      </w:tr>
      <w:tr w14:paraId="103D34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695" w:hRule="atLeast"/>
        </w:trPr>
        <w:tc>
          <w:tcPr>
            <w:tcW w:w="659"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810" w:type="dxa"/>
          </w:tcPr>
          <w:p w14:paraId="38C30DE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九、履约保证金</w:t>
            </w:r>
          </w:p>
          <w:p w14:paraId="0DFC575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成交供应商与采购人签署合同后，须向采购人缴纳项目中标总金额的 5% 作为履约保证金。履约保证金在服务期满后30日内，如双方无争议内容，无息退回。在服务期内，如有违约事项，采购人根据约定条款扣款，剩余款项予以无息退还余款。在服务期内，如成交供应商违约或无故终止合同的，则履约保证金全部归采购人所有。</w:t>
            </w:r>
          </w:p>
        </w:tc>
        <w:tc>
          <w:tcPr>
            <w:tcW w:w="1317" w:type="dxa"/>
          </w:tcPr>
          <w:p w14:paraId="1CFCF2A1">
            <w:pPr>
              <w:pStyle w:val="12"/>
              <w:rPr>
                <w:rFonts w:ascii="宋体" w:hAnsi="宋体" w:eastAsia="宋体" w:cs="宋体"/>
                <w:lang w:eastAsia="zh-CN"/>
              </w:rPr>
            </w:pPr>
          </w:p>
        </w:tc>
        <w:tc>
          <w:tcPr>
            <w:tcW w:w="1141" w:type="dxa"/>
          </w:tcPr>
          <w:p w14:paraId="5E81E370">
            <w:pPr>
              <w:pStyle w:val="12"/>
              <w:rPr>
                <w:rFonts w:ascii="宋体" w:hAnsi="宋体" w:eastAsia="宋体" w:cs="宋体"/>
                <w:lang w:eastAsia="zh-CN"/>
              </w:rPr>
            </w:pPr>
          </w:p>
        </w:tc>
        <w:tc>
          <w:tcPr>
            <w:tcW w:w="932" w:type="dxa"/>
          </w:tcPr>
          <w:p w14:paraId="61597C18">
            <w:pPr>
              <w:pStyle w:val="12"/>
              <w:rPr>
                <w:rFonts w:ascii="宋体" w:hAnsi="宋体" w:eastAsia="宋体" w:cs="宋体"/>
                <w:lang w:eastAsia="zh-CN"/>
              </w:rPr>
            </w:pPr>
          </w:p>
        </w:tc>
      </w:tr>
      <w:tr w14:paraId="1E7DC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1171" w:hRule="atLeast"/>
        </w:trPr>
        <w:tc>
          <w:tcPr>
            <w:tcW w:w="659"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810" w:type="dxa"/>
          </w:tcPr>
          <w:p w14:paraId="24CCB14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十、付款方式</w:t>
            </w:r>
          </w:p>
          <w:p w14:paraId="0092672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每季度结算，成交供应商交付巡检记录、检测报告、季度考核合格证明、有效全额增值税普通发票（含税），采购人在收到发票并审核无误后采购人在6个月内付至结算总额的95%，余下5%作为质量保金额，在服务期满后30日一次性无息支付。</w:t>
            </w:r>
          </w:p>
          <w:p w14:paraId="5AD7C05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特别说明：如成交供应商为中小企业，付款期限按《保障中小企业款项支付条例》执行。</w:t>
            </w:r>
          </w:p>
          <w:p w14:paraId="49211B6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成交供应商须开具与响应文件中报价人名称、响应报价一致的有效全额增值税普通发票。</w:t>
            </w:r>
          </w:p>
        </w:tc>
        <w:tc>
          <w:tcPr>
            <w:tcW w:w="1317" w:type="dxa"/>
          </w:tcPr>
          <w:p w14:paraId="7D075FF8">
            <w:pPr>
              <w:pStyle w:val="12"/>
              <w:rPr>
                <w:rFonts w:ascii="宋体" w:hAnsi="宋体" w:eastAsia="宋体" w:cs="宋体"/>
                <w:lang w:eastAsia="zh-CN"/>
              </w:rPr>
            </w:pPr>
          </w:p>
        </w:tc>
        <w:tc>
          <w:tcPr>
            <w:tcW w:w="1141" w:type="dxa"/>
          </w:tcPr>
          <w:p w14:paraId="686D7884">
            <w:pPr>
              <w:pStyle w:val="12"/>
              <w:rPr>
                <w:rFonts w:ascii="宋体" w:hAnsi="宋体" w:eastAsia="宋体" w:cs="宋体"/>
                <w:lang w:eastAsia="zh-CN"/>
              </w:rPr>
            </w:pPr>
          </w:p>
        </w:tc>
        <w:tc>
          <w:tcPr>
            <w:tcW w:w="932" w:type="dxa"/>
          </w:tcPr>
          <w:p w14:paraId="2C256566">
            <w:pPr>
              <w:pStyle w:val="12"/>
              <w:rPr>
                <w:rFonts w:ascii="宋体" w:hAnsi="宋体" w:eastAsia="宋体" w:cs="宋体"/>
                <w:lang w:eastAsia="zh-CN"/>
              </w:rPr>
            </w:pPr>
          </w:p>
        </w:tc>
      </w:tr>
      <w:tr w14:paraId="72462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280" w:hRule="atLeast"/>
        </w:trPr>
        <w:tc>
          <w:tcPr>
            <w:tcW w:w="659" w:type="dxa"/>
            <w:vAlign w:val="center"/>
          </w:tcPr>
          <w:p w14:paraId="3FBE6087">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11</w:t>
            </w:r>
          </w:p>
        </w:tc>
        <w:tc>
          <w:tcPr>
            <w:tcW w:w="5810" w:type="dxa"/>
          </w:tcPr>
          <w:p w14:paraId="34BC6D3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十一、违约责任</w:t>
            </w:r>
          </w:p>
          <w:p w14:paraId="74A7F00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因成交供应商维护处理不及时或失误原因造成的采购人损失（含经济损失等），成交供应商除应赔偿采购人的全部实际损失外，还应按合同总价的10%向采购人支付违约金。</w:t>
            </w:r>
          </w:p>
          <w:p w14:paraId="704BB0C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如成交供应商连续2个月服务质量低于80分或因发生安全事件且造成严重后果的导致合同解除，成交供应商除应赔偿采购人的实际经济损失外，还应按合同总价的10%向采购人支付违约金。</w:t>
            </w:r>
          </w:p>
          <w:p w14:paraId="08B61DB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采购人、成交供应商对本合同（含涉及本合同相关通知和函电）内容应严格履行保密义务，未经一方书面同意或许可（法律法规规定或政府机关要求披露除外），不得在任何时候以任何方式和理由向第三人泄露，否则，任何一方应赔偿由此给对方造成的一切损失。</w:t>
            </w:r>
          </w:p>
          <w:p w14:paraId="2228DA7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成交供应商给采购人造成的损失，采购人可采取必要的途径或方式追索，由此引起的费用由成交供应商承担，包括但不仅限于律师费、查档费、鉴定费、公证费、交通费、诉讼费、财产保全责任保险费等。</w:t>
            </w:r>
          </w:p>
          <w:p w14:paraId="4CEFBE2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其它违约责任按《中华人民共和国民法典》处理。</w:t>
            </w:r>
          </w:p>
        </w:tc>
        <w:tc>
          <w:tcPr>
            <w:tcW w:w="1317" w:type="dxa"/>
          </w:tcPr>
          <w:p w14:paraId="1B8D985F">
            <w:pPr>
              <w:pStyle w:val="12"/>
              <w:rPr>
                <w:rFonts w:ascii="宋体" w:hAnsi="宋体" w:eastAsia="宋体" w:cs="宋体"/>
                <w:lang w:eastAsia="zh-CN"/>
              </w:rPr>
            </w:pPr>
          </w:p>
        </w:tc>
        <w:tc>
          <w:tcPr>
            <w:tcW w:w="1141" w:type="dxa"/>
          </w:tcPr>
          <w:p w14:paraId="688F0AC4">
            <w:pPr>
              <w:pStyle w:val="12"/>
              <w:rPr>
                <w:rFonts w:ascii="宋体" w:hAnsi="宋体" w:eastAsia="宋体" w:cs="宋体"/>
                <w:lang w:eastAsia="zh-CN"/>
              </w:rPr>
            </w:pPr>
          </w:p>
        </w:tc>
        <w:tc>
          <w:tcPr>
            <w:tcW w:w="932" w:type="dxa"/>
          </w:tcPr>
          <w:p w14:paraId="23743C91">
            <w:pPr>
              <w:pStyle w:val="12"/>
              <w:rPr>
                <w:rFonts w:ascii="宋体" w:hAnsi="宋体" w:eastAsia="宋体" w:cs="宋体"/>
                <w:lang w:eastAsia="zh-CN"/>
              </w:rPr>
            </w:pPr>
          </w:p>
        </w:tc>
      </w:tr>
      <w:tr w14:paraId="30CE6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34" w:type="dxa"/>
            <w:bottom w:w="57" w:type="dxa"/>
            <w:right w:w="34" w:type="dxa"/>
          </w:tblCellMar>
        </w:tblPrEx>
        <w:trPr>
          <w:trHeight w:val="849" w:hRule="atLeast"/>
        </w:trPr>
        <w:tc>
          <w:tcPr>
            <w:tcW w:w="659" w:type="dxa"/>
            <w:vAlign w:val="center"/>
          </w:tcPr>
          <w:p w14:paraId="7CE6A466">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12</w:t>
            </w:r>
          </w:p>
        </w:tc>
        <w:tc>
          <w:tcPr>
            <w:tcW w:w="5810" w:type="dxa"/>
          </w:tcPr>
          <w:p w14:paraId="5ADAF71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十二、评审方式</w:t>
            </w:r>
          </w:p>
          <w:p w14:paraId="3BCE463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本项目的评审采用最低价法（报价格式详见响应文件模板中（一）报价单），在符合项目需求的前提下，选取最低价格为拟中选供应商，如有两家或以上供应商相同报价时，以平台响应报名时间更早者为优先。</w:t>
            </w:r>
            <w:bookmarkStart w:id="0" w:name="_GoBack"/>
            <w:bookmarkEnd w:id="0"/>
          </w:p>
        </w:tc>
        <w:tc>
          <w:tcPr>
            <w:tcW w:w="1317" w:type="dxa"/>
          </w:tcPr>
          <w:p w14:paraId="417A680A">
            <w:pPr>
              <w:pStyle w:val="12"/>
              <w:rPr>
                <w:rFonts w:ascii="宋体" w:hAnsi="宋体" w:eastAsia="宋体" w:cs="宋体"/>
                <w:lang w:eastAsia="zh-CN"/>
              </w:rPr>
            </w:pPr>
          </w:p>
        </w:tc>
        <w:tc>
          <w:tcPr>
            <w:tcW w:w="1141" w:type="dxa"/>
          </w:tcPr>
          <w:p w14:paraId="6EF1C9DD">
            <w:pPr>
              <w:pStyle w:val="12"/>
              <w:rPr>
                <w:rFonts w:ascii="宋体" w:hAnsi="宋体" w:eastAsia="宋体" w:cs="宋体"/>
                <w:lang w:eastAsia="zh-CN"/>
              </w:rPr>
            </w:pPr>
          </w:p>
        </w:tc>
        <w:tc>
          <w:tcPr>
            <w:tcW w:w="932" w:type="dxa"/>
          </w:tcPr>
          <w:p w14:paraId="0EFE154E">
            <w:pPr>
              <w:pStyle w:val="12"/>
              <w:rPr>
                <w:rFonts w:ascii="宋体" w:hAnsi="宋体" w:eastAsia="宋体" w:cs="宋体"/>
                <w:lang w:eastAsia="zh-CN"/>
              </w:rPr>
            </w:pPr>
          </w:p>
        </w:tc>
      </w:tr>
    </w:tbl>
    <w:p w14:paraId="5EFF081B">
      <w:pPr>
        <w:rPr>
          <w:lang w:eastAsia="zh-CN"/>
        </w:rPr>
      </w:pPr>
    </w:p>
    <w:p w14:paraId="3447D6D1">
      <w:pPr>
        <w:rPr>
          <w:lang w:eastAsia="zh-CN"/>
        </w:rPr>
      </w:pPr>
      <w:r>
        <w:rPr>
          <w:lang w:eastAsia="zh-CN"/>
        </w:rPr>
        <w:br w:type="page"/>
      </w:r>
    </w:p>
    <w:p w14:paraId="0B84180D">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十三、拟投入人员配置清单：</w:t>
      </w:r>
    </w:p>
    <w:p w14:paraId="348DF894">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 拟投入项目负责人：1名，具备一级注册消防工程师资格。</w:t>
      </w:r>
    </w:p>
    <w:p w14:paraId="68CADD2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 拟投入技术负责人：1名，具备一级注册消防工程师资格。</w:t>
      </w:r>
    </w:p>
    <w:p w14:paraId="4CAF1D64">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 拟投入维保团队人员：多名，中级以上消防设施操作员不少于2人（其中1人要持低压电工作业证）</w:t>
      </w:r>
    </w:p>
    <w:p w14:paraId="7D41CDD9">
      <w:pPr>
        <w:keepNext w:val="0"/>
        <w:keepLines w:val="0"/>
        <w:pageBreakBefore w:val="0"/>
        <w:widowControl/>
        <w:kinsoku w:val="0"/>
        <w:wordWrap/>
        <w:overflowPunct/>
        <w:topLinePunct w:val="0"/>
        <w:autoSpaceDE w:val="0"/>
        <w:autoSpaceDN w:val="0"/>
        <w:bidi w:val="0"/>
        <w:adjustRightInd w:val="0"/>
        <w:snapToGrid w:val="0"/>
        <w:spacing w:before="0" w:before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w:t>
      </w:r>
    </w:p>
    <w:p w14:paraId="4A274DAC">
      <w:pPr>
        <w:spacing w:before="41" w:line="227" w:lineRule="auto"/>
        <w:jc w:val="both"/>
        <w:rPr>
          <w:rFonts w:hint="eastAsia" w:ascii="宋体" w:hAnsi="宋体" w:eastAsia="宋体" w:cs="宋体"/>
          <w:b/>
          <w:bCs/>
          <w:spacing w:val="5"/>
          <w:sz w:val="20"/>
          <w:szCs w:val="20"/>
          <w:lang w:val="en-US" w:eastAsia="zh-CN"/>
        </w:rPr>
      </w:pPr>
    </w:p>
    <w:tbl>
      <w:tblPr>
        <w:tblStyle w:val="11"/>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项目负责人</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技术负责人</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41" w:line="227" w:lineRule="auto"/>
              <w:jc w:val="cente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41" w:line="227" w:lineRule="auto"/>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41" w:line="227" w:lineRule="auto"/>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41" w:line="227" w:lineRule="auto"/>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41" w:line="227" w:lineRule="auto"/>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41" w:line="227" w:lineRule="auto"/>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41" w:line="227" w:lineRule="auto"/>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49B9EC5F">
      <w:pPr>
        <w:spacing w:before="41" w:line="227" w:lineRule="auto"/>
        <w:jc w:val="both"/>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注：供应商必须如实填写此表格。（此表可延长）</w:t>
      </w:r>
    </w:p>
    <w:p w14:paraId="29D420FE">
      <w:pPr>
        <w:rPr>
          <w:rFonts w:ascii="宋体" w:hAnsi="宋体" w:eastAsia="宋体" w:cs="宋体"/>
          <w:b/>
          <w:bCs/>
          <w:spacing w:val="5"/>
          <w:sz w:val="20"/>
          <w:szCs w:val="20"/>
          <w:lang w:eastAsia="zh-CN"/>
        </w:rPr>
      </w:pPr>
      <w:r>
        <w:rPr>
          <w:rFonts w:ascii="宋体" w:hAnsi="宋体" w:eastAsia="宋体" w:cs="宋体"/>
          <w:b/>
          <w:bCs/>
          <w:spacing w:val="5"/>
          <w:sz w:val="20"/>
          <w:szCs w:val="20"/>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十四、近三年同类业绩相关证明文件，须提供合同关键页复印件（加盖公章）。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2"/>
        <w:spacing w:line="260" w:lineRule="auto"/>
        <w:rPr>
          <w:lang w:eastAsia="zh-CN"/>
        </w:rPr>
      </w:pPr>
    </w:p>
    <w:p w14:paraId="2CD238D2">
      <w:pPr>
        <w:pStyle w:val="2"/>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1"/>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2"/>
            </w:pPr>
          </w:p>
        </w:tc>
        <w:tc>
          <w:tcPr>
            <w:tcW w:w="1854" w:type="dxa"/>
          </w:tcPr>
          <w:p w14:paraId="43601105">
            <w:pPr>
              <w:pStyle w:val="12"/>
            </w:pPr>
          </w:p>
        </w:tc>
        <w:tc>
          <w:tcPr>
            <w:tcW w:w="1986" w:type="dxa"/>
          </w:tcPr>
          <w:p w14:paraId="6311272B">
            <w:pPr>
              <w:pStyle w:val="12"/>
            </w:pPr>
          </w:p>
        </w:tc>
        <w:tc>
          <w:tcPr>
            <w:tcW w:w="1722" w:type="dxa"/>
          </w:tcPr>
          <w:p w14:paraId="3768DC7F">
            <w:pPr>
              <w:pStyle w:val="12"/>
            </w:pPr>
          </w:p>
        </w:tc>
        <w:tc>
          <w:tcPr>
            <w:tcW w:w="1191" w:type="dxa"/>
          </w:tcPr>
          <w:p w14:paraId="2305DC57">
            <w:pPr>
              <w:pStyle w:val="12"/>
            </w:pPr>
          </w:p>
        </w:tc>
        <w:tc>
          <w:tcPr>
            <w:tcW w:w="1471" w:type="dxa"/>
            <w:tcBorders>
              <w:right w:val="single" w:color="000000" w:sz="2" w:space="0"/>
            </w:tcBorders>
          </w:tcPr>
          <w:p w14:paraId="1DC4DC5D">
            <w:pPr>
              <w:pStyle w:val="12"/>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2"/>
            </w:pPr>
          </w:p>
        </w:tc>
        <w:tc>
          <w:tcPr>
            <w:tcW w:w="1854" w:type="dxa"/>
          </w:tcPr>
          <w:p w14:paraId="26C3F9DC">
            <w:pPr>
              <w:pStyle w:val="12"/>
            </w:pPr>
          </w:p>
        </w:tc>
        <w:tc>
          <w:tcPr>
            <w:tcW w:w="1986" w:type="dxa"/>
          </w:tcPr>
          <w:p w14:paraId="0C8FC5A6">
            <w:pPr>
              <w:pStyle w:val="12"/>
            </w:pPr>
          </w:p>
        </w:tc>
        <w:tc>
          <w:tcPr>
            <w:tcW w:w="1722" w:type="dxa"/>
          </w:tcPr>
          <w:p w14:paraId="036176B2">
            <w:pPr>
              <w:pStyle w:val="12"/>
            </w:pPr>
          </w:p>
        </w:tc>
        <w:tc>
          <w:tcPr>
            <w:tcW w:w="1191" w:type="dxa"/>
          </w:tcPr>
          <w:p w14:paraId="69BDA775">
            <w:pPr>
              <w:pStyle w:val="12"/>
            </w:pPr>
          </w:p>
        </w:tc>
        <w:tc>
          <w:tcPr>
            <w:tcW w:w="1471" w:type="dxa"/>
            <w:tcBorders>
              <w:right w:val="single" w:color="000000" w:sz="2" w:space="0"/>
            </w:tcBorders>
          </w:tcPr>
          <w:p w14:paraId="74EE419A">
            <w:pPr>
              <w:pStyle w:val="12"/>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2"/>
            </w:pPr>
          </w:p>
        </w:tc>
        <w:tc>
          <w:tcPr>
            <w:tcW w:w="1854" w:type="dxa"/>
            <w:tcBorders>
              <w:bottom w:val="single" w:color="000000" w:sz="2" w:space="0"/>
            </w:tcBorders>
          </w:tcPr>
          <w:p w14:paraId="40B04108">
            <w:pPr>
              <w:pStyle w:val="12"/>
            </w:pPr>
          </w:p>
        </w:tc>
        <w:tc>
          <w:tcPr>
            <w:tcW w:w="1986" w:type="dxa"/>
            <w:tcBorders>
              <w:bottom w:val="single" w:color="000000" w:sz="2" w:space="0"/>
            </w:tcBorders>
          </w:tcPr>
          <w:p w14:paraId="4C40CFD8">
            <w:pPr>
              <w:pStyle w:val="12"/>
            </w:pPr>
          </w:p>
        </w:tc>
        <w:tc>
          <w:tcPr>
            <w:tcW w:w="1722" w:type="dxa"/>
            <w:tcBorders>
              <w:bottom w:val="single" w:color="000000" w:sz="2" w:space="0"/>
            </w:tcBorders>
          </w:tcPr>
          <w:p w14:paraId="4F595AE5">
            <w:pPr>
              <w:pStyle w:val="12"/>
            </w:pPr>
          </w:p>
        </w:tc>
        <w:tc>
          <w:tcPr>
            <w:tcW w:w="1191" w:type="dxa"/>
            <w:tcBorders>
              <w:bottom w:val="single" w:color="000000" w:sz="2" w:space="0"/>
            </w:tcBorders>
          </w:tcPr>
          <w:p w14:paraId="7692FA63">
            <w:pPr>
              <w:pStyle w:val="12"/>
            </w:pPr>
          </w:p>
        </w:tc>
        <w:tc>
          <w:tcPr>
            <w:tcW w:w="1471" w:type="dxa"/>
            <w:tcBorders>
              <w:bottom w:val="single" w:color="000000" w:sz="2" w:space="0"/>
              <w:right w:val="single" w:color="000000" w:sz="2" w:space="0"/>
            </w:tcBorders>
          </w:tcPr>
          <w:p w14:paraId="48AC055B">
            <w:pPr>
              <w:pStyle w:val="12"/>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2"/>
        <w:spacing w:line="270" w:lineRule="auto"/>
        <w:rPr>
          <w:lang w:eastAsia="zh-CN"/>
        </w:rPr>
      </w:pPr>
    </w:p>
    <w:p w14:paraId="0D453BE2">
      <w:pPr>
        <w:pStyle w:val="2"/>
        <w:spacing w:line="270" w:lineRule="auto"/>
        <w:rPr>
          <w:lang w:eastAsia="zh-CN"/>
        </w:rPr>
      </w:pPr>
    </w:p>
    <w:p w14:paraId="7263ABBE">
      <w:pPr>
        <w:pStyle w:val="2"/>
        <w:spacing w:line="270" w:lineRule="auto"/>
        <w:rPr>
          <w:lang w:eastAsia="zh-CN"/>
        </w:rPr>
      </w:pPr>
    </w:p>
    <w:p w14:paraId="1E0368E6">
      <w:pPr>
        <w:pStyle w:val="2"/>
        <w:spacing w:line="270" w:lineRule="auto"/>
        <w:rPr>
          <w:lang w:eastAsia="zh-CN"/>
        </w:rPr>
      </w:pPr>
    </w:p>
    <w:p w14:paraId="4F1157A5">
      <w:pPr>
        <w:pStyle w:val="2"/>
        <w:spacing w:line="270" w:lineRule="auto"/>
        <w:rPr>
          <w:lang w:eastAsia="zh-CN"/>
        </w:rPr>
      </w:pPr>
    </w:p>
    <w:p w14:paraId="66CFC844">
      <w:pPr>
        <w:pStyle w:val="2"/>
        <w:spacing w:line="270" w:lineRule="auto"/>
        <w:rPr>
          <w:lang w:eastAsia="zh-CN"/>
        </w:rPr>
      </w:pPr>
    </w:p>
    <w:p w14:paraId="480F5979">
      <w:pPr>
        <w:pStyle w:val="2"/>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474" w:bottom="907" w:left="1474" w:header="0" w:footer="0" w:gutter="0"/>
          <w:cols w:space="720" w:num="1"/>
        </w:sectPr>
      </w:pPr>
    </w:p>
    <w:p w14:paraId="1E0512C9">
      <w:pPr>
        <w:spacing w:before="41"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五、承诺函（格式自拟，加盖公章），包括但不限于：①设立24小时值班电话，当系统出现严重故障或发生火灾时，维保人员必须保证在30分钟到场，如遇特殊情况如堵车等情况会提前告知采购人。一般故障要求在48小时内处理完毕，遇上特殊故障，成交供应商需另行向采购人汇报，商议解决方案及时间等；②成交供应商应确保维保人员的稳定性，经采购人认可的维保人员不得随意频繁更换，如因成交供应商原因需更换的，需向采购人提出书面更换申请并经采购人同意后方可进行更换，且不得影响消防维保服务工作的正常开展。</w:t>
      </w:r>
    </w:p>
    <w:p w14:paraId="093ECB0B">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包括但不限于：项目服务方案、应急服务方案等。</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十七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1D5029"/>
    <w:rsid w:val="01E26336"/>
    <w:rsid w:val="0334400A"/>
    <w:rsid w:val="03945D38"/>
    <w:rsid w:val="04CE0985"/>
    <w:rsid w:val="05D250F6"/>
    <w:rsid w:val="06794550"/>
    <w:rsid w:val="06BE352D"/>
    <w:rsid w:val="07D772C8"/>
    <w:rsid w:val="07DE22A7"/>
    <w:rsid w:val="08805332"/>
    <w:rsid w:val="0A1B60BD"/>
    <w:rsid w:val="0A382368"/>
    <w:rsid w:val="0B8C0205"/>
    <w:rsid w:val="0C9F4821"/>
    <w:rsid w:val="0D5D5C42"/>
    <w:rsid w:val="0E881903"/>
    <w:rsid w:val="0E9C78E3"/>
    <w:rsid w:val="0F846B80"/>
    <w:rsid w:val="10D939A5"/>
    <w:rsid w:val="1256368A"/>
    <w:rsid w:val="126C008B"/>
    <w:rsid w:val="1291195C"/>
    <w:rsid w:val="13666B31"/>
    <w:rsid w:val="15DE349E"/>
    <w:rsid w:val="16CC646C"/>
    <w:rsid w:val="16DD5993"/>
    <w:rsid w:val="18C80C4B"/>
    <w:rsid w:val="1A313889"/>
    <w:rsid w:val="1A923556"/>
    <w:rsid w:val="1BF62280"/>
    <w:rsid w:val="1C616530"/>
    <w:rsid w:val="1CC75B39"/>
    <w:rsid w:val="1E9D0594"/>
    <w:rsid w:val="1EA21FDF"/>
    <w:rsid w:val="1EDF5020"/>
    <w:rsid w:val="1F51709C"/>
    <w:rsid w:val="1FCB0CC2"/>
    <w:rsid w:val="20607AD1"/>
    <w:rsid w:val="20BE2A44"/>
    <w:rsid w:val="21501E7F"/>
    <w:rsid w:val="22732647"/>
    <w:rsid w:val="23197101"/>
    <w:rsid w:val="231E7145"/>
    <w:rsid w:val="23487B36"/>
    <w:rsid w:val="267A1EFC"/>
    <w:rsid w:val="2695736E"/>
    <w:rsid w:val="26B446CD"/>
    <w:rsid w:val="27867BF7"/>
    <w:rsid w:val="281105FD"/>
    <w:rsid w:val="28580DF7"/>
    <w:rsid w:val="2AB638E3"/>
    <w:rsid w:val="2F026E56"/>
    <w:rsid w:val="2F5129F3"/>
    <w:rsid w:val="2F7E615E"/>
    <w:rsid w:val="2FEE46D7"/>
    <w:rsid w:val="336C189B"/>
    <w:rsid w:val="344E5133"/>
    <w:rsid w:val="36073C0B"/>
    <w:rsid w:val="3A1D2D49"/>
    <w:rsid w:val="3ABE3843"/>
    <w:rsid w:val="3B082DE1"/>
    <w:rsid w:val="3EB26D88"/>
    <w:rsid w:val="3F7A12F5"/>
    <w:rsid w:val="40671DCB"/>
    <w:rsid w:val="40C03509"/>
    <w:rsid w:val="41C53BAE"/>
    <w:rsid w:val="41DC339B"/>
    <w:rsid w:val="433379C8"/>
    <w:rsid w:val="4427517F"/>
    <w:rsid w:val="49A32D66"/>
    <w:rsid w:val="4A35401A"/>
    <w:rsid w:val="4A4831FA"/>
    <w:rsid w:val="4C030C69"/>
    <w:rsid w:val="4C9A2CDF"/>
    <w:rsid w:val="4FAF7B58"/>
    <w:rsid w:val="50573AD2"/>
    <w:rsid w:val="5178029F"/>
    <w:rsid w:val="518D597A"/>
    <w:rsid w:val="54B97F1A"/>
    <w:rsid w:val="5500455B"/>
    <w:rsid w:val="550153AB"/>
    <w:rsid w:val="556A1102"/>
    <w:rsid w:val="560308C8"/>
    <w:rsid w:val="5774562F"/>
    <w:rsid w:val="577F3744"/>
    <w:rsid w:val="58514D81"/>
    <w:rsid w:val="58EA5D45"/>
    <w:rsid w:val="590B523B"/>
    <w:rsid w:val="5A276988"/>
    <w:rsid w:val="5E5E5F4E"/>
    <w:rsid w:val="5F1A2F60"/>
    <w:rsid w:val="6AE7340E"/>
    <w:rsid w:val="6B147BF9"/>
    <w:rsid w:val="6C143FC0"/>
    <w:rsid w:val="701514FB"/>
    <w:rsid w:val="70FD2C81"/>
    <w:rsid w:val="73252077"/>
    <w:rsid w:val="7372318C"/>
    <w:rsid w:val="738B6B2A"/>
    <w:rsid w:val="75E87F4B"/>
    <w:rsid w:val="77497A71"/>
    <w:rsid w:val="790F76AC"/>
    <w:rsid w:val="796901D9"/>
    <w:rsid w:val="7CF17C98"/>
    <w:rsid w:val="7EBE700C"/>
    <w:rsid w:val="7EEC0B7A"/>
    <w:rsid w:val="7F93440F"/>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qFormat/>
    <w:uiPriority w:val="0"/>
  </w:style>
  <w:style w:type="paragraph" w:styleId="3">
    <w:name w:val="toc 5"/>
    <w:basedOn w:val="1"/>
    <w:next w:val="1"/>
    <w:qFormat/>
    <w:uiPriority w:val="0"/>
    <w:pPr>
      <w:ind w:left="840"/>
      <w:jc w:val="left"/>
    </w:pPr>
    <w:rPr>
      <w:rFonts w:ascii="Calibri" w:hAnsi="Calibri" w:cs="Calibri"/>
      <w:sz w:val="18"/>
      <w:szCs w:val="18"/>
    </w:rPr>
  </w:style>
  <w:style w:type="paragraph" w:styleId="5">
    <w:name w:val="Body Text Indent 2"/>
    <w:basedOn w:val="1"/>
    <w:link w:val="13"/>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paragraph" w:customStyle="1" w:styleId="1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style>
  <w:style w:type="character" w:customStyle="1" w:styleId="13">
    <w:name w:val="正文文本缩进 2 Char"/>
    <w:link w:val="5"/>
    <w:autoRedefine/>
    <w:qFormat/>
    <w:uiPriority w:val="0"/>
    <w:rPr>
      <w:szCs w:val="20"/>
    </w:rPr>
  </w:style>
  <w:style w:type="character" w:customStyle="1" w:styleId="14">
    <w:name w:val="font11"/>
    <w:basedOn w:val="8"/>
    <w:autoRedefine/>
    <w:qFormat/>
    <w:uiPriority w:val="0"/>
    <w:rPr>
      <w:rFonts w:hint="eastAsia" w:ascii="宋体" w:hAnsi="宋体" w:eastAsia="宋体" w:cs="宋体"/>
      <w:color w:val="000000"/>
      <w:sz w:val="22"/>
      <w:szCs w:val="22"/>
      <w:u w:val="single"/>
    </w:rPr>
  </w:style>
  <w:style w:type="character" w:customStyle="1" w:styleId="15">
    <w:name w:val="font31"/>
    <w:basedOn w:val="8"/>
    <w:qFormat/>
    <w:uiPriority w:val="0"/>
    <w:rPr>
      <w:rFonts w:hint="eastAsia" w:ascii="宋体" w:hAnsi="宋体" w:eastAsia="宋体" w:cs="宋体"/>
      <w:color w:val="000000"/>
      <w:sz w:val="21"/>
      <w:szCs w:val="21"/>
      <w:u w:val="none"/>
    </w:rPr>
  </w:style>
  <w:style w:type="paragraph" w:styleId="16">
    <w:name w:val="List Paragraph"/>
    <w:basedOn w:val="1"/>
    <w:qFormat/>
    <w:uiPriority w:val="34"/>
    <w:pPr>
      <w:widowControl/>
      <w:ind w:firstLine="420" w:firstLineChars="200"/>
      <w:jc w:val="left"/>
    </w:pPr>
    <w:rPr>
      <w:kern w:val="0"/>
      <w:szCs w:val="20"/>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28</Pages>
  <Words>837</Words>
  <Characters>911</Characters>
  <Lines>55</Lines>
  <Paragraphs>15</Paragraphs>
  <TotalTime>0</TotalTime>
  <ScaleCrop>false</ScaleCrop>
  <LinksUpToDate>false</LinksUpToDate>
  <CharactersWithSpaces>967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2026-07-23T11:21:58Z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