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301EF7BF">
      <w:pPr>
        <w:spacing w:before="153" w:line="295" w:lineRule="auto"/>
        <w:ind w:right="191"/>
        <w:jc w:val="center"/>
        <w:outlineLvl w:val="0"/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中山市东升医院德尔格呼吸机维修</w:t>
      </w:r>
    </w:p>
    <w:p w14:paraId="61EA706F">
      <w:pPr>
        <w:spacing w:before="153" w:line="295" w:lineRule="auto"/>
        <w:ind w:right="191"/>
        <w:jc w:val="center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项目（三次）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一、报价单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623E1AD6">
      <w:pPr>
        <w:spacing w:before="229" w:line="378" w:lineRule="auto"/>
        <w:ind w:left="120" w:right="113" w:firstLine="421"/>
        <w:jc w:val="both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145C478F">
      <w:pPr>
        <w:spacing w:before="76"/>
      </w:pPr>
    </w:p>
    <w:p w14:paraId="06CE8DBD">
      <w:pPr>
        <w:spacing w:before="76"/>
      </w:pPr>
    </w:p>
    <w:tbl>
      <w:tblPr>
        <w:tblStyle w:val="9"/>
        <w:tblW w:w="852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4"/>
        <w:gridCol w:w="2943"/>
        <w:gridCol w:w="2413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64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943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13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  <w:jc w:val="center"/>
        </w:trPr>
        <w:tc>
          <w:tcPr>
            <w:tcW w:w="3164" w:type="dxa"/>
            <w:vAlign w:val="center"/>
          </w:tcPr>
          <w:p w14:paraId="15FE9704">
            <w:pPr>
              <w:ind w:left="142" w:right="108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中山市东升医院德尔格呼吸机维修项目（三次）</w:t>
            </w:r>
          </w:p>
        </w:tc>
        <w:tc>
          <w:tcPr>
            <w:tcW w:w="2943" w:type="dxa"/>
            <w:vAlign w:val="center"/>
          </w:tcPr>
          <w:p w14:paraId="7DDAFCE5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/>
              <w:jc w:val="center"/>
              <w:textAlignment w:val="baseline"/>
              <w:outlineLvl w:val="0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小写：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  <w:p w14:paraId="71C96119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/>
              <w:jc w:val="center"/>
              <w:textAlignment w:val="baseline"/>
              <w:outlineLvl w:val="0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大写：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413" w:type="dxa"/>
            <w:vAlign w:val="center"/>
          </w:tcPr>
          <w:p w14:paraId="417A2084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</w:tr>
    </w:tbl>
    <w:p w14:paraId="0CFDB52E">
      <w:pPr>
        <w:pStyle w:val="3"/>
        <w:spacing w:line="371" w:lineRule="auto"/>
      </w:pPr>
    </w:p>
    <w:p w14:paraId="2E5522CF">
      <w:pPr>
        <w:pStyle w:val="3"/>
        <w:spacing w:line="371" w:lineRule="auto"/>
      </w:pPr>
    </w:p>
    <w:p w14:paraId="1EFC8127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4771C8B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报价金额必须为固定报价，不接受区间报价，报价范围不能为负数，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供应商须按要求填写所有信息，报价的金额最多保留一位小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数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点，不得随意更改本表格式。</w:t>
      </w:r>
    </w:p>
    <w:p w14:paraId="5E5536D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2. 报价金额大小写不一致时，以大写金额为准(若小写正确且能反映真实意图，可申请澄清以小写修正大写)。</w:t>
      </w:r>
    </w:p>
    <w:p w14:paraId="28B074C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3. 本项目的评审采用最低价法方式（报价格式详见响应文件模板中（一）报价单），在符合项目需求的前提下，拟选取最低价格为中选服务商，如有两家或以上服务商相同报价时，由评审专家按技术方案优劣等综合因素择优选取。</w:t>
      </w:r>
    </w:p>
    <w:p w14:paraId="1C2318B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default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4. 报价次数：1次。</w:t>
      </w:r>
    </w:p>
    <w:p w14:paraId="443346DB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7FE1AE2A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B7B6E8C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F66F77B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30D1DA3C">
      <w:pPr>
        <w:spacing w:before="41" w:line="228" w:lineRule="auto"/>
        <w:ind w:left="26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二、承诺函</w:t>
      </w:r>
    </w:p>
    <w:p w14:paraId="2CD86ADA">
      <w:pPr>
        <w:spacing w:before="171" w:line="220" w:lineRule="auto"/>
        <w:ind w:left="3753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  <w:lang w:eastAsia="zh-CN"/>
        </w:rPr>
        <w:t>承诺函</w:t>
      </w:r>
    </w:p>
    <w:p w14:paraId="38D539D1">
      <w:pPr>
        <w:pStyle w:val="3"/>
        <w:spacing w:line="325" w:lineRule="auto"/>
        <w:rPr>
          <w:lang w:eastAsia="zh-CN"/>
        </w:rPr>
      </w:pPr>
    </w:p>
    <w:p w14:paraId="0DF79E5D">
      <w:pPr>
        <w:pStyle w:val="3"/>
        <w:spacing w:line="326" w:lineRule="auto"/>
        <w:rPr>
          <w:lang w:eastAsia="zh-CN"/>
        </w:rPr>
      </w:pPr>
    </w:p>
    <w:p w14:paraId="51B76E4A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医院：</w:t>
      </w:r>
    </w:p>
    <w:p w14:paraId="03EF4C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4" w:line="324" w:lineRule="auto"/>
        <w:ind w:left="23" w:firstLine="480" w:firstLineChars="200"/>
        <w:textAlignment w:val="baseline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本公司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（公司名称）参加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中山市东升医院德尔格呼吸机维修项目（三次）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，现承诺：</w:t>
      </w:r>
    </w:p>
    <w:p w14:paraId="482A1B93">
      <w:pPr>
        <w:spacing w:before="180" w:line="219" w:lineRule="auto"/>
        <w:ind w:left="5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我公司满足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的资格要求，包括（不限于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）：</w:t>
      </w:r>
    </w:p>
    <w:p w14:paraId="55E0D0C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（1）具有独立承担民事责任的能力；</w:t>
      </w:r>
    </w:p>
    <w:p w14:paraId="0C7FD4E7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（2）具有良好的商业信誉和健全的财务制度；</w:t>
      </w:r>
    </w:p>
    <w:p w14:paraId="1DB80918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（3）具有履行合同所必需的设备和专业技术能力；</w:t>
      </w:r>
    </w:p>
    <w:p w14:paraId="0E661470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（4）有依法缴纳税收和社会保障资金的良好记录；</w:t>
      </w:r>
    </w:p>
    <w:p w14:paraId="6EB0292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（5）参加采购活动前三年内，在经营活动中没有重大违法记录；</w:t>
      </w:r>
    </w:p>
    <w:p w14:paraId="5D2CFDA2">
      <w:pPr>
        <w:spacing w:before="181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（6）法律、行政法规规定的其他条件；</w:t>
      </w:r>
    </w:p>
    <w:p w14:paraId="0912C680">
      <w:pPr>
        <w:spacing w:before="183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（7）根据采购项目提出的特殊条件。</w:t>
      </w:r>
    </w:p>
    <w:p w14:paraId="2693DF86">
      <w:pPr>
        <w:spacing w:before="182" w:line="324" w:lineRule="auto"/>
        <w:ind w:left="982" w:hanging="46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（8）截止报价时间未被列入“信用中国”网站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宋体" w:hAnsi="宋体" w:eastAsia="宋体" w:cs="宋体"/>
          <w:spacing w:val="-4"/>
          <w:sz w:val="24"/>
          <w:szCs w:val="24"/>
        </w:rPr>
        <w:t>www.creditchina.gov.cn</w:t>
      </w:r>
      <w:r>
        <w:rPr>
          <w:rFonts w:ascii="宋体" w:hAnsi="宋体" w:eastAsia="宋体" w:cs="宋体"/>
          <w:spacing w:val="-4"/>
          <w:sz w:val="24"/>
          <w:szCs w:val="24"/>
        </w:rPr>
        <w:fldChar w:fldCharType="end"/>
      </w:r>
      <w:r>
        <w:rPr>
          <w:rFonts w:ascii="宋体" w:hAnsi="宋体" w:eastAsia="宋体" w:cs="宋体"/>
          <w:spacing w:val="-4"/>
          <w:sz w:val="24"/>
          <w:szCs w:val="24"/>
        </w:rPr>
        <w:t>)、</w:t>
      </w:r>
      <w:r>
        <w:rPr>
          <w:rFonts w:ascii="宋体" w:hAnsi="宋体" w:eastAsia="宋体" w:cs="宋体"/>
          <w:sz w:val="24"/>
          <w:szCs w:val="24"/>
        </w:rPr>
        <w:t>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宋体" w:hAnsi="宋体" w:eastAsia="宋体" w:cs="宋体"/>
          <w:sz w:val="24"/>
          <w:szCs w:val="24"/>
        </w:rPr>
        <w:t>www.ccgp.gov.cn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ascii="宋体" w:hAnsi="宋体" w:eastAsia="宋体" w:cs="宋体"/>
          <w:sz w:val="24"/>
          <w:szCs w:val="24"/>
        </w:rPr>
        <w:t>)渠道信用记录失信被执行人、重大</w:t>
      </w:r>
      <w:r>
        <w:rPr>
          <w:rFonts w:ascii="宋体" w:hAnsi="宋体" w:eastAsia="宋体" w:cs="宋体"/>
          <w:spacing w:val="-4"/>
          <w:sz w:val="24"/>
          <w:szCs w:val="24"/>
        </w:rPr>
        <w:t>税收违法案件当事人名单、政府采购严重违法失信行为记录名单；未处</w:t>
      </w:r>
      <w:r>
        <w:rPr>
          <w:rFonts w:ascii="宋体" w:hAnsi="宋体" w:eastAsia="宋体" w:cs="宋体"/>
          <w:sz w:val="24"/>
          <w:szCs w:val="24"/>
        </w:rPr>
        <w:t>于政府部门禁止代理政府采购业务处罚期、未</w:t>
      </w:r>
      <w:r>
        <w:rPr>
          <w:rFonts w:ascii="宋体" w:hAnsi="宋体" w:eastAsia="宋体" w:cs="宋体"/>
          <w:spacing w:val="-1"/>
          <w:sz w:val="24"/>
          <w:szCs w:val="24"/>
        </w:rPr>
        <w:t>在我院禁止参与期内。</w:t>
      </w:r>
    </w:p>
    <w:p w14:paraId="4F8AEB64">
      <w:pPr>
        <w:spacing w:before="302" w:line="313" w:lineRule="auto"/>
        <w:ind w:left="23" w:right="188" w:firstLine="48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  <w:lang w:eastAsia="zh-CN"/>
        </w:rPr>
        <w:t>2.我方已认真阅读并接受本项目采购文件的全部实质性要求，如对采购文件有异议，已依法进行维权救济，不存在对采购文件有异议的同时又参加采购</w:t>
      </w:r>
      <w:r>
        <w:rPr>
          <w:rFonts w:ascii="宋体" w:hAnsi="宋体" w:eastAsia="宋体" w:cs="宋体"/>
          <w:b/>
          <w:bCs/>
          <w:spacing w:val="-3"/>
          <w:sz w:val="24"/>
          <w:szCs w:val="24"/>
          <w:lang w:eastAsia="zh-CN"/>
        </w:rPr>
        <w:t>活动以求侥幸成交或者为实现其他非法目的的行为。</w:t>
      </w:r>
    </w:p>
    <w:p w14:paraId="07235551">
      <w:pPr>
        <w:spacing w:before="180" w:line="218" w:lineRule="auto"/>
        <w:ind w:left="50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3.本项目报价有效期为90</w:t>
      </w:r>
      <w:r>
        <w:rPr>
          <w:rFonts w:ascii="宋体" w:hAnsi="宋体" w:eastAsia="宋体" w:cs="宋体"/>
          <w:spacing w:val="-4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天</w:t>
      </w:r>
    </w:p>
    <w:p w14:paraId="45D06A99">
      <w:pPr>
        <w:spacing w:before="185" w:line="289" w:lineRule="auto"/>
        <w:ind w:left="44" w:right="80" w:firstLine="45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4.响应文件中提供的任何资料和技术、服务、商务等响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应承诺情况都是真实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的、有效的、合法的。</w:t>
      </w:r>
    </w:p>
    <w:p w14:paraId="06724220">
      <w:pPr>
        <w:spacing w:before="183" w:line="312" w:lineRule="auto"/>
        <w:ind w:left="23" w:right="80" w:firstLine="48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5.如本项目采购过程中需要提供样品，则我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方提供的样品即为成交后将要提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供的成交产品，我方对提供样品的性能和质量负责，因样品存在缺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陷或者不符合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采购文件要求导致未能成交的，我方愿意承担相应不利后果。</w:t>
      </w:r>
    </w:p>
    <w:p w14:paraId="023B0AB4">
      <w:pPr>
        <w:spacing w:before="181" w:line="290" w:lineRule="auto"/>
        <w:ind w:left="25" w:right="80" w:firstLine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6.国家或行业主管部门对采购产品的技术标准、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质量标准和资格资质条件等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有强制性规定的，我方承诺符合其要求。</w:t>
      </w:r>
    </w:p>
    <w:p w14:paraId="38537FBC">
      <w:pPr>
        <w:spacing w:line="290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83CCCE2">
      <w:pPr>
        <w:spacing w:before="48" w:line="289" w:lineRule="auto"/>
        <w:ind w:left="44" w:firstLine="46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7.参加本次采购活动，我方完全同意采购文件“合同分包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”、“合同转包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的实质性要求，并承诺严格按照采购文件要求履行。</w:t>
      </w:r>
    </w:p>
    <w:p w14:paraId="64E7E5D4">
      <w:pPr>
        <w:spacing w:before="176" w:line="344" w:lineRule="auto"/>
        <w:ind w:left="23" w:right="154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8.我方保证在本项目使用的任何产品和服务（包括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部分使用）时，不会产生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因第三方提出侵犯其专利权、商标权或其它知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识产权而引起的法律和经济纠纷，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如因专利权、商标权或其它知识产权而引起法律和经济纠纷，由我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方承担所有相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关责任。除非采购文件特别规定，采购人享有本项目实施过程中产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生的知识成果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及知识产权。如我方在采购项目实施过程中采用自有或者第三方知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识成果的，使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用该知识成果后，我方承诺提供开发接口和开发手册等技术资料，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并提供无限期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支持，采购人享有使用权（含采购人委托第三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方在该项目后续开发的使用权）。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如我方在项目实施过程中采用非自有的知识产权，则在报价中已包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括合法获取该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知识产权的相关费用。</w:t>
      </w:r>
    </w:p>
    <w:p w14:paraId="04C56B65">
      <w:pPr>
        <w:spacing w:before="182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9.我方自愿按照采购文件规定的各项要求向采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购人提供所需货物和服务。</w:t>
      </w:r>
    </w:p>
    <w:p w14:paraId="36416D5C">
      <w:pPr>
        <w:spacing w:before="183" w:line="219" w:lineRule="auto"/>
        <w:ind w:left="52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10.一旦我方成交，我方将严格履行采购合同规定的责任和义务。</w:t>
      </w:r>
    </w:p>
    <w:p w14:paraId="24EB3D1B">
      <w:pPr>
        <w:spacing w:before="182" w:line="289" w:lineRule="auto"/>
        <w:ind w:left="25" w:right="235" w:firstLine="49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11.我方愿意提供贵单位可能另外要求的，与采购报价有关的文件资料，并保证我方已提供和将要提供的文件资料是真实、准确的。</w:t>
      </w:r>
    </w:p>
    <w:p w14:paraId="7CD130FE">
      <w:pPr>
        <w:spacing w:before="180" w:line="362" w:lineRule="auto"/>
        <w:ind w:left="23" w:right="215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本单位对上述承诺的内容事项真实性负责。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如经查实上述承诺的内容事项存</w:t>
      </w:r>
      <w:r>
        <w:rPr>
          <w:rFonts w:ascii="宋体" w:hAnsi="宋体" w:eastAsia="宋体" w:cs="宋体"/>
          <w:sz w:val="24"/>
          <w:szCs w:val="24"/>
          <w:lang w:eastAsia="zh-CN"/>
        </w:rPr>
        <w:t>在虚假，我单位愿意接受以提供虚假材料谋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取成交追究法律责任。</w:t>
      </w:r>
    </w:p>
    <w:p w14:paraId="3565FB4D">
      <w:pPr>
        <w:pStyle w:val="3"/>
        <w:spacing w:line="281" w:lineRule="auto"/>
        <w:rPr>
          <w:lang w:eastAsia="zh-CN"/>
        </w:rPr>
      </w:pPr>
    </w:p>
    <w:p w14:paraId="531F2256">
      <w:pPr>
        <w:pStyle w:val="3"/>
        <w:spacing w:line="281" w:lineRule="auto"/>
        <w:rPr>
          <w:lang w:eastAsia="zh-CN"/>
        </w:rPr>
      </w:pPr>
    </w:p>
    <w:p w14:paraId="1757552E">
      <w:pPr>
        <w:pStyle w:val="3"/>
        <w:spacing w:line="281" w:lineRule="auto"/>
        <w:rPr>
          <w:lang w:eastAsia="zh-CN"/>
        </w:rPr>
      </w:pPr>
    </w:p>
    <w:p w14:paraId="72CFF887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073CCD1E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205AE01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5CA7B61C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477406D">
      <w:pPr>
        <w:spacing w:before="78" w:line="219" w:lineRule="auto"/>
        <w:ind w:left="24"/>
        <w:rPr>
          <w:rFonts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8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8"/>
          <w:sz w:val="24"/>
          <w:szCs w:val="24"/>
          <w:lang w:eastAsia="zh-CN"/>
        </w:rPr>
        <w:t xml:space="preserve">              </w:t>
      </w:r>
    </w:p>
    <w:p w14:paraId="79B6AB00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6855FB4D">
      <w:pPr>
        <w:spacing w:before="181" w:line="221" w:lineRule="auto"/>
        <w:ind w:left="3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7"/>
          <w:sz w:val="24"/>
          <w:szCs w:val="24"/>
          <w:lang w:eastAsia="zh-CN"/>
        </w:rPr>
        <w:t>时间：</w:t>
      </w:r>
    </w:p>
    <w:p w14:paraId="3A6A4A4E">
      <w:pPr>
        <w:spacing w:line="221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858F3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相关经营范围的营业执照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</w:t>
      </w: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四、法定代表人身份证明书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五、法定代表人授权委托书（若法人参与投标，则不需填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179C08D">
      <w:pPr>
        <w:spacing w:before="41" w:line="228" w:lineRule="auto"/>
        <w:ind w:left="24"/>
        <w:rPr>
          <w:rFonts w:ascii="宋体" w:hAnsi="宋体" w:eastAsia="宋体" w:cs="宋体"/>
          <w:sz w:val="21"/>
          <w:szCs w:val="21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1"/>
          <w:szCs w:val="21"/>
          <w:lang w:eastAsia="zh-CN"/>
        </w:rPr>
        <w:t>六、无围标、串标行为声明函</w:t>
      </w:r>
    </w:p>
    <w:p w14:paraId="361C8F46">
      <w:pPr>
        <w:spacing w:before="166" w:line="219" w:lineRule="auto"/>
        <w:ind w:left="29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无围标、串标行为声明函</w:t>
      </w:r>
    </w:p>
    <w:p w14:paraId="3A46345F">
      <w:pPr>
        <w:pStyle w:val="3"/>
        <w:spacing w:line="373" w:lineRule="auto"/>
        <w:rPr>
          <w:lang w:eastAsia="zh-CN"/>
        </w:rPr>
      </w:pPr>
    </w:p>
    <w:p w14:paraId="55367EB2">
      <w:pPr>
        <w:spacing w:before="78" w:line="359" w:lineRule="auto"/>
        <w:ind w:left="26" w:right="15" w:firstLine="47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本公司郑重声明本公司在参加本次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中山市东升医院德尔格呼吸机维修项目（三次）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，无以下围标、串标行为：</w:t>
      </w:r>
    </w:p>
    <w:p w14:paraId="08BC4DCF">
      <w:pPr>
        <w:spacing w:before="1" w:line="217" w:lineRule="auto"/>
        <w:ind w:left="46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的报价文件由同一单位或者个人编制；</w:t>
      </w:r>
    </w:p>
    <w:p w14:paraId="36E607F7">
      <w:pPr>
        <w:spacing w:before="184" w:line="219" w:lineRule="auto"/>
        <w:ind w:left="4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spacing w:val="73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委托同一单位或者个人办理响应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事宜；</w:t>
      </w:r>
    </w:p>
    <w:p w14:paraId="5B9D77A2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spacing w:val="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的报价文件载明的项目管理成员或者联系人员为同一人；</w:t>
      </w:r>
    </w:p>
    <w:p w14:paraId="08662C64">
      <w:pPr>
        <w:spacing w:before="182" w:line="218" w:lineRule="auto"/>
        <w:ind w:left="4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的报价文件异常一致或者响应报价呈规律性差异；</w:t>
      </w:r>
    </w:p>
    <w:p w14:paraId="30DFF6FC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5.</w:t>
      </w:r>
      <w:r>
        <w:rPr>
          <w:rFonts w:ascii="宋体" w:hAnsi="宋体" w:eastAsia="宋体" w:cs="宋体"/>
          <w:spacing w:val="7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的报价文件相互混装；</w:t>
      </w:r>
    </w:p>
    <w:p w14:paraId="58B4639A">
      <w:pPr>
        <w:spacing w:before="184" w:line="290" w:lineRule="auto"/>
        <w:ind w:left="874" w:right="55" w:hanging="42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6.</w:t>
      </w:r>
      <w:r>
        <w:rPr>
          <w:rFonts w:ascii="宋体" w:hAnsi="宋体" w:eastAsia="宋体" w:cs="宋体"/>
          <w:spacing w:val="7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的董事、监事、高管、单位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负责人为同一人或者存在控股、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管理关系的不同单位参加同一包组项目；</w:t>
      </w:r>
    </w:p>
    <w:p w14:paraId="55E62979">
      <w:pPr>
        <w:spacing w:before="180" w:line="219" w:lineRule="auto"/>
        <w:ind w:left="4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7.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法律法规界定的其他围标串标行为。</w:t>
      </w:r>
    </w:p>
    <w:p w14:paraId="18F5ED59">
      <w:pPr>
        <w:pStyle w:val="3"/>
        <w:spacing w:line="283" w:lineRule="auto"/>
        <w:rPr>
          <w:lang w:eastAsia="zh-CN"/>
        </w:rPr>
      </w:pPr>
    </w:p>
    <w:p w14:paraId="2D776B9C">
      <w:pPr>
        <w:pStyle w:val="3"/>
        <w:spacing w:line="284" w:lineRule="auto"/>
        <w:rPr>
          <w:lang w:eastAsia="zh-CN"/>
        </w:rPr>
      </w:pPr>
    </w:p>
    <w:p w14:paraId="68107236">
      <w:pPr>
        <w:spacing w:before="79" w:line="219" w:lineRule="auto"/>
        <w:ind w:left="50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如有发现我公司存在围标、串标行为，我公司愿承担一切法律责任。</w:t>
      </w:r>
    </w:p>
    <w:p w14:paraId="064ED06B">
      <w:pPr>
        <w:spacing w:before="183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特此声明。</w:t>
      </w:r>
    </w:p>
    <w:p w14:paraId="0B4D5C29">
      <w:pPr>
        <w:pStyle w:val="3"/>
        <w:spacing w:line="277" w:lineRule="auto"/>
        <w:rPr>
          <w:lang w:eastAsia="zh-CN"/>
        </w:rPr>
      </w:pPr>
    </w:p>
    <w:p w14:paraId="72D13B54">
      <w:pPr>
        <w:pStyle w:val="3"/>
        <w:spacing w:line="277" w:lineRule="auto"/>
        <w:rPr>
          <w:lang w:eastAsia="zh-CN"/>
        </w:rPr>
      </w:pPr>
    </w:p>
    <w:p w14:paraId="67C69641">
      <w:pPr>
        <w:pStyle w:val="3"/>
        <w:spacing w:line="277" w:lineRule="auto"/>
        <w:rPr>
          <w:lang w:eastAsia="zh-CN"/>
        </w:rPr>
      </w:pPr>
    </w:p>
    <w:p w14:paraId="2141BD46">
      <w:pPr>
        <w:pStyle w:val="3"/>
        <w:spacing w:line="278" w:lineRule="auto"/>
        <w:rPr>
          <w:lang w:eastAsia="zh-CN"/>
        </w:rPr>
      </w:pPr>
    </w:p>
    <w:p w14:paraId="70679EB4">
      <w:pPr>
        <w:pStyle w:val="3"/>
        <w:spacing w:line="278" w:lineRule="auto"/>
        <w:rPr>
          <w:lang w:eastAsia="zh-CN"/>
        </w:rPr>
      </w:pPr>
    </w:p>
    <w:p w14:paraId="1577F3F5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名称（盖章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0357962C">
      <w:pPr>
        <w:spacing w:before="30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1D5670FE">
      <w:pPr>
        <w:spacing w:before="301" w:line="219" w:lineRule="auto"/>
        <w:ind w:left="6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 xml:space="preserve">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17"/>
          <w:sz w:val="24"/>
          <w:szCs w:val="24"/>
          <w:lang w:eastAsia="zh-CN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29CF4428">
      <w:pPr>
        <w:spacing w:line="219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384744B5">
      <w:pPr>
        <w:spacing w:before="41" w:line="378" w:lineRule="auto"/>
        <w:ind w:left="22" w:right="1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七、提供</w:t>
      </w:r>
      <w:r>
        <w:rPr>
          <w:rFonts w:ascii="宋体" w:hAnsi="宋体" w:eastAsia="宋体" w:cs="宋体"/>
          <w:spacing w:val="-42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-40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近</w:t>
      </w:r>
      <w:r>
        <w:rPr>
          <w:rFonts w:ascii="宋体" w:hAnsi="宋体" w:eastAsia="宋体" w:cs="宋体"/>
          <w:spacing w:val="-29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6"/>
          <w:sz w:val="20"/>
          <w:szCs w:val="20"/>
          <w:lang w:eastAsia="zh-CN"/>
        </w:rPr>
        <w:t>12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个月内任何</w:t>
      </w:r>
      <w:r>
        <w:rPr>
          <w:rFonts w:ascii="宋体" w:hAnsi="宋体" w:eastAsia="宋体" w:cs="宋体"/>
          <w:spacing w:val="-3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1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个月编制的财务报表复印</w:t>
      </w:r>
      <w:r>
        <w:rPr>
          <w:rFonts w:ascii="宋体" w:hAnsi="宋体" w:eastAsia="宋体" w:cs="宋体"/>
          <w:b/>
          <w:bCs/>
          <w:spacing w:val="-1"/>
          <w:sz w:val="20"/>
          <w:szCs w:val="20"/>
          <w:lang w:eastAsia="zh-CN"/>
        </w:rPr>
        <w:t>件</w:t>
      </w:r>
    </w:p>
    <w:p w14:paraId="4D6AAC22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EA0C871">
      <w:pPr>
        <w:spacing w:before="41" w:line="227" w:lineRule="auto"/>
        <w:ind w:left="26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八、近</w:t>
      </w:r>
      <w:r>
        <w:rPr>
          <w:rFonts w:ascii="宋体" w:hAnsi="宋体" w:eastAsia="宋体" w:cs="宋体"/>
          <w:spacing w:val="-34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8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纳税证明资料复印件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val="en-US" w:eastAsia="zh-CN"/>
        </w:rPr>
        <w:t>加盖公章）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，如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依法免税的，应提供相应文件证明</w:t>
      </w:r>
    </w:p>
    <w:p w14:paraId="1C0313C7">
      <w:pPr>
        <w:spacing w:line="227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004D1DA">
      <w:pPr>
        <w:spacing w:before="40" w:line="378" w:lineRule="auto"/>
        <w:ind w:left="23" w:firstLine="5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九、近</w:t>
      </w:r>
      <w:r>
        <w:rPr>
          <w:rFonts w:ascii="宋体" w:hAnsi="宋体" w:eastAsia="宋体" w:cs="宋体"/>
          <w:spacing w:val="-2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缴交社保证明资料复印件</w:t>
      </w:r>
      <w:r>
        <w:rPr>
          <w:rFonts w:hint="eastAsia"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val="en-US" w:eastAsia="zh-CN"/>
        </w:rPr>
        <w:t>加盖公章）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，如依法不需要缴纳社会保障资金的，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应提供相应文件证明</w:t>
      </w:r>
    </w:p>
    <w:p w14:paraId="6E0D33B8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十、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未被列入“信用中国”网站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creditchina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8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“记录失信被执行人或重大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税收违法案件当事人名单；不处于中国政府采购网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ccgp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“政府采购严重违法失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shd w:val="clear" w:color="auto" w:fill="FFFF00"/>
          <w:lang w:eastAsia="zh-CN"/>
        </w:rPr>
        <w:t>信行为信息记录</w:t>
      </w:r>
      <w:r>
        <w:rPr>
          <w:rFonts w:ascii="宋体" w:hAnsi="宋体" w:eastAsia="宋体" w:cs="宋体"/>
          <w:spacing w:val="-69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”中的禁止参加政府采购活动期间。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（提供以上截图</w:t>
      </w:r>
      <w:r>
        <w:rPr>
          <w:rFonts w:hint="eastAsia" w:ascii="宋体" w:hAnsi="宋体" w:eastAsia="宋体" w:cs="宋体"/>
          <w:b/>
          <w:bCs/>
          <w:color w:val="FF0000"/>
          <w:spacing w:val="7"/>
          <w:sz w:val="20"/>
          <w:szCs w:val="20"/>
          <w:lang w:val="en-US" w:eastAsia="zh-CN"/>
        </w:rPr>
        <w:t>并加盖公章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DA97DB8">
      <w:pPr>
        <w:spacing w:before="41" w:line="378" w:lineRule="auto"/>
        <w:ind w:right="18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十一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相关维修资质证明文件（加盖公章）。</w:t>
      </w:r>
    </w:p>
    <w:p w14:paraId="796EEE16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1AD104C4">
      <w:pPr>
        <w:spacing w:before="137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3"/>
        <w:spacing w:line="286" w:lineRule="auto"/>
        <w:rPr>
          <w:lang w:eastAsia="zh-CN"/>
        </w:rPr>
      </w:pPr>
    </w:p>
    <w:p w14:paraId="65E86C6A">
      <w:pPr>
        <w:spacing w:before="65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spacing w:before="220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ascii="Calibri" w:hAnsi="Calibri" w:eastAsia="Calibri" w:cs="Calibri"/>
          <w:spacing w:val="-14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、其中带★的参数是必须完全响应的参数。</w:t>
      </w:r>
    </w:p>
    <w:p w14:paraId="32B81AA3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3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、所投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的参数满足率≥</w:t>
      </w: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90%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方视为满足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需求的合格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。</w:t>
      </w:r>
    </w:p>
    <w:tbl>
      <w:tblPr>
        <w:tblStyle w:val="9"/>
        <w:tblpPr w:leftFromText="180" w:rightFromText="180" w:vertAnchor="text" w:horzAnchor="page" w:tblpX="992" w:tblpY="224"/>
        <w:tblOverlap w:val="never"/>
        <w:tblW w:w="967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661"/>
        <w:gridCol w:w="5475"/>
        <w:gridCol w:w="1410"/>
        <w:gridCol w:w="1065"/>
        <w:gridCol w:w="1065"/>
      </w:tblGrid>
      <w:tr w14:paraId="37EB4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661" w:type="dxa"/>
            <w:vAlign w:val="center"/>
          </w:tcPr>
          <w:p w14:paraId="61DC7371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</w:rPr>
              <w:t>序号</w:t>
            </w:r>
          </w:p>
        </w:tc>
        <w:tc>
          <w:tcPr>
            <w:tcW w:w="5475" w:type="dxa"/>
            <w:vAlign w:val="center"/>
          </w:tcPr>
          <w:p w14:paraId="2A5AABAD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</w:rPr>
              <w:t>采购需求的要求</w:t>
            </w:r>
          </w:p>
        </w:tc>
        <w:tc>
          <w:tcPr>
            <w:tcW w:w="1410" w:type="dxa"/>
            <w:vAlign w:val="center"/>
          </w:tcPr>
          <w:p w14:paraId="43FB03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完全响应</w:t>
            </w:r>
          </w:p>
          <w:p w14:paraId="333058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或</w:t>
            </w:r>
          </w:p>
          <w:p w14:paraId="7C9B8E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</w:rPr>
              <w:t>正/负偏离</w:t>
            </w:r>
          </w:p>
        </w:tc>
        <w:tc>
          <w:tcPr>
            <w:tcW w:w="1065" w:type="dxa"/>
            <w:vAlign w:val="center"/>
          </w:tcPr>
          <w:p w14:paraId="05845206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偏离</w:t>
            </w:r>
          </w:p>
          <w:p w14:paraId="62DEE52A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情况</w:t>
            </w:r>
          </w:p>
        </w:tc>
        <w:tc>
          <w:tcPr>
            <w:tcW w:w="1065" w:type="dxa"/>
            <w:vAlign w:val="center"/>
          </w:tcPr>
          <w:p w14:paraId="7173064F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对应</w:t>
            </w:r>
          </w:p>
          <w:p w14:paraId="2272C3A4">
            <w:pPr>
              <w:spacing w:before="65" w:line="300" w:lineRule="exact"/>
              <w:jc w:val="center"/>
              <w:rPr>
                <w:rFonts w:hint="default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页码</w:t>
            </w:r>
          </w:p>
        </w:tc>
      </w:tr>
      <w:tr w14:paraId="0B8354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962" w:hRule="atLeast"/>
        </w:trPr>
        <w:tc>
          <w:tcPr>
            <w:tcW w:w="661" w:type="dxa"/>
            <w:vAlign w:val="center"/>
          </w:tcPr>
          <w:p w14:paraId="5F3B1345">
            <w:pPr>
              <w:spacing w:before="65" w:line="270" w:lineRule="exact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position w:val="1"/>
              </w:rPr>
              <w:t>1</w:t>
            </w:r>
          </w:p>
        </w:tc>
        <w:tc>
          <w:tcPr>
            <w:tcW w:w="5475" w:type="dxa"/>
          </w:tcPr>
          <w:p w14:paraId="436D2189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一、项目概况</w:t>
            </w:r>
          </w:p>
          <w:p w14:paraId="11F9BF9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1.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项目名称：中山市东升医院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德尔格呼吸机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维修项目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（三次）</w:t>
            </w:r>
          </w:p>
          <w:p w14:paraId="7E4164EF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项目编号：FW-ZB-ZZYX-2026048</w:t>
            </w:r>
          </w:p>
          <w:p w14:paraId="2DFBD80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设备名称：呼吸机</w:t>
            </w:r>
          </w:p>
          <w:p w14:paraId="58DB2EC5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4. 设备型号：Evita V300 </w:t>
            </w:r>
          </w:p>
          <w:p w14:paraId="2F31838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设备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厂家：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德尔格医疗设备(上海)有限公司</w:t>
            </w:r>
          </w:p>
          <w:p w14:paraId="04C7F6AD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6. 故障数量：1台</w:t>
            </w:r>
          </w:p>
          <w:p w14:paraId="6D4916A3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7. 故障原因：模拟工作时报MV过低、氧测量失效，开机自检供氧传感器定标、空/氧供应等测试失败，控制板故障。</w:t>
            </w:r>
          </w:p>
          <w:p w14:paraId="41F26CD6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8. 未经采购人同意，不得以任何方式转包或分包本项目。</w:t>
            </w:r>
          </w:p>
        </w:tc>
        <w:tc>
          <w:tcPr>
            <w:tcW w:w="1410" w:type="dxa"/>
          </w:tcPr>
          <w:p w14:paraId="03ED26DE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14D7EE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0A9D39B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4053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7" w:hRule="atLeast"/>
        </w:trPr>
        <w:tc>
          <w:tcPr>
            <w:tcW w:w="661" w:type="dxa"/>
            <w:vAlign w:val="center"/>
          </w:tcPr>
          <w:p w14:paraId="6B8C066E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2</w:t>
            </w:r>
          </w:p>
        </w:tc>
        <w:tc>
          <w:tcPr>
            <w:tcW w:w="5475" w:type="dxa"/>
          </w:tcPr>
          <w:p w14:paraId="52B6095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二、采购预算</w:t>
            </w:r>
          </w:p>
          <w:p w14:paraId="0134D8E9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本项目预算为人民币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12500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元（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含税价）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，服务商报价不得超过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该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预算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。</w:t>
            </w:r>
          </w:p>
        </w:tc>
        <w:tc>
          <w:tcPr>
            <w:tcW w:w="1410" w:type="dxa"/>
          </w:tcPr>
          <w:p w14:paraId="69CF45F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4B1E84E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050D595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7C20B9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50" w:hRule="atLeast"/>
        </w:trPr>
        <w:tc>
          <w:tcPr>
            <w:tcW w:w="661" w:type="dxa"/>
            <w:vAlign w:val="center"/>
          </w:tcPr>
          <w:p w14:paraId="002DA8E4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3</w:t>
            </w:r>
          </w:p>
        </w:tc>
        <w:tc>
          <w:tcPr>
            <w:tcW w:w="5475" w:type="dxa"/>
          </w:tcPr>
          <w:p w14:paraId="08994CFE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三、付款方式</w:t>
            </w:r>
          </w:p>
          <w:p w14:paraId="2FA301F0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合同签订后，每半年付款一次，即第6、12个月支付，支付成交价的50%。</w:t>
            </w:r>
          </w:p>
        </w:tc>
        <w:tc>
          <w:tcPr>
            <w:tcW w:w="1410" w:type="dxa"/>
          </w:tcPr>
          <w:p w14:paraId="50520806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27AC7BB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714423A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8DFEC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10" w:hRule="atLeast"/>
        </w:trPr>
        <w:tc>
          <w:tcPr>
            <w:tcW w:w="661" w:type="dxa"/>
            <w:vAlign w:val="center"/>
          </w:tcPr>
          <w:p w14:paraId="71310ABA">
            <w:pPr>
              <w:spacing w:before="65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4</w:t>
            </w:r>
          </w:p>
        </w:tc>
        <w:tc>
          <w:tcPr>
            <w:tcW w:w="5475" w:type="dxa"/>
          </w:tcPr>
          <w:p w14:paraId="26F545B6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四、维修要求</w:t>
            </w:r>
          </w:p>
          <w:p w14:paraId="671EDAF9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1. 双方签订合同起，15个工作日内解决故障。</w:t>
            </w:r>
          </w:p>
          <w:p w14:paraId="397CD077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2. 维修后呼吸机应恢复原有功能，自检通过，使用正常。</w:t>
            </w:r>
          </w:p>
          <w:p w14:paraId="13CBBE4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3. 维修后应通过医院相应科室的功能验收。</w:t>
            </w:r>
          </w:p>
          <w:p w14:paraId="12CABC57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4. 服务商须具备医疗器械维修资质，具有同类呼吸机维修经验。</w:t>
            </w:r>
          </w:p>
          <w:p w14:paraId="47FF13C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5. 维修时，所有风险均由成交服务商承担，如有损坏，则由成交服务商负责修复。</w:t>
            </w:r>
          </w:p>
          <w:p w14:paraId="5E6BABD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6. 维修后质保期不少于3个月（从验收合格之日起计算）。若因维修质量问题导致设备无法使用，则由成交服务商负责修复，所需费用由成交服务商负责。</w:t>
            </w:r>
          </w:p>
        </w:tc>
        <w:tc>
          <w:tcPr>
            <w:tcW w:w="1410" w:type="dxa"/>
          </w:tcPr>
          <w:p w14:paraId="1976FE3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23D2CAC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6941F15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E1832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92" w:hRule="atLeast"/>
        </w:trPr>
        <w:tc>
          <w:tcPr>
            <w:tcW w:w="661" w:type="dxa"/>
            <w:vAlign w:val="center"/>
          </w:tcPr>
          <w:p w14:paraId="2322AC9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5</w:t>
            </w:r>
          </w:p>
        </w:tc>
        <w:tc>
          <w:tcPr>
            <w:tcW w:w="5475" w:type="dxa"/>
          </w:tcPr>
          <w:p w14:paraId="52CD854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六、违约条款</w:t>
            </w:r>
          </w:p>
          <w:p w14:paraId="320F674A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采购方无正当理由拒收服务、到期拒付服务款项的，采购方向成交服务商偿付本合同总价5%的违约金。</w:t>
            </w:r>
          </w:p>
          <w:p w14:paraId="3211D3CE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成交服务商未在15个工作日内完成维修，且未提供备用机，逾期每日按本合同总价的3%向采购方偿付违约金。</w:t>
            </w:r>
          </w:p>
        </w:tc>
        <w:tc>
          <w:tcPr>
            <w:tcW w:w="1410" w:type="dxa"/>
          </w:tcPr>
          <w:p w14:paraId="556D3F9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59D2077F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788F44C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2CDD09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66" w:hRule="atLeast"/>
        </w:trPr>
        <w:tc>
          <w:tcPr>
            <w:tcW w:w="661" w:type="dxa"/>
            <w:vAlign w:val="center"/>
          </w:tcPr>
          <w:p w14:paraId="728B2294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6</w:t>
            </w:r>
          </w:p>
        </w:tc>
        <w:tc>
          <w:tcPr>
            <w:tcW w:w="5475" w:type="dxa"/>
          </w:tcPr>
          <w:p w14:paraId="1148F624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七、其他约定</w:t>
            </w:r>
          </w:p>
          <w:p w14:paraId="2CE1AB50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不可抗力：因自然灾害等不可抗力导致的延误，双方免责，但成交服务商须第一时间通知采购方。</w:t>
            </w:r>
          </w:p>
          <w:p w14:paraId="4BB1D4E4">
            <w:pPr>
              <w:widowControl w:val="0"/>
              <w:spacing w:line="240" w:lineRule="exact"/>
              <w:rPr>
                <w:rFonts w:ascii="宋体" w:hAnsi="宋体" w:eastAsia="宋体" w:cs="宋体"/>
                <w:color w:val="auto"/>
                <w:sz w:val="20"/>
                <w:szCs w:val="20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争议解决：协商不成的，向采购方所在地人民法院提起诉讼。</w:t>
            </w:r>
          </w:p>
        </w:tc>
        <w:tc>
          <w:tcPr>
            <w:tcW w:w="1410" w:type="dxa"/>
          </w:tcPr>
          <w:p w14:paraId="309C6D6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DA9A9F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217B85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286B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054" w:hRule="atLeast"/>
        </w:trPr>
        <w:tc>
          <w:tcPr>
            <w:tcW w:w="661" w:type="dxa"/>
            <w:vAlign w:val="center"/>
          </w:tcPr>
          <w:p w14:paraId="78851C23">
            <w:pPr>
              <w:spacing w:before="65" w:line="270" w:lineRule="exact"/>
              <w:jc w:val="center"/>
              <w:rPr>
                <w:rFonts w:hint="default" w:ascii="宋体" w:hAnsi="宋体" w:eastAsia="宋体" w:cs="宋体"/>
                <w:position w:val="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val="en-US" w:eastAsia="zh-CN"/>
              </w:rPr>
              <w:t>7</w:t>
            </w:r>
          </w:p>
        </w:tc>
        <w:tc>
          <w:tcPr>
            <w:tcW w:w="5475" w:type="dxa"/>
          </w:tcPr>
          <w:p w14:paraId="5F6734B1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八、报价及评审方式</w:t>
            </w:r>
          </w:p>
          <w:p w14:paraId="2E09CCBC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服务商报价不得高于该项目预算金额,否则为无效报价。</w:t>
            </w:r>
          </w:p>
          <w:p w14:paraId="47489DDC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服务商总价报价中漏项、少报的费用，视为此项费用已隐含在投标报价中，成交服务商不得再向采购人收取任何费用。</w:t>
            </w:r>
          </w:p>
          <w:p w14:paraId="2D8D371D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3. 报价次数：1次。</w:t>
            </w:r>
          </w:p>
          <w:p w14:paraId="047CC67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4. 本项目的评审采用最低价法方式（报价格式详见响应文件模板中（一）报价单），在符合项目需求的前提下，拟选取最低价格为中选服务商，如有两家或以上服务商相同报价时，由评审专家按技术方案优劣等综合因素择优选取。</w:t>
            </w:r>
          </w:p>
        </w:tc>
        <w:tc>
          <w:tcPr>
            <w:tcW w:w="1410" w:type="dxa"/>
          </w:tcPr>
          <w:p w14:paraId="63477C59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17855BC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6A11C7ED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</w:tbl>
    <w:p w14:paraId="5EFF081B">
      <w:pPr>
        <w:rPr>
          <w:lang w:eastAsia="zh-CN"/>
        </w:rPr>
      </w:pPr>
    </w:p>
    <w:p w14:paraId="3447D6D1">
      <w:pPr>
        <w:rPr>
          <w:lang w:eastAsia="zh-CN"/>
        </w:rPr>
      </w:pPr>
      <w:r>
        <w:rPr>
          <w:lang w:eastAsia="zh-CN"/>
        </w:rPr>
        <w:br w:type="page"/>
      </w:r>
    </w:p>
    <w:p w14:paraId="4138D614">
      <w:pPr>
        <w:spacing w:before="41" w:line="227" w:lineRule="auto"/>
        <w:jc w:val="both"/>
        <w:rPr>
          <w:rFonts w:hint="default" w:ascii="宋体" w:hAnsi="宋体" w:eastAsia="宋体" w:cs="宋体"/>
          <w:b/>
          <w:bCs/>
          <w:spacing w:val="5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val="en-US" w:eastAsia="zh-CN"/>
        </w:rPr>
        <w:t>十三、近三年具有同类呼吸机维修经验相关证明文件，须提供合同关键页复印件（加盖公章）。</w:t>
      </w:r>
    </w:p>
    <w:p w14:paraId="2F84A468">
      <w:pPr>
        <w:spacing w:before="41" w:line="227" w:lineRule="auto"/>
        <w:jc w:val="both"/>
        <w:rPr>
          <w:rFonts w:ascii="宋体" w:hAnsi="宋体" w:eastAsia="宋体" w:cs="宋体"/>
          <w:sz w:val="20"/>
          <w:szCs w:val="20"/>
          <w:lang w:eastAsia="zh-CN"/>
        </w:rPr>
      </w:pPr>
    </w:p>
    <w:p w14:paraId="719E5710">
      <w:pPr>
        <w:pStyle w:val="3"/>
        <w:spacing w:line="260" w:lineRule="auto"/>
        <w:rPr>
          <w:lang w:eastAsia="zh-CN"/>
        </w:rPr>
      </w:pPr>
    </w:p>
    <w:p w14:paraId="7A9DD7A5">
      <w:pPr>
        <w:pStyle w:val="3"/>
        <w:spacing w:line="261" w:lineRule="auto"/>
        <w:rPr>
          <w:lang w:eastAsia="zh-CN"/>
        </w:rPr>
      </w:pPr>
    </w:p>
    <w:p w14:paraId="7330E16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after="0" w:afterLines="50" w:line="212" w:lineRule="auto"/>
        <w:ind w:left="3572"/>
        <w:textAlignment w:val="baseline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业绩一览表</w:t>
      </w:r>
    </w:p>
    <w:tbl>
      <w:tblPr>
        <w:tblStyle w:val="9"/>
        <w:tblW w:w="9191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1854"/>
        <w:gridCol w:w="1986"/>
        <w:gridCol w:w="1722"/>
        <w:gridCol w:w="1191"/>
        <w:gridCol w:w="1471"/>
      </w:tblGrid>
      <w:tr w14:paraId="2AC12C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96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</w:tcPr>
          <w:p w14:paraId="0A8A4F5E">
            <w:pPr>
              <w:spacing w:before="86" w:line="229" w:lineRule="auto"/>
              <w:ind w:left="1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</w:tcPr>
          <w:p w14:paraId="393BBA8A">
            <w:pPr>
              <w:spacing w:before="87" w:line="228" w:lineRule="auto"/>
              <w:ind w:left="5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</w:tcPr>
          <w:p w14:paraId="5015C2C9">
            <w:pPr>
              <w:spacing w:before="87" w:line="228" w:lineRule="auto"/>
              <w:ind w:left="57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</w:tcPr>
          <w:p w14:paraId="603085D7">
            <w:pPr>
              <w:spacing w:before="86" w:line="228" w:lineRule="auto"/>
              <w:ind w:left="44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</w:tcPr>
          <w:p w14:paraId="6CC7803C">
            <w:pPr>
              <w:spacing w:before="86" w:line="226" w:lineRule="auto"/>
              <w:ind w:left="17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合同总价</w:t>
            </w:r>
          </w:p>
        </w:tc>
        <w:tc>
          <w:tcPr>
            <w:tcW w:w="1471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</w:tcPr>
          <w:p w14:paraId="68329800">
            <w:pPr>
              <w:spacing w:before="87" w:line="228" w:lineRule="auto"/>
              <w:ind w:left="3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签约日期</w:t>
            </w:r>
          </w:p>
        </w:tc>
      </w:tr>
      <w:tr w14:paraId="18AD0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44C9CF72">
            <w:pPr>
              <w:pStyle w:val="10"/>
            </w:pPr>
          </w:p>
        </w:tc>
        <w:tc>
          <w:tcPr>
            <w:tcW w:w="1854" w:type="dxa"/>
          </w:tcPr>
          <w:p w14:paraId="7A8D1ACD">
            <w:pPr>
              <w:pStyle w:val="10"/>
            </w:pPr>
          </w:p>
        </w:tc>
        <w:tc>
          <w:tcPr>
            <w:tcW w:w="1986" w:type="dxa"/>
          </w:tcPr>
          <w:p w14:paraId="55A04390">
            <w:pPr>
              <w:pStyle w:val="10"/>
            </w:pPr>
          </w:p>
        </w:tc>
        <w:tc>
          <w:tcPr>
            <w:tcW w:w="1722" w:type="dxa"/>
          </w:tcPr>
          <w:p w14:paraId="4D2330E6">
            <w:pPr>
              <w:pStyle w:val="10"/>
            </w:pPr>
          </w:p>
        </w:tc>
        <w:tc>
          <w:tcPr>
            <w:tcW w:w="1191" w:type="dxa"/>
          </w:tcPr>
          <w:p w14:paraId="211E4F05">
            <w:pPr>
              <w:pStyle w:val="10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7FB8383C">
            <w:pPr>
              <w:pStyle w:val="10"/>
            </w:pPr>
          </w:p>
        </w:tc>
      </w:tr>
      <w:tr w14:paraId="19710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232A20F2">
            <w:pPr>
              <w:pStyle w:val="10"/>
            </w:pPr>
          </w:p>
        </w:tc>
        <w:tc>
          <w:tcPr>
            <w:tcW w:w="1854" w:type="dxa"/>
          </w:tcPr>
          <w:p w14:paraId="0E59405A">
            <w:pPr>
              <w:pStyle w:val="10"/>
            </w:pPr>
          </w:p>
        </w:tc>
        <w:tc>
          <w:tcPr>
            <w:tcW w:w="1986" w:type="dxa"/>
          </w:tcPr>
          <w:p w14:paraId="16A66335">
            <w:pPr>
              <w:pStyle w:val="10"/>
            </w:pPr>
          </w:p>
        </w:tc>
        <w:tc>
          <w:tcPr>
            <w:tcW w:w="1722" w:type="dxa"/>
          </w:tcPr>
          <w:p w14:paraId="5C956FAC">
            <w:pPr>
              <w:pStyle w:val="10"/>
            </w:pPr>
          </w:p>
        </w:tc>
        <w:tc>
          <w:tcPr>
            <w:tcW w:w="1191" w:type="dxa"/>
          </w:tcPr>
          <w:p w14:paraId="39843931">
            <w:pPr>
              <w:pStyle w:val="10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5710B68A">
            <w:pPr>
              <w:pStyle w:val="10"/>
            </w:pPr>
          </w:p>
        </w:tc>
      </w:tr>
      <w:tr w14:paraId="54E07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67" w:type="dxa"/>
            <w:tcBorders>
              <w:left w:val="single" w:color="000000" w:sz="2" w:space="0"/>
              <w:bottom w:val="single" w:color="000000" w:sz="2" w:space="0"/>
            </w:tcBorders>
          </w:tcPr>
          <w:p w14:paraId="31389273">
            <w:pPr>
              <w:pStyle w:val="10"/>
            </w:pPr>
          </w:p>
        </w:tc>
        <w:tc>
          <w:tcPr>
            <w:tcW w:w="1854" w:type="dxa"/>
            <w:tcBorders>
              <w:bottom w:val="single" w:color="000000" w:sz="2" w:space="0"/>
            </w:tcBorders>
          </w:tcPr>
          <w:p w14:paraId="55A511EF">
            <w:pPr>
              <w:pStyle w:val="10"/>
            </w:pPr>
          </w:p>
        </w:tc>
        <w:tc>
          <w:tcPr>
            <w:tcW w:w="1986" w:type="dxa"/>
            <w:tcBorders>
              <w:bottom w:val="single" w:color="000000" w:sz="2" w:space="0"/>
            </w:tcBorders>
          </w:tcPr>
          <w:p w14:paraId="24F31CB0">
            <w:pPr>
              <w:pStyle w:val="10"/>
            </w:pPr>
          </w:p>
        </w:tc>
        <w:tc>
          <w:tcPr>
            <w:tcW w:w="1722" w:type="dxa"/>
            <w:tcBorders>
              <w:bottom w:val="single" w:color="000000" w:sz="2" w:space="0"/>
            </w:tcBorders>
          </w:tcPr>
          <w:p w14:paraId="396826E8">
            <w:pPr>
              <w:pStyle w:val="10"/>
            </w:pPr>
          </w:p>
        </w:tc>
        <w:tc>
          <w:tcPr>
            <w:tcW w:w="1191" w:type="dxa"/>
            <w:tcBorders>
              <w:bottom w:val="single" w:color="000000" w:sz="2" w:space="0"/>
            </w:tcBorders>
          </w:tcPr>
          <w:p w14:paraId="60F037C0">
            <w:pPr>
              <w:pStyle w:val="10"/>
            </w:pPr>
          </w:p>
        </w:tc>
        <w:tc>
          <w:tcPr>
            <w:tcW w:w="1471" w:type="dxa"/>
            <w:tcBorders>
              <w:bottom w:val="single" w:color="000000" w:sz="2" w:space="0"/>
              <w:right w:val="single" w:color="000000" w:sz="2" w:space="0"/>
            </w:tcBorders>
          </w:tcPr>
          <w:p w14:paraId="64D3333B">
            <w:pPr>
              <w:pStyle w:val="10"/>
            </w:pPr>
          </w:p>
        </w:tc>
      </w:tr>
    </w:tbl>
    <w:p w14:paraId="6703842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28" w:lineRule="auto"/>
        <w:ind w:left="23"/>
        <w:textAlignment w:val="baseline"/>
        <w:outlineLvl w:val="1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注：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必须如实填写此表格。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（此表可延长）</w:t>
      </w:r>
    </w:p>
    <w:p w14:paraId="0C77BE5D">
      <w:pPr>
        <w:pStyle w:val="3"/>
        <w:spacing w:line="270" w:lineRule="auto"/>
        <w:rPr>
          <w:lang w:eastAsia="zh-CN"/>
        </w:rPr>
      </w:pPr>
    </w:p>
    <w:p w14:paraId="56204D9E">
      <w:pPr>
        <w:pStyle w:val="3"/>
        <w:spacing w:line="270" w:lineRule="auto"/>
        <w:rPr>
          <w:lang w:eastAsia="zh-CN"/>
        </w:rPr>
      </w:pPr>
    </w:p>
    <w:p w14:paraId="4D5AED28">
      <w:pPr>
        <w:pStyle w:val="3"/>
        <w:spacing w:line="270" w:lineRule="auto"/>
        <w:rPr>
          <w:lang w:eastAsia="zh-CN"/>
        </w:rPr>
      </w:pPr>
    </w:p>
    <w:p w14:paraId="5EC8D005">
      <w:pPr>
        <w:pStyle w:val="3"/>
        <w:spacing w:line="270" w:lineRule="auto"/>
        <w:rPr>
          <w:lang w:eastAsia="zh-CN"/>
        </w:rPr>
      </w:pPr>
    </w:p>
    <w:p w14:paraId="313A5D64">
      <w:pPr>
        <w:pStyle w:val="3"/>
        <w:spacing w:line="270" w:lineRule="auto"/>
        <w:rPr>
          <w:lang w:eastAsia="zh-CN"/>
        </w:rPr>
      </w:pPr>
    </w:p>
    <w:p w14:paraId="68A22039">
      <w:pPr>
        <w:pStyle w:val="3"/>
        <w:spacing w:line="270" w:lineRule="auto"/>
        <w:rPr>
          <w:lang w:eastAsia="zh-CN"/>
        </w:rPr>
      </w:pPr>
    </w:p>
    <w:p w14:paraId="6D2959B4">
      <w:pPr>
        <w:pStyle w:val="3"/>
        <w:spacing w:line="270" w:lineRule="auto"/>
        <w:rPr>
          <w:lang w:eastAsia="zh-CN"/>
        </w:rPr>
      </w:pPr>
    </w:p>
    <w:p w14:paraId="6956FBE0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5780A57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224313C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17A8003A">
      <w:pPr>
        <w:spacing w:before="162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名称（盖章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>）：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      </w:t>
      </w:r>
    </w:p>
    <w:p w14:paraId="4784E808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6574826">
      <w:pPr>
        <w:spacing w:before="65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法定代表人（或法定代表人授权代表）签字：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</w:t>
      </w:r>
    </w:p>
    <w:p w14:paraId="2F55D949">
      <w:pPr>
        <w:spacing w:before="260" w:line="228" w:lineRule="auto"/>
        <w:ind w:left="5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日期：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年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月</w:t>
      </w:r>
      <w:r>
        <w:rPr>
          <w:rFonts w:ascii="宋体" w:hAnsi="宋体" w:eastAsia="宋体" w:cs="宋体"/>
          <w:spacing w:val="21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</w:t>
      </w:r>
    </w:p>
    <w:p w14:paraId="7616860A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474" w:bottom="907" w:left="1474" w:header="0" w:footer="0" w:gutter="0"/>
          <w:cols w:space="720" w:num="1"/>
        </w:sectPr>
      </w:pPr>
    </w:p>
    <w:p w14:paraId="37C98485">
      <w:pPr>
        <w:spacing w:before="41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十四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维修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方案（格式自拟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并加盖公章</w:t>
      </w:r>
      <w:bookmarkStart w:id="0" w:name="_GoBack"/>
      <w:bookmarkEnd w:id="0"/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）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1B55C4C2">
      <w:pPr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包括但不限于：中小企业声明函等相关证明文件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格式自拟，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如无、可删）</w:t>
      </w:r>
    </w:p>
    <w:p w14:paraId="6D0D903D">
      <w:pPr>
        <w:rPr>
          <w:lang w:eastAsia="zh-CN"/>
        </w:rPr>
      </w:pPr>
    </w:p>
    <w:sectPr>
      <w:pgSz w:w="11900" w:h="16840"/>
      <w:pgMar w:top="907" w:right="1701" w:bottom="907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F499"/>
    <w:multiLevelType w:val="singleLevel"/>
    <w:tmpl w:val="8B80F49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1E26336"/>
    <w:rsid w:val="03E25113"/>
    <w:rsid w:val="04EC1D69"/>
    <w:rsid w:val="04F55503"/>
    <w:rsid w:val="05D250F6"/>
    <w:rsid w:val="07134C7D"/>
    <w:rsid w:val="07DE22A7"/>
    <w:rsid w:val="0A1B60BD"/>
    <w:rsid w:val="0A382368"/>
    <w:rsid w:val="0E881903"/>
    <w:rsid w:val="0E9C78E3"/>
    <w:rsid w:val="10063231"/>
    <w:rsid w:val="121A714F"/>
    <w:rsid w:val="126C008B"/>
    <w:rsid w:val="13666B31"/>
    <w:rsid w:val="16DD5993"/>
    <w:rsid w:val="17342F98"/>
    <w:rsid w:val="18C80C4B"/>
    <w:rsid w:val="1A2A55D2"/>
    <w:rsid w:val="1E9D0594"/>
    <w:rsid w:val="1EA21FDF"/>
    <w:rsid w:val="1EDF5020"/>
    <w:rsid w:val="20607AD1"/>
    <w:rsid w:val="20BE2A44"/>
    <w:rsid w:val="22732647"/>
    <w:rsid w:val="23487B36"/>
    <w:rsid w:val="2695736E"/>
    <w:rsid w:val="26B446CD"/>
    <w:rsid w:val="295E287B"/>
    <w:rsid w:val="2E4E00D9"/>
    <w:rsid w:val="2FD60BBF"/>
    <w:rsid w:val="303651EF"/>
    <w:rsid w:val="32CF6B39"/>
    <w:rsid w:val="34FB4D56"/>
    <w:rsid w:val="35A042B7"/>
    <w:rsid w:val="36073C0B"/>
    <w:rsid w:val="38A61FE4"/>
    <w:rsid w:val="3B082DE1"/>
    <w:rsid w:val="3EA37D2A"/>
    <w:rsid w:val="3EB26D88"/>
    <w:rsid w:val="3F301AC1"/>
    <w:rsid w:val="3F314B61"/>
    <w:rsid w:val="3F376A9D"/>
    <w:rsid w:val="40070C31"/>
    <w:rsid w:val="403A3CCD"/>
    <w:rsid w:val="40671DCB"/>
    <w:rsid w:val="40C03509"/>
    <w:rsid w:val="410906FA"/>
    <w:rsid w:val="48681F60"/>
    <w:rsid w:val="498B509D"/>
    <w:rsid w:val="4A4831FA"/>
    <w:rsid w:val="4AD416BE"/>
    <w:rsid w:val="4AEA4ACB"/>
    <w:rsid w:val="4C030C69"/>
    <w:rsid w:val="50573AD2"/>
    <w:rsid w:val="5178029F"/>
    <w:rsid w:val="556A1102"/>
    <w:rsid w:val="5774562F"/>
    <w:rsid w:val="583062A5"/>
    <w:rsid w:val="58514D81"/>
    <w:rsid w:val="5D861D83"/>
    <w:rsid w:val="5E5E5F4E"/>
    <w:rsid w:val="635B2744"/>
    <w:rsid w:val="6582439F"/>
    <w:rsid w:val="692B7560"/>
    <w:rsid w:val="6C452F22"/>
    <w:rsid w:val="6E273416"/>
    <w:rsid w:val="71197574"/>
    <w:rsid w:val="71ED4D1B"/>
    <w:rsid w:val="72E46FD9"/>
    <w:rsid w:val="73252077"/>
    <w:rsid w:val="7372318C"/>
    <w:rsid w:val="75E87F4B"/>
    <w:rsid w:val="7686462A"/>
    <w:rsid w:val="782E64D9"/>
    <w:rsid w:val="790F76AC"/>
    <w:rsid w:val="7A657D9C"/>
    <w:rsid w:val="7CBE4AD3"/>
    <w:rsid w:val="7DE524A4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</w:style>
  <w:style w:type="paragraph" w:styleId="4">
    <w:name w:val="Body Text Indent 2"/>
    <w:basedOn w:val="1"/>
    <w:link w:val="11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styleId="8">
    <w:name w:val="Strong"/>
    <w:basedOn w:val="7"/>
    <w:qFormat/>
    <w:uiPriority w:val="0"/>
    <w:rPr>
      <w:b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</w:style>
  <w:style w:type="character" w:customStyle="1" w:styleId="11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18</Pages>
  <Words>3832</Words>
  <Characters>4000</Characters>
  <Lines>55</Lines>
  <Paragraphs>15</Paragraphs>
  <TotalTime>1</TotalTime>
  <ScaleCrop>false</ScaleCrop>
  <LinksUpToDate>false</LinksUpToDate>
  <CharactersWithSpaces>4431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Lily</cp:lastModifiedBy>
  <cp:lastPrinted>2026-06-12T04:04:00Z</cp:lastPrinted>
  <dcterms:modified xsi:type="dcterms:W3CDTF">2026-07-29T02:16:31Z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615208E863F54028A28B808C60B4BF72_13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