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23DFADCC">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总则：</w:t>
      </w:r>
    </w:p>
    <w:p w14:paraId="58FD94F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4C65F3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EB731D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若所投标的属于医疗器械，</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5991DCE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.本文的“质保期”是指中标标的物经约定的验收机构完成验收之日起算，截止中标人承诺的期限。</w:t>
      </w:r>
    </w:p>
    <w:p w14:paraId="2B9D2695">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双能X射线骨密度仪</w:t>
            </w:r>
          </w:p>
        </w:tc>
        <w:tc>
          <w:tcPr>
            <w:tcW w:w="2268" w:type="dxa"/>
          </w:tcPr>
          <w:p w14:paraId="29F1C94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影像医学科/放射科</w:t>
            </w:r>
          </w:p>
        </w:tc>
        <w:tc>
          <w:tcPr>
            <w:tcW w:w="2508" w:type="dxa"/>
          </w:tcPr>
          <w:p w14:paraId="5937043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r>
    </w:tbl>
    <w:p w14:paraId="26B12F7A">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核心产品：高性能双能X线骨密度仪</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DXA</w:t>
      </w:r>
      <w:r>
        <w:rPr>
          <w:rFonts w:hint="eastAsia" w:ascii="仿宋" w:hAnsi="仿宋" w:eastAsia="仿宋" w:cs="仿宋"/>
          <w:color w:val="000000" w:themeColor="text1"/>
          <w:sz w:val="24"/>
          <w:lang w:eastAsia="zh-CN"/>
          <w14:textFill>
            <w14:solidFill>
              <w14:schemeClr w14:val="tx1"/>
            </w14:solidFill>
          </w14:textFill>
        </w:rPr>
        <w:t>）</w:t>
      </w:r>
      <w:bookmarkStart w:id="0" w:name="_GoBack"/>
      <w:bookmarkEnd w:id="0"/>
      <w:r>
        <w:rPr>
          <w:rFonts w:hint="eastAsia" w:ascii="仿宋" w:hAnsi="仿宋" w:eastAsia="仿宋" w:cs="仿宋"/>
          <w:color w:val="000000" w:themeColor="text1"/>
          <w:sz w:val="24"/>
          <w14:textFill>
            <w14:solidFill>
              <w14:schemeClr w14:val="tx1"/>
            </w14:solidFill>
          </w14:textFill>
        </w:rPr>
        <w:t>。</w:t>
      </w:r>
    </w:p>
    <w:p w14:paraId="0131614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用途：为满足我院在骨质疏松症、肥胖症及肌少症等代谢性疾病临床诊疗与科研工作中的需求，现计划采购一台高性能双能X线骨密度仪(DXA)。该设备需具备人体骨矿物质含量高精度测量能力，以及全身肌肉与脂肪组织精确成分分析功能。除支持骨质疏松症诊断、骨折风险评估及治疗效果监测等基本临床功能外，还需助力肥胖症与肌少症领域的跨学科科研协作</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此项内容已纳入放射科“十五五”专科建设规划范畴。</w:t>
      </w:r>
    </w:p>
    <w:p w14:paraId="247ACE54">
      <w:pPr>
        <w:spacing w:line="440" w:lineRule="exact"/>
        <w:rPr>
          <w:rFonts w:ascii="仿宋" w:hAnsi="仿宋" w:eastAsia="仿宋" w:cs="仿宋"/>
          <w:b/>
          <w:color w:val="000000" w:themeColor="text1"/>
          <w:sz w:val="24"/>
          <w14:textFill>
            <w14:solidFill>
              <w14:schemeClr w14:val="tx1"/>
            </w14:solidFill>
          </w14:textFill>
        </w:rPr>
      </w:pPr>
    </w:p>
    <w:p w14:paraId="426AD8A4">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技术参数：</w:t>
      </w:r>
    </w:p>
    <w:tbl>
      <w:tblPr>
        <w:tblStyle w:val="10"/>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0"/>
        <w:gridCol w:w="4355"/>
        <w:gridCol w:w="3564"/>
      </w:tblGrid>
      <w:tr w14:paraId="0CDED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34B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4"/>
                <w:szCs w:val="24"/>
                <w:u w:val="none"/>
              </w:rPr>
            </w:pPr>
            <w:r>
              <w:rPr>
                <w:rFonts w:hint="eastAsia" w:ascii="仿宋_GB2312" w:hAnsi="仿宋_GB2312" w:eastAsia="仿宋_GB2312" w:cs="仿宋_GB2312"/>
                <w:b/>
                <w:i w:val="0"/>
                <w:iCs w:val="0"/>
                <w:color w:val="000000"/>
                <w:kern w:val="0"/>
                <w:sz w:val="24"/>
                <w:szCs w:val="24"/>
                <w:u w:val="none"/>
                <w:lang w:val="en-US" w:eastAsia="zh-CN" w:bidi="ar"/>
              </w:rPr>
              <w:t>序号</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79D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4"/>
                <w:szCs w:val="24"/>
                <w:u w:val="none"/>
              </w:rPr>
            </w:pPr>
            <w:r>
              <w:rPr>
                <w:rFonts w:hint="eastAsia" w:ascii="仿宋_GB2312" w:hAnsi="仿宋_GB2312" w:eastAsia="仿宋_GB2312" w:cs="仿宋_GB2312"/>
                <w:b/>
                <w:i w:val="0"/>
                <w:iCs w:val="0"/>
                <w:color w:val="000000"/>
                <w:kern w:val="0"/>
                <w:sz w:val="24"/>
                <w:szCs w:val="24"/>
                <w:u w:val="none"/>
                <w:lang w:val="en-US" w:eastAsia="zh-CN" w:bidi="ar"/>
              </w:rPr>
              <w:t>配置名称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94B6">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4"/>
                <w:szCs w:val="24"/>
                <w:u w:val="none"/>
              </w:rPr>
            </w:pPr>
            <w:r>
              <w:rPr>
                <w:rFonts w:hint="eastAsia" w:ascii="仿宋_GB2312" w:hAnsi="仿宋_GB2312" w:eastAsia="仿宋_GB2312" w:cs="仿宋_GB2312"/>
                <w:b/>
                <w:i w:val="0"/>
                <w:iCs w:val="0"/>
                <w:color w:val="000000"/>
                <w:kern w:val="0"/>
                <w:sz w:val="24"/>
                <w:szCs w:val="24"/>
                <w:u w:val="none"/>
                <w:lang w:val="en-US" w:eastAsia="zh-CN" w:bidi="ar"/>
              </w:rPr>
              <w:t>参数要求</w:t>
            </w:r>
          </w:p>
        </w:tc>
      </w:tr>
      <w:tr w14:paraId="76712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CECA6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1硬件性能要求</w:t>
            </w:r>
          </w:p>
        </w:tc>
      </w:tr>
      <w:tr w14:paraId="6B7EC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4FC0">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615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扫描方式</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7609D">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扇形束扫描</w:t>
            </w:r>
          </w:p>
        </w:tc>
      </w:tr>
      <w:tr w14:paraId="59671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6B26">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D53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探测器</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905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≥16通道</w:t>
            </w:r>
          </w:p>
        </w:tc>
      </w:tr>
      <w:tr w14:paraId="5A65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310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E57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3"/>
                <w:rFonts w:hint="eastAsia" w:ascii="仿宋_GB2312" w:hAnsi="仿宋_GB2312" w:eastAsia="仿宋_GB2312" w:cs="仿宋_GB2312"/>
                <w:sz w:val="24"/>
                <w:szCs w:val="24"/>
                <w:lang w:val="en-US" w:eastAsia="zh-CN" w:bidi="ar"/>
              </w:rPr>
              <w:t>球管管电流</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0A839">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 mA</w:t>
            </w:r>
          </w:p>
        </w:tc>
      </w:tr>
      <w:tr w14:paraId="361EE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47B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CBF8">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扫描视野</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11CB">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≥195 cm × 60 cm</w:t>
            </w:r>
          </w:p>
        </w:tc>
      </w:tr>
      <w:tr w14:paraId="25544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4BAF">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9D8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扫描床承重</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DAD4">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≥150 kg，如无法满足，需说明对肥胖患者的适应性</w:t>
            </w:r>
          </w:p>
        </w:tc>
      </w:tr>
      <w:tr w14:paraId="74680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4AF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E47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扫描臂距床面高度</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25CD">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 40cm，如无法满足，需说明对肥胖患者的适应性</w:t>
            </w:r>
          </w:p>
        </w:tc>
      </w:tr>
      <w:tr w14:paraId="47CD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8CE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FA76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▲扫描时间</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6A21">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Style w:val="24"/>
                <w:rFonts w:hint="eastAsia" w:ascii="仿宋_GB2312" w:hAnsi="仿宋_GB2312" w:eastAsia="仿宋_GB2312" w:cs="仿宋_GB2312"/>
                <w:sz w:val="24"/>
                <w:szCs w:val="24"/>
                <w:lang w:val="en-US" w:eastAsia="zh-CN" w:bidi="ar"/>
              </w:rPr>
              <w:t>腰椎或髋关节标准扫描时间≤30秒，全身扫描时间</w:t>
            </w:r>
            <w:r>
              <w:rPr>
                <w:rStyle w:val="21"/>
                <w:rFonts w:hint="eastAsia" w:ascii="仿宋_GB2312" w:hAnsi="仿宋_GB2312" w:eastAsia="仿宋_GB2312" w:cs="仿宋_GB2312"/>
                <w:sz w:val="24"/>
                <w:szCs w:val="24"/>
                <w:lang w:val="en-US" w:eastAsia="zh-CN" w:bidi="ar"/>
              </w:rPr>
              <w:t>≤5min</w:t>
            </w:r>
          </w:p>
        </w:tc>
      </w:tr>
      <w:tr w14:paraId="19650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B06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9605">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扫描精度</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EB9F7">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活体腰椎或髋关节: ≤1%，仿人体腰椎的质控模块扫描精度≤1%（提供相关证明材料复印件）</w:t>
            </w:r>
          </w:p>
        </w:tc>
      </w:tr>
      <w:tr w14:paraId="35227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3CFF">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E9F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扫描定位</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770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精准激光定位</w:t>
            </w:r>
          </w:p>
        </w:tc>
      </w:tr>
      <w:tr w14:paraId="52043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174E8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2  临床功能需求</w:t>
            </w:r>
            <w:r>
              <w:rPr>
                <w:rStyle w:val="22"/>
                <w:rFonts w:hint="eastAsia" w:ascii="仿宋_GB2312" w:hAnsi="仿宋_GB2312" w:eastAsia="仿宋_GB2312" w:cs="仿宋_GB2312"/>
                <w:sz w:val="24"/>
                <w:szCs w:val="24"/>
                <w:lang w:val="en-US" w:eastAsia="zh-CN" w:bidi="ar"/>
              </w:rPr>
              <w:t>​</w:t>
            </w:r>
          </w:p>
        </w:tc>
      </w:tr>
      <w:tr w14:paraId="5FBA1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B20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13F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▲骨密度检测</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18FC">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腰椎/股骨扫描时间≤30秒，精度CV≤1.0%</w:t>
            </w:r>
          </w:p>
        </w:tc>
      </w:tr>
      <w:tr w14:paraId="48D2A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4E8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AAC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★全身体成分分析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2C51">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全身骨矿物质、肌肉、脂肪成分分析，并可进行四肢、胸部、腹部的单独区域分析测量</w:t>
            </w:r>
          </w:p>
        </w:tc>
      </w:tr>
      <w:tr w14:paraId="6FC13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520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3776">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★腹部体成分分析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7DB6">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可对内脏脂肪（VAT）定量评估,需提供VAT面积、体积、质量数据</w:t>
            </w:r>
          </w:p>
        </w:tc>
      </w:tr>
      <w:tr w14:paraId="478A9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736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01C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▲代谢评估</w:t>
            </w:r>
            <w:r>
              <w:rPr>
                <w:rStyle w:val="22"/>
                <w:rFonts w:hint="eastAsia" w:ascii="仿宋_GB2312" w:hAnsi="仿宋_GB2312" w:eastAsia="仿宋_GB2312" w:cs="仿宋_GB2312"/>
                <w:sz w:val="24"/>
                <w:szCs w:val="24"/>
                <w:lang w:val="en-US" w:eastAsia="zh-CN" w:bidi="ar"/>
              </w:rPr>
              <w:t>​</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D2E9">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肌少症分析</w:t>
            </w:r>
          </w:p>
        </w:tc>
      </w:tr>
      <w:tr w14:paraId="7D89F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753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89A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自动WHO体重指数评估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5FFA">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01AFB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4C38">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CE7D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一次全身扫描获取全身骨密度值（BMD），并可进行四肢、胸部、腹部的单独区域分析测量</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60E9">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5A12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DA2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5875">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Style w:val="24"/>
                <w:rFonts w:hint="eastAsia" w:ascii="仿宋_GB2312" w:hAnsi="仿宋_GB2312" w:eastAsia="仿宋_GB2312" w:cs="仿宋_GB2312"/>
                <w:sz w:val="24"/>
                <w:szCs w:val="24"/>
                <w:lang w:val="en-US" w:eastAsia="zh-CN" w:bidi="ar"/>
              </w:rPr>
              <w:t>正位</w:t>
            </w:r>
            <w:r>
              <w:rPr>
                <w:rStyle w:val="21"/>
                <w:rFonts w:hint="eastAsia" w:ascii="仿宋_GB2312" w:hAnsi="仿宋_GB2312" w:eastAsia="仿宋_GB2312" w:cs="仿宋_GB2312"/>
                <w:sz w:val="24"/>
                <w:szCs w:val="24"/>
                <w:lang w:val="en-US" w:eastAsia="zh-CN" w:bidi="ar"/>
              </w:rPr>
              <w:t>脊柱</w:t>
            </w:r>
            <w:r>
              <w:rPr>
                <w:rStyle w:val="24"/>
                <w:rFonts w:hint="eastAsia" w:ascii="仿宋_GB2312" w:hAnsi="仿宋_GB2312" w:eastAsia="仿宋_GB2312" w:cs="仿宋_GB2312"/>
                <w:sz w:val="24"/>
                <w:szCs w:val="24"/>
                <w:lang w:val="en-US" w:eastAsia="zh-CN" w:bidi="ar"/>
              </w:rPr>
              <w:t>扫描、评估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0C80">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F007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E7A6">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578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侧位脊柱</w:t>
            </w:r>
            <w:r>
              <w:rPr>
                <w:rStyle w:val="24"/>
                <w:rFonts w:hint="eastAsia" w:ascii="仿宋_GB2312" w:hAnsi="仿宋_GB2312" w:eastAsia="仿宋_GB2312" w:cs="仿宋_GB2312"/>
                <w:sz w:val="24"/>
                <w:szCs w:val="24"/>
                <w:lang w:val="en-US" w:eastAsia="zh-CN" w:bidi="ar"/>
              </w:rPr>
              <w:t>扫描、评估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43B5">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05168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4EAF">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8AA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单侧股骨扫描</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EBFB">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073DD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3F4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7C6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双侧股骨自动扫描、评估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4BB7">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38C81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803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3986">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人工关节置换后的自动扫描、评估。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A756">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7ACA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537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779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Knee膝关节分析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1A68">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1DBB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971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4EE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Hand手部分析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C5AD">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35480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CA0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A0C3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前臂自动扫描、评估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2DC6A">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03721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C819">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408C">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儿童软件（小儿脊柱、髋关节、全身骨密度测量）</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D026">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16FA0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0B9C">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8E6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小动物软件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BBBF">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AF02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ECF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C87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负责接入采购人现有的PACS系统以及HIS系统</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8BC4">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29734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6F89A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 xml:space="preserve">3  </w:t>
            </w:r>
            <w:r>
              <w:rPr>
                <w:rStyle w:val="24"/>
                <w:rFonts w:hint="eastAsia" w:ascii="仿宋_GB2312" w:hAnsi="仿宋_GB2312" w:eastAsia="仿宋_GB2312" w:cs="仿宋_GB2312"/>
                <w:sz w:val="24"/>
                <w:szCs w:val="24"/>
                <w:lang w:val="en-US" w:eastAsia="zh-CN" w:bidi="ar"/>
              </w:rPr>
              <w:t>临床应用软件包</w:t>
            </w:r>
          </w:p>
        </w:tc>
      </w:tr>
      <w:tr w14:paraId="69DFA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EFA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930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骨密度及标准骨密度计算软件包</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5CC2">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全身骨密度分析软件，脊柱、椎体、髋关节、股骨、前壁/手分析、髋关节假体分析</w:t>
            </w:r>
          </w:p>
        </w:tc>
      </w:tr>
      <w:tr w14:paraId="1EC97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5DE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A656">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中国人数据库</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511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22C92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CC4F">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C9B2">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与前一次扫描结果对比分析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6D62">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E88C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07A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DCE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屏幕上扫描部位调整（可以通过软件，在屏幕上对扫描部位做精细调整，保证测量的精确性）</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989A">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AFD6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F270">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355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体重差异校正软件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ED0A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50273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0E5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9472">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T值和Z值分析软件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23C">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CB69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F02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C8C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WHO骨折风险评估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F296">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7DCB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A2E3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B0A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校准系统：含质量检测程序，QA态势分析及质检模</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1CEEC">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0BDDA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EB9C">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A75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检测结果趋势分析软件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9D05">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7F8A5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876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FB3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弯曲脊柱专用分析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5367">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73C75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883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715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扫描时自动对比该病人以往图像</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70AC">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F52C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BAE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EC1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高级体成分分析软件，全身骨含量、内脏脂肪、皮下脂肪、肌少症、基础代谢率分析。</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40A4">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1A65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D945">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BD15">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小动物分析应用软件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6D4C">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5D569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72C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A35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儿童全身测量软件</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4941E">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79AE6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DF5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D5F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多部位集成报告软件-多部位集成报告系统，将所有检测部位打印在一张报告上进行联合评估</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2CA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10BC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5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EBB19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 xml:space="preserve">4  </w:t>
            </w:r>
            <w:r>
              <w:rPr>
                <w:rStyle w:val="24"/>
                <w:rFonts w:hint="eastAsia" w:ascii="仿宋_GB2312" w:hAnsi="仿宋_GB2312" w:eastAsia="仿宋_GB2312" w:cs="仿宋_GB2312"/>
                <w:sz w:val="24"/>
                <w:szCs w:val="24"/>
                <w:lang w:val="en-US" w:eastAsia="zh-CN" w:bidi="ar"/>
              </w:rPr>
              <w:t>计算机系统</w:t>
            </w:r>
          </w:p>
        </w:tc>
      </w:tr>
      <w:tr w14:paraId="56B30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966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5A48">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主控计算机</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341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5749C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0AB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F3AA">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 xml:space="preserve">电脑工作站CPU </w:t>
            </w:r>
            <w:r>
              <w:rPr>
                <w:rStyle w:val="24"/>
                <w:rFonts w:hint="eastAsia" w:ascii="仿宋_GB2312" w:hAnsi="仿宋_GB2312" w:eastAsia="仿宋_GB2312" w:cs="仿宋_GB2312"/>
                <w:sz w:val="24"/>
                <w:szCs w:val="24"/>
                <w:lang w:val="en-US" w:eastAsia="zh-CN" w:bidi="ar"/>
              </w:rPr>
              <w:t>3 GHz以上</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73CA">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3130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5BC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61FC">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Win10 操作系统</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E8E27">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4AD4C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03D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B953">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内存：</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6038">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≥8GB</w:t>
            </w:r>
          </w:p>
        </w:tc>
      </w:tr>
      <w:tr w14:paraId="1333B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000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0B65A">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硬盘</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39D2">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≥1T</w:t>
            </w:r>
          </w:p>
        </w:tc>
      </w:tr>
      <w:tr w14:paraId="7B963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DA88">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C45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DVD±RW驱动器</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3C83">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具备</w:t>
            </w:r>
          </w:p>
        </w:tc>
      </w:tr>
      <w:tr w14:paraId="663C3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4CA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E39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显示器</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C810">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≥24英寸</w:t>
            </w:r>
          </w:p>
        </w:tc>
      </w:tr>
      <w:tr w14:paraId="7DF3F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5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4B8C1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Style w:val="21"/>
                <w:rFonts w:hint="eastAsia" w:ascii="仿宋_GB2312" w:hAnsi="仿宋_GB2312" w:eastAsia="仿宋_GB2312" w:cs="仿宋_GB2312"/>
                <w:sz w:val="24"/>
                <w:szCs w:val="24"/>
                <w:lang w:val="en-US" w:eastAsia="zh-CN" w:bidi="ar"/>
              </w:rPr>
              <w:t xml:space="preserve">5 </w:t>
            </w:r>
            <w:r>
              <w:rPr>
                <w:rStyle w:val="24"/>
                <w:rFonts w:hint="eastAsia" w:ascii="仿宋_GB2312" w:hAnsi="仿宋_GB2312" w:eastAsia="仿宋_GB2312" w:cs="仿宋_GB2312"/>
                <w:sz w:val="24"/>
                <w:szCs w:val="24"/>
                <w:lang w:val="en-US" w:eastAsia="zh-CN" w:bidi="ar"/>
              </w:rPr>
              <w:t>配置清单</w:t>
            </w:r>
          </w:p>
        </w:tc>
      </w:tr>
      <w:tr w14:paraId="34C21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5278">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058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名称和要求</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513DC">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数量</w:t>
            </w:r>
          </w:p>
        </w:tc>
      </w:tr>
      <w:tr w14:paraId="6AE58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447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671A">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双能X线骨密度仪主机 ，符合技术参数要求</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F376">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1套</w:t>
            </w:r>
          </w:p>
        </w:tc>
      </w:tr>
      <w:tr w14:paraId="58DE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2EC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EEE6">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全套扫描定位器</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6EC1">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1套</w:t>
            </w:r>
          </w:p>
        </w:tc>
      </w:tr>
      <w:tr w14:paraId="61474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511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DBD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脊柱正位扫描适配脚垫</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E4FE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1个</w:t>
            </w:r>
          </w:p>
        </w:tc>
      </w:tr>
      <w:tr w14:paraId="68F21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8AE5">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97C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日常质控仿真人体脊柱体模</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3F0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1个</w:t>
            </w:r>
          </w:p>
        </w:tc>
      </w:tr>
      <w:tr w14:paraId="2BCB5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E12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315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工作站（一台台式电脑和一台显示器）</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A4C4">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1套</w:t>
            </w:r>
          </w:p>
        </w:tc>
      </w:tr>
      <w:tr w14:paraId="625A1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056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8F0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彩色打印机，打印速度≥15页/分钟，分辨率≥1200×1200dpi</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7E7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1台</w:t>
            </w:r>
          </w:p>
        </w:tc>
      </w:tr>
      <w:tr w14:paraId="7A894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343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4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8944C">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中文操作手册和视频培训材料</w:t>
            </w:r>
          </w:p>
        </w:tc>
        <w:tc>
          <w:tcPr>
            <w:tcW w:w="3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EFB9">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1套</w:t>
            </w:r>
          </w:p>
        </w:tc>
      </w:tr>
      <w:tr w14:paraId="3BBCF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D06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79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57843">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★中标人负责接入采购现有PACS系统、HIS系统，费用包括在中标费内</w:t>
            </w:r>
          </w:p>
        </w:tc>
      </w:tr>
    </w:tbl>
    <w:p w14:paraId="16234854">
      <w:pPr>
        <w:numPr>
          <w:ilvl w:val="0"/>
          <w:numId w:val="0"/>
        </w:numPr>
        <w:spacing w:line="440" w:lineRule="exact"/>
        <w:rPr>
          <w:rFonts w:hint="eastAsia" w:ascii="仿宋" w:hAnsi="仿宋" w:eastAsia="仿宋" w:cs="仿宋"/>
          <w:b/>
          <w:color w:val="000000" w:themeColor="text1"/>
          <w:sz w:val="24"/>
          <w14:textFill>
            <w14:solidFill>
              <w14:schemeClr w14:val="tx1"/>
            </w14:solidFill>
          </w14:textFill>
        </w:rPr>
      </w:pPr>
    </w:p>
    <w:p w14:paraId="4A83F173">
      <w:pPr>
        <w:spacing w:line="440" w:lineRule="exact"/>
        <w:rPr>
          <w:rFonts w:ascii="仿宋" w:hAnsi="仿宋" w:eastAsia="仿宋" w:cs="仿宋"/>
          <w:b/>
          <w:color w:val="000000" w:themeColor="text1"/>
          <w:sz w:val="24"/>
          <w14:textFill>
            <w14:solidFill>
              <w14:schemeClr w14:val="tx1"/>
            </w14:solidFill>
          </w14:textFill>
        </w:rPr>
      </w:pPr>
    </w:p>
    <w:p w14:paraId="11AD96EA">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商务要求：</w:t>
      </w:r>
    </w:p>
    <w:p w14:paraId="751AF88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775C65E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1.1交货地点：采购人指定地点。</w:t>
      </w:r>
    </w:p>
    <w:p w14:paraId="1C8A2698">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及中标人的投标文件确定的事项与采购人签订合同，签订合同后</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60</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日内完成设备的安装调试。</w:t>
      </w:r>
    </w:p>
    <w:p w14:paraId="27D3BB04">
      <w:pPr>
        <w:spacing w:line="440" w:lineRule="exact"/>
        <w:rPr>
          <w:rFonts w:hint="eastAsia" w:ascii="仿宋" w:hAnsi="仿宋" w:eastAsia="仿宋" w:cs="仿宋"/>
          <w:color w:val="000000" w:themeColor="text1"/>
          <w:sz w:val="24"/>
          <w:highlight w:val="yellow"/>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1.3中标供应商须保证中标后所提供的设备为原装、全新合格的产品</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highlight w:val="yellow"/>
          <w:lang w:val="en-US" w:eastAsia="zh-CN"/>
          <w14:textFill>
            <w14:solidFill>
              <w14:schemeClr w14:val="tx1"/>
            </w14:solidFill>
          </w14:textFill>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1.5验收方式：按《小榄镇</w:t>
      </w:r>
      <w:r>
        <w:rPr>
          <w:rFonts w:hint="eastAsia" w:ascii="仿宋" w:hAnsi="仿宋" w:eastAsia="仿宋" w:cs="仿宋"/>
          <w:color w:val="000000" w:themeColor="text1"/>
          <w:sz w:val="24"/>
          <w:lang w:eastAsia="zh-CN"/>
          <w14:textFill>
            <w14:solidFill>
              <w14:schemeClr w14:val="tx1"/>
            </w14:solidFill>
          </w14:textFill>
        </w:rPr>
        <w:t>公立</w:t>
      </w:r>
      <w:r>
        <w:rPr>
          <w:rFonts w:hint="eastAsia" w:ascii="仿宋" w:hAnsi="仿宋" w:eastAsia="仿宋" w:cs="仿宋"/>
          <w:color w:val="000000" w:themeColor="text1"/>
          <w:sz w:val="24"/>
          <w14:textFill>
            <w14:solidFill>
              <w14:schemeClr w14:val="tx1"/>
            </w14:solidFill>
          </w14:textFill>
        </w:rPr>
        <w:t>医院</w:t>
      </w:r>
      <w:r>
        <w:rPr>
          <w:rFonts w:hint="eastAsia" w:ascii="仿宋" w:hAnsi="仿宋" w:eastAsia="仿宋" w:cs="仿宋"/>
          <w:color w:val="000000" w:themeColor="text1"/>
          <w:sz w:val="24"/>
          <w:lang w:eastAsia="zh-CN"/>
          <w14:textFill>
            <w14:solidFill>
              <w14:schemeClr w14:val="tx1"/>
            </w14:solidFill>
          </w14:textFill>
        </w:rPr>
        <w:t>政府</w:t>
      </w:r>
      <w:r>
        <w:rPr>
          <w:rFonts w:hint="eastAsia" w:ascii="仿宋" w:hAnsi="仿宋" w:eastAsia="仿宋" w:cs="仿宋"/>
          <w:color w:val="000000" w:themeColor="text1"/>
          <w:sz w:val="24"/>
          <w14:textFill>
            <w14:solidFill>
              <w14:schemeClr w14:val="tx1"/>
            </w14:solidFill>
          </w14:textFill>
        </w:rPr>
        <w:t>采购和验收</w:t>
      </w:r>
      <w:r>
        <w:rPr>
          <w:rFonts w:hint="eastAsia" w:ascii="仿宋" w:hAnsi="仿宋" w:eastAsia="仿宋" w:cs="仿宋"/>
          <w:color w:val="000000" w:themeColor="text1"/>
          <w:sz w:val="24"/>
          <w:lang w:eastAsia="zh-CN"/>
          <w14:textFill>
            <w14:solidFill>
              <w14:schemeClr w14:val="tx1"/>
            </w14:solidFill>
          </w14:textFill>
        </w:rPr>
        <w:t>办法</w:t>
      </w:r>
      <w:r>
        <w:rPr>
          <w:rFonts w:hint="eastAsia" w:ascii="仿宋" w:hAnsi="仿宋" w:eastAsia="仿宋" w:cs="仿宋"/>
          <w:color w:val="000000" w:themeColor="text1"/>
          <w:sz w:val="24"/>
          <w14:textFill>
            <w14:solidFill>
              <w14:schemeClr w14:val="tx1"/>
            </w14:solidFill>
          </w14:textFill>
        </w:rPr>
        <w:t>》。</w:t>
      </w:r>
    </w:p>
    <w:p w14:paraId="37607C9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71BBED5E">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2.售后服务要求</w:t>
      </w:r>
    </w:p>
    <w:p w14:paraId="2B351F45">
      <w:pPr>
        <w:tabs>
          <w:tab w:val="left" w:pos="420"/>
        </w:tabs>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14:textFill>
            <w14:solidFill>
              <w14:schemeClr w14:val="tx1"/>
            </w14:solidFill>
          </w14:textFill>
        </w:rPr>
      </w:pPr>
      <w:r>
        <w:rPr>
          <w:rStyle w:val="21"/>
          <w:rFonts w:hint="eastAsia" w:ascii="仿宋_GB2312" w:hAnsi="仿宋_GB2312" w:eastAsia="仿宋_GB2312" w:cs="仿宋_GB2312"/>
          <w:sz w:val="24"/>
          <w:szCs w:val="24"/>
          <w:lang w:val="en-US" w:eastAsia="zh-CN" w:bidi="ar"/>
        </w:rPr>
        <w:t>▲</w:t>
      </w:r>
      <w:r>
        <w:rPr>
          <w:rFonts w:hint="eastAsia" w:ascii="仿宋" w:hAnsi="仿宋" w:eastAsia="仿宋" w:cs="仿宋"/>
          <w:color w:val="000000" w:themeColor="text1"/>
          <w:sz w:val="24"/>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1</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年。</w:t>
      </w:r>
    </w:p>
    <w:p w14:paraId="34C701EB">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2.3在售后期内，中标供应商在接到用户的维修通知，响应时间为半小时内，工程师到达现场时间为4小时内，排除故障时限为到达现场后8小时内。</w:t>
      </w:r>
    </w:p>
    <w:p w14:paraId="64958E8F">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5ED331B0">
      <w:pPr>
        <w:spacing w:line="440" w:lineRule="exact"/>
        <w:rPr>
          <w:rFonts w:ascii="仿宋" w:hAnsi="仿宋" w:eastAsia="仿宋" w:cs="仿宋"/>
          <w:b/>
          <w:color w:val="000000" w:themeColor="text1"/>
          <w:sz w:val="24"/>
          <w14:textFill>
            <w14:solidFill>
              <w14:schemeClr w14:val="tx1"/>
            </w14:solidFill>
          </w14:textFill>
        </w:rPr>
      </w:pPr>
    </w:p>
    <w:p w14:paraId="5BC1A48F">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3.付款方式</w:t>
      </w:r>
    </w:p>
    <w:p w14:paraId="2B3E1177">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（2）验收调试合格报告（加盖采购人公章）；</w:t>
      </w:r>
    </w:p>
    <w:p w14:paraId="1BE3E546">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（3）中标供应商开具的正式发票（加盖发票专用章）。</w:t>
      </w:r>
    </w:p>
    <w:p w14:paraId="4C1E8C7A">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5%；合同总金额的5%</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作为第二期款项，</w:t>
      </w:r>
      <w:r>
        <w:rPr>
          <w:rFonts w:hint="eastAsia" w:ascii="仿宋" w:hAnsi="仿宋" w:eastAsia="仿宋" w:cs="仿宋"/>
          <w:color w:val="000000" w:themeColor="text1"/>
          <w:sz w:val="24"/>
          <w14:textFill>
            <w14:solidFill>
              <w14:schemeClr w14:val="tx1"/>
            </w14:solidFill>
          </w14:textFill>
        </w:rPr>
        <w:t>在</w:t>
      </w:r>
      <w:r>
        <w:rPr>
          <w:rFonts w:hint="eastAsia" w:ascii="仿宋" w:hAnsi="仿宋" w:eastAsia="仿宋" w:cs="仿宋"/>
          <w:color w:val="000000" w:themeColor="text1"/>
          <w:sz w:val="24"/>
          <w:highlight w:val="yellow"/>
          <w:u w:val="single"/>
          <w:lang w:val="en-US" w:eastAsia="zh-CN"/>
          <w14:textFill>
            <w14:solidFill>
              <w14:schemeClr w14:val="tx1"/>
            </w14:solidFill>
          </w14:textFill>
        </w:rPr>
        <w:t xml:space="preserve"> 验收合格之日起，满一年</w:t>
      </w:r>
      <w:r>
        <w:rPr>
          <w:rFonts w:hint="eastAsia" w:ascii="仿宋" w:hAnsi="仿宋" w:eastAsia="仿宋" w:cs="仿宋"/>
          <w:color w:val="000000" w:themeColor="text1"/>
          <w:sz w:val="24"/>
          <w14:textFill>
            <w14:solidFill>
              <w14:schemeClr w14:val="tx1"/>
            </w14:solidFill>
          </w14:textFill>
        </w:rPr>
        <w:t>后一次性无息</w:t>
      </w:r>
      <w:r>
        <w:rPr>
          <w:rFonts w:hint="eastAsia" w:ascii="仿宋" w:hAnsi="仿宋" w:eastAsia="仿宋" w:cs="仿宋"/>
          <w:color w:val="000000" w:themeColor="text1"/>
          <w:sz w:val="24"/>
          <w:lang w:val="en-US" w:eastAsia="zh-CN"/>
          <w14:textFill>
            <w14:solidFill>
              <w14:schemeClr w14:val="tx1"/>
            </w14:solidFill>
          </w14:textFill>
        </w:rPr>
        <w:t>支付</w:t>
      </w:r>
      <w:r>
        <w:rPr>
          <w:rFonts w:hint="eastAsia" w:ascii="仿宋" w:hAnsi="仿宋" w:eastAsia="仿宋" w:cs="仿宋"/>
          <w:color w:val="000000" w:themeColor="text1"/>
          <w:sz w:val="24"/>
          <w14:textFill>
            <w14:solidFill>
              <w14:schemeClr w14:val="tx1"/>
            </w14:solidFill>
          </w14:textFill>
        </w:rPr>
        <w:t>。</w:t>
      </w:r>
    </w:p>
    <w:p w14:paraId="3E9D9981">
      <w:pPr>
        <w:spacing w:line="440" w:lineRule="exact"/>
        <w:rPr>
          <w:rFonts w:hint="eastAsia" w:ascii="仿宋" w:hAnsi="仿宋" w:eastAsia="仿宋" w:cs="仿宋"/>
          <w:color w:val="000000" w:themeColor="text1"/>
          <w:sz w:val="24"/>
          <w14:textFill>
            <w14:solidFill>
              <w14:schemeClr w14:val="tx1"/>
            </w14:solidFill>
          </w14:textFill>
        </w:rPr>
      </w:pPr>
    </w:p>
    <w:p w14:paraId="27D5EA05">
      <w:pPr>
        <w:spacing w:line="440" w:lineRule="exact"/>
        <w:rPr>
          <w:rFonts w:hint="eastAsia" w:ascii="仿宋" w:hAnsi="仿宋" w:eastAsia="仿宋" w:cs="仿宋"/>
          <w:color w:val="000000" w:themeColor="text1"/>
          <w:sz w:val="24"/>
          <w14:textFill>
            <w14:solidFill>
              <w14:schemeClr w14:val="tx1"/>
            </w14:solidFill>
          </w14:textFill>
        </w:rPr>
      </w:pPr>
    </w:p>
    <w:p w14:paraId="1F1E47C4">
      <w:pPr>
        <w:spacing w:line="440" w:lineRule="exact"/>
        <w:rPr>
          <w:rFonts w:hint="eastAsia" w:ascii="仿宋" w:hAnsi="仿宋" w:eastAsia="仿宋" w:cs="仿宋"/>
          <w:color w:val="000000" w:themeColor="text1"/>
          <w:sz w:val="24"/>
          <w14:textFill>
            <w14:solidFill>
              <w14:schemeClr w14:val="tx1"/>
            </w14:solidFill>
          </w14:textFill>
        </w:rPr>
      </w:pPr>
    </w:p>
    <w:p w14:paraId="3D52E6B7">
      <w:pPr>
        <w:spacing w:line="440" w:lineRule="exact"/>
        <w:rPr>
          <w:rFonts w:hint="eastAsia" w:ascii="仿宋" w:hAnsi="仿宋" w:eastAsia="仿宋" w:cs="仿宋"/>
          <w:color w:val="000000" w:themeColor="text1"/>
          <w:sz w:val="24"/>
          <w14:textFill>
            <w14:solidFill>
              <w14:schemeClr w14:val="tx1"/>
            </w14:solidFill>
          </w14:textFill>
        </w:rPr>
      </w:pPr>
    </w:p>
    <w:p w14:paraId="5D7A712D">
      <w:pPr>
        <w:spacing w:line="440" w:lineRule="exact"/>
        <w:rPr>
          <w:rFonts w:hint="eastAsia" w:ascii="仿宋" w:hAnsi="仿宋" w:eastAsia="仿宋" w:cs="仿宋"/>
          <w:color w:val="000000" w:themeColor="text1"/>
          <w:sz w:val="24"/>
          <w14:textFill>
            <w14:solidFill>
              <w14:schemeClr w14:val="tx1"/>
            </w14:solidFill>
          </w14:textFill>
        </w:rPr>
      </w:pPr>
    </w:p>
    <w:p w14:paraId="77D22464">
      <w:pPr>
        <w:spacing w:line="440" w:lineRule="exact"/>
        <w:rPr>
          <w:rFonts w:hint="eastAsia" w:ascii="仿宋" w:hAnsi="仿宋" w:eastAsia="仿宋" w:cs="仿宋"/>
          <w:color w:val="000000" w:themeColor="text1"/>
          <w:sz w:val="24"/>
          <w14:textFill>
            <w14:solidFill>
              <w14:schemeClr w14:val="tx1"/>
            </w14:solidFill>
          </w14:textFill>
        </w:rPr>
      </w:pPr>
    </w:p>
    <w:p w14:paraId="3EE93C7C">
      <w:pPr>
        <w:spacing w:line="440" w:lineRule="exact"/>
        <w:rPr>
          <w:rFonts w:hint="eastAsia" w:ascii="仿宋" w:hAnsi="仿宋" w:eastAsia="仿宋" w:cs="仿宋"/>
          <w:color w:val="000000" w:themeColor="text1"/>
          <w:sz w:val="24"/>
          <w14:textFill>
            <w14:solidFill>
              <w14:schemeClr w14:val="tx1"/>
            </w14:solidFill>
          </w14:textFill>
        </w:rPr>
      </w:pPr>
    </w:p>
    <w:p w14:paraId="517D0F4A">
      <w:pPr>
        <w:spacing w:line="440" w:lineRule="exact"/>
        <w:rPr>
          <w:rFonts w:hint="eastAsia" w:ascii="仿宋" w:hAnsi="仿宋" w:eastAsia="仿宋" w:cs="仿宋"/>
          <w:color w:val="000000" w:themeColor="text1"/>
          <w:sz w:val="24"/>
          <w14:textFill>
            <w14:solidFill>
              <w14:schemeClr w14:val="tx1"/>
            </w14:solidFill>
          </w14:textFill>
        </w:rPr>
      </w:pPr>
    </w:p>
    <w:p w14:paraId="41914F97">
      <w:pPr>
        <w:spacing w:line="440" w:lineRule="exact"/>
        <w:rPr>
          <w:rFonts w:hint="eastAsia" w:ascii="仿宋" w:hAnsi="仿宋" w:eastAsia="仿宋" w:cs="仿宋"/>
          <w:color w:val="000000" w:themeColor="text1"/>
          <w:sz w:val="24"/>
          <w14:textFill>
            <w14:solidFill>
              <w14:schemeClr w14:val="tx1"/>
            </w14:solidFill>
          </w14:textFill>
        </w:rPr>
      </w:pPr>
    </w:p>
    <w:p w14:paraId="6AA28F20">
      <w:pPr>
        <w:spacing w:line="440" w:lineRule="exact"/>
        <w:rPr>
          <w:rFonts w:hint="eastAsia" w:ascii="仿宋" w:hAnsi="仿宋" w:eastAsia="仿宋" w:cs="仿宋"/>
          <w:color w:val="000000" w:themeColor="text1"/>
          <w:sz w:val="24"/>
          <w14:textFill>
            <w14:solidFill>
              <w14:schemeClr w14:val="tx1"/>
            </w14:solidFill>
          </w14:textFill>
        </w:rPr>
      </w:pPr>
    </w:p>
    <w:p w14:paraId="188C3C64">
      <w:pPr>
        <w:spacing w:line="440" w:lineRule="exact"/>
        <w:rPr>
          <w:rFonts w:hint="eastAsia" w:ascii="仿宋" w:hAnsi="仿宋" w:eastAsia="仿宋" w:cs="仿宋"/>
          <w:color w:val="000000" w:themeColor="text1"/>
          <w:sz w:val="24"/>
          <w14:textFill>
            <w14:solidFill>
              <w14:schemeClr w14:val="tx1"/>
            </w14:solidFill>
          </w14:textFill>
        </w:rPr>
      </w:pPr>
    </w:p>
    <w:p w14:paraId="43CF5193">
      <w:pPr>
        <w:spacing w:line="440" w:lineRule="exact"/>
        <w:rPr>
          <w:rFonts w:hint="eastAsia" w:ascii="仿宋" w:hAnsi="仿宋" w:eastAsia="仿宋" w:cs="仿宋"/>
          <w:color w:val="000000" w:themeColor="text1"/>
          <w:sz w:val="24"/>
          <w14:textFill>
            <w14:solidFill>
              <w14:schemeClr w14:val="tx1"/>
            </w14:solidFill>
          </w14:textFill>
        </w:rPr>
      </w:pPr>
    </w:p>
    <w:p w14:paraId="23D69DDD">
      <w:pPr>
        <w:spacing w:line="440" w:lineRule="exact"/>
        <w:rPr>
          <w:rFonts w:hint="eastAsia" w:ascii="仿宋" w:hAnsi="仿宋" w:eastAsia="仿宋" w:cs="仿宋"/>
          <w:color w:val="000000" w:themeColor="text1"/>
          <w:sz w:val="24"/>
          <w14:textFill>
            <w14:solidFill>
              <w14:schemeClr w14:val="tx1"/>
            </w14:solidFill>
          </w14:textFill>
        </w:rPr>
      </w:pPr>
    </w:p>
    <w:p w14:paraId="0A614418">
      <w:pPr>
        <w:spacing w:line="440" w:lineRule="exact"/>
        <w:rPr>
          <w:rFonts w:hint="eastAsia" w:ascii="仿宋" w:hAnsi="仿宋" w:eastAsia="仿宋" w:cs="仿宋"/>
          <w:color w:val="000000" w:themeColor="text1"/>
          <w:sz w:val="24"/>
          <w14:textFill>
            <w14:solidFill>
              <w14:schemeClr w14:val="tx1"/>
            </w14:solidFill>
          </w14:textFill>
        </w:rPr>
      </w:pPr>
    </w:p>
    <w:p w14:paraId="3B31E17D">
      <w:pPr>
        <w:spacing w:line="440" w:lineRule="exact"/>
        <w:rPr>
          <w:rFonts w:hint="eastAsia" w:ascii="仿宋" w:hAnsi="仿宋" w:eastAsia="仿宋" w:cs="仿宋"/>
          <w:color w:val="000000" w:themeColor="text1"/>
          <w:sz w:val="24"/>
          <w14:textFill>
            <w14:solidFill>
              <w14:schemeClr w14:val="tx1"/>
            </w14:solidFill>
          </w14:textFill>
        </w:rPr>
      </w:pPr>
    </w:p>
    <w:p w14:paraId="222AC5CD">
      <w:pPr>
        <w:spacing w:line="440" w:lineRule="exact"/>
        <w:rPr>
          <w:rFonts w:hint="eastAsia" w:ascii="仿宋" w:hAnsi="仿宋" w:eastAsia="仿宋" w:cs="仿宋"/>
          <w:color w:val="000000" w:themeColor="text1"/>
          <w:sz w:val="24"/>
          <w14:textFill>
            <w14:solidFill>
              <w14:schemeClr w14:val="tx1"/>
            </w14:solidFill>
          </w14:textFill>
        </w:rPr>
      </w:pPr>
    </w:p>
    <w:p w14:paraId="2E705218">
      <w:pPr>
        <w:spacing w:line="440" w:lineRule="exact"/>
        <w:rPr>
          <w:rFonts w:hint="eastAsia" w:ascii="仿宋" w:hAnsi="仿宋" w:eastAsia="仿宋" w:cs="仿宋"/>
          <w:color w:val="000000" w:themeColor="text1"/>
          <w:sz w:val="24"/>
          <w14:textFill>
            <w14:solidFill>
              <w14:schemeClr w14:val="tx1"/>
            </w14:solidFill>
          </w14:textFill>
        </w:rPr>
      </w:pPr>
    </w:p>
    <w:p w14:paraId="14F34DE1">
      <w:pPr>
        <w:spacing w:line="440" w:lineRule="exact"/>
        <w:rPr>
          <w:rFonts w:hint="eastAsia" w:ascii="仿宋" w:hAnsi="仿宋" w:eastAsia="仿宋" w:cs="仿宋"/>
          <w:color w:val="000000" w:themeColor="text1"/>
          <w:sz w:val="24"/>
          <w14:textFill>
            <w14:solidFill>
              <w14:schemeClr w14:val="tx1"/>
            </w14:solidFill>
          </w14:textFill>
        </w:rPr>
      </w:pPr>
    </w:p>
    <w:p w14:paraId="011A5CB5">
      <w:pPr>
        <w:spacing w:line="440" w:lineRule="exact"/>
        <w:rPr>
          <w:rFonts w:hint="eastAsia" w:ascii="仿宋" w:hAnsi="仿宋" w:eastAsia="仿宋" w:cs="仿宋"/>
          <w:color w:val="000000" w:themeColor="text1"/>
          <w:sz w:val="24"/>
          <w14:textFill>
            <w14:solidFill>
              <w14:schemeClr w14:val="tx1"/>
            </w14:solidFill>
          </w14:textFill>
        </w:rPr>
      </w:pPr>
    </w:p>
    <w:p w14:paraId="34E7B16A">
      <w:pPr>
        <w:spacing w:line="440" w:lineRule="exact"/>
        <w:rPr>
          <w:rFonts w:hint="eastAsia" w:ascii="仿宋" w:hAnsi="仿宋" w:eastAsia="仿宋" w:cs="仿宋"/>
          <w:color w:val="000000" w:themeColor="text1"/>
          <w:sz w:val="24"/>
          <w14:textFill>
            <w14:solidFill>
              <w14:schemeClr w14:val="tx1"/>
            </w14:solidFill>
          </w14:textFill>
        </w:rPr>
      </w:pPr>
    </w:p>
    <w:p w14:paraId="39E94CD8">
      <w:pPr>
        <w:spacing w:line="440" w:lineRule="exact"/>
        <w:rPr>
          <w:rFonts w:hint="eastAsia" w:ascii="仿宋" w:hAnsi="仿宋" w:eastAsia="仿宋" w:cs="仿宋"/>
          <w:color w:val="000000" w:themeColor="text1"/>
          <w:sz w:val="24"/>
          <w14:textFill>
            <w14:solidFill>
              <w14:schemeClr w14:val="tx1"/>
            </w14:solidFill>
          </w14:textFill>
        </w:rPr>
      </w:pPr>
    </w:p>
    <w:p w14:paraId="34AFE060">
      <w:pPr>
        <w:spacing w:line="440" w:lineRule="exact"/>
        <w:rPr>
          <w:rFonts w:hint="eastAsia" w:ascii="仿宋" w:hAnsi="仿宋" w:eastAsia="仿宋" w:cs="仿宋"/>
          <w:color w:val="000000" w:themeColor="text1"/>
          <w:sz w:val="24"/>
          <w14:textFill>
            <w14:solidFill>
              <w14:schemeClr w14:val="tx1"/>
            </w14:solidFill>
          </w14:textFill>
        </w:rPr>
      </w:pPr>
    </w:p>
    <w:p w14:paraId="20F790C7">
      <w:pPr>
        <w:spacing w:line="440" w:lineRule="exact"/>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评分表</w:t>
      </w:r>
    </w:p>
    <w:p w14:paraId="17FED6E9">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1"/>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2181"/>
        <w:gridCol w:w="2182"/>
        <w:gridCol w:w="2182"/>
      </w:tblGrid>
      <w:tr w14:paraId="2346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181" w:type="dxa"/>
            <w:vAlign w:val="center"/>
          </w:tcPr>
          <w:p w14:paraId="2431F959">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2181" w:type="dxa"/>
            <w:vAlign w:val="center"/>
          </w:tcPr>
          <w:p w14:paraId="580D9582">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技术评审</w:t>
            </w:r>
          </w:p>
        </w:tc>
        <w:tc>
          <w:tcPr>
            <w:tcW w:w="2182" w:type="dxa"/>
            <w:vAlign w:val="center"/>
          </w:tcPr>
          <w:p w14:paraId="7223C3E6">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价格评审</w:t>
            </w:r>
          </w:p>
        </w:tc>
        <w:tc>
          <w:tcPr>
            <w:tcW w:w="2182" w:type="dxa"/>
            <w:vAlign w:val="center"/>
          </w:tcPr>
          <w:p w14:paraId="036C37BB">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0DFF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181" w:type="dxa"/>
            <w:vAlign w:val="center"/>
          </w:tcPr>
          <w:p w14:paraId="3F16DA38">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15</w:t>
            </w:r>
            <w:r>
              <w:rPr>
                <w:rFonts w:hint="eastAsia" w:ascii="仿宋" w:hAnsi="仿宋" w:eastAsia="仿宋" w:cs="仿宋"/>
                <w:color w:val="auto"/>
                <w:highlight w:val="none"/>
              </w:rPr>
              <w:t>%</w:t>
            </w:r>
          </w:p>
        </w:tc>
        <w:tc>
          <w:tcPr>
            <w:tcW w:w="2181" w:type="dxa"/>
            <w:vAlign w:val="center"/>
          </w:tcPr>
          <w:p w14:paraId="13DBF34E">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55</w:t>
            </w:r>
            <w:r>
              <w:rPr>
                <w:rFonts w:hint="eastAsia" w:ascii="仿宋" w:hAnsi="仿宋" w:eastAsia="仿宋" w:cs="仿宋"/>
                <w:color w:val="auto"/>
                <w:highlight w:val="none"/>
              </w:rPr>
              <w:t>%</w:t>
            </w:r>
          </w:p>
        </w:tc>
        <w:tc>
          <w:tcPr>
            <w:tcW w:w="2182" w:type="dxa"/>
            <w:vAlign w:val="center"/>
          </w:tcPr>
          <w:p w14:paraId="394F3770">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2182" w:type="dxa"/>
            <w:vAlign w:val="center"/>
          </w:tcPr>
          <w:p w14:paraId="4C430AA4">
            <w:pPr>
              <w:pStyle w:val="9"/>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3715C036">
      <w:pPr>
        <w:spacing w:line="440" w:lineRule="exact"/>
        <w:rPr>
          <w:rFonts w:ascii="仿宋" w:hAnsi="仿宋" w:eastAsia="仿宋" w:cs="仿宋"/>
          <w:color w:val="auto"/>
          <w:sz w:val="24"/>
          <w:highlight w:val="none"/>
        </w:rPr>
      </w:pPr>
    </w:p>
    <w:p w14:paraId="496828A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商务评审：</w:t>
      </w:r>
    </w:p>
    <w:tbl>
      <w:tblPr>
        <w:tblStyle w:val="10"/>
        <w:tblW w:w="9103"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fixed"/>
        <w:tblCellMar>
          <w:top w:w="0" w:type="dxa"/>
          <w:left w:w="108" w:type="dxa"/>
          <w:bottom w:w="0" w:type="dxa"/>
          <w:right w:w="108" w:type="dxa"/>
        </w:tblCellMar>
      </w:tblPr>
      <w:tblGrid>
        <w:gridCol w:w="668"/>
        <w:gridCol w:w="900"/>
        <w:gridCol w:w="674"/>
        <w:gridCol w:w="5865"/>
        <w:gridCol w:w="996"/>
      </w:tblGrid>
      <w:tr w14:paraId="36F9A599">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668" w:type="dxa"/>
            <w:tcBorders>
              <w:top w:val="single" w:color="auto" w:sz="4" w:space="0"/>
              <w:left w:val="single" w:color="auto" w:sz="4" w:space="0"/>
              <w:bottom w:val="single" w:color="auto" w:sz="4" w:space="0"/>
              <w:right w:val="single" w:color="auto" w:sz="4" w:space="0"/>
            </w:tcBorders>
            <w:shd w:val="clear" w:color="000000" w:fill="D9D9D9"/>
            <w:vAlign w:val="center"/>
          </w:tcPr>
          <w:p w14:paraId="4FFCB396">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00" w:type="dxa"/>
            <w:tcBorders>
              <w:top w:val="single" w:color="auto" w:sz="4" w:space="0"/>
              <w:left w:val="single" w:color="auto" w:sz="4" w:space="0"/>
              <w:bottom w:val="single" w:color="auto" w:sz="4" w:space="0"/>
              <w:right w:val="single" w:color="auto" w:sz="4" w:space="0"/>
            </w:tcBorders>
            <w:shd w:val="clear" w:color="000000" w:fill="D9D9D9"/>
            <w:vAlign w:val="center"/>
          </w:tcPr>
          <w:p w14:paraId="6185EDF9">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评审指标</w:t>
            </w:r>
          </w:p>
        </w:tc>
        <w:tc>
          <w:tcPr>
            <w:tcW w:w="674" w:type="dxa"/>
            <w:tcBorders>
              <w:top w:val="single" w:color="auto" w:sz="4" w:space="0"/>
              <w:left w:val="single" w:color="auto" w:sz="4" w:space="0"/>
              <w:bottom w:val="single" w:color="auto" w:sz="4" w:space="0"/>
              <w:right w:val="single" w:color="auto" w:sz="4" w:space="0"/>
            </w:tcBorders>
            <w:shd w:val="clear" w:color="000000" w:fill="D9D9D9"/>
            <w:vAlign w:val="center"/>
          </w:tcPr>
          <w:p w14:paraId="64596C0E">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5865" w:type="dxa"/>
            <w:tcBorders>
              <w:top w:val="single" w:color="auto" w:sz="4" w:space="0"/>
              <w:left w:val="single" w:color="auto" w:sz="4" w:space="0"/>
              <w:bottom w:val="single" w:color="auto" w:sz="4" w:space="0"/>
              <w:right w:val="single" w:color="auto" w:sz="4" w:space="0"/>
            </w:tcBorders>
            <w:shd w:val="clear" w:color="000000" w:fill="D9D9D9"/>
            <w:vAlign w:val="center"/>
          </w:tcPr>
          <w:p w14:paraId="634FAEEE">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tcBorders>
              <w:top w:val="single" w:color="auto" w:sz="4" w:space="0"/>
              <w:left w:val="single" w:color="auto" w:sz="4" w:space="0"/>
              <w:bottom w:val="single" w:color="auto" w:sz="4" w:space="0"/>
              <w:right w:val="single" w:color="auto" w:sz="4" w:space="0"/>
            </w:tcBorders>
            <w:shd w:val="clear" w:color="000000" w:fill="D9D9D9"/>
            <w:vAlign w:val="center"/>
          </w:tcPr>
          <w:p w14:paraId="202F9D2E">
            <w:pPr>
              <w:wordWrap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供应商</w:t>
            </w:r>
          </w:p>
          <w:p w14:paraId="22144420">
            <w:pPr>
              <w:wordWrap w:val="0"/>
              <w:jc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w:t>
            </w:r>
          </w:p>
        </w:tc>
      </w:tr>
      <w:tr w14:paraId="4DC2CCE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4367B84F">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57685BE5">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市场占有率</w:t>
            </w:r>
          </w:p>
        </w:tc>
        <w:tc>
          <w:tcPr>
            <w:tcW w:w="674" w:type="dxa"/>
            <w:tcBorders>
              <w:top w:val="single" w:color="auto" w:sz="4" w:space="0"/>
              <w:left w:val="single" w:color="auto" w:sz="4" w:space="0"/>
              <w:bottom w:val="single" w:color="auto" w:sz="4" w:space="0"/>
              <w:right w:val="single" w:color="auto" w:sz="4" w:space="0"/>
            </w:tcBorders>
            <w:vAlign w:val="center"/>
          </w:tcPr>
          <w:p w14:paraId="4C66DD29">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5865" w:type="dxa"/>
            <w:tcBorders>
              <w:top w:val="single" w:color="auto" w:sz="4" w:space="0"/>
              <w:left w:val="single" w:color="auto" w:sz="4" w:space="0"/>
              <w:bottom w:val="single" w:color="auto" w:sz="4" w:space="0"/>
              <w:right w:val="single" w:color="auto" w:sz="4" w:space="0"/>
            </w:tcBorders>
            <w:vAlign w:val="center"/>
          </w:tcPr>
          <w:p w14:paraId="1757E7D3">
            <w:pPr>
              <w:rPr>
                <w:rFonts w:ascii="仿宋" w:hAnsi="仿宋" w:eastAsia="仿宋" w:cs="仿宋"/>
                <w:color w:val="auto"/>
                <w:sz w:val="24"/>
                <w:highlight w:val="none"/>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21</w:t>
            </w:r>
            <w:r>
              <w:rPr>
                <w:rFonts w:hint="eastAsia" w:ascii="仿宋" w:hAnsi="仿宋" w:eastAsia="仿宋" w:cs="仿宋"/>
                <w:color w:val="auto"/>
                <w:sz w:val="24"/>
                <w:highlight w:val="none"/>
              </w:rPr>
              <w:t>年至今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以合同签订时间为准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承接</w:t>
            </w:r>
            <w:r>
              <w:rPr>
                <w:rFonts w:hint="eastAsia" w:ascii="仿宋" w:hAnsi="仿宋" w:eastAsia="仿宋" w:cs="仿宋"/>
                <w:color w:val="auto"/>
                <w:sz w:val="24"/>
                <w:highlight w:val="none"/>
                <w:lang w:val="en-US" w:eastAsia="zh-CN"/>
              </w:rPr>
              <w:t>型号</w:t>
            </w:r>
            <w:r>
              <w:rPr>
                <w:rFonts w:hint="eastAsia" w:ascii="仿宋" w:hAnsi="仿宋" w:eastAsia="仿宋" w:cs="仿宋"/>
                <w:color w:val="auto"/>
                <w:sz w:val="24"/>
                <w:highlight w:val="none"/>
              </w:rPr>
              <w:t>项目业绩</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应同时满足以下条件： </w:t>
            </w:r>
            <w:r>
              <w:rPr>
                <w:rFonts w:hint="eastAsia" w:ascii="仿宋" w:hAnsi="仿宋" w:eastAsia="仿宋" w:cs="仿宋"/>
                <w:color w:val="auto"/>
                <w:sz w:val="24"/>
                <w:highlight w:val="none"/>
                <w:lang w:val="en-US" w:eastAsia="zh-CN"/>
              </w:rPr>
              <w:t>1）可以</w:t>
            </w: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val="en-US" w:eastAsia="zh-CN"/>
              </w:rPr>
              <w:t>非</w:t>
            </w:r>
            <w:r>
              <w:rPr>
                <w:rFonts w:hint="eastAsia" w:ascii="仿宋" w:hAnsi="仿宋" w:eastAsia="仿宋" w:cs="仿宋"/>
                <w:color w:val="auto"/>
                <w:sz w:val="24"/>
                <w:highlight w:val="none"/>
              </w:rPr>
              <w:t>投标人名义签订；</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合同标的</w:t>
            </w:r>
            <w:r>
              <w:rPr>
                <w:rFonts w:hint="eastAsia" w:ascii="仿宋" w:hAnsi="仿宋" w:eastAsia="仿宋" w:cs="仿宋"/>
                <w:color w:val="auto"/>
                <w:sz w:val="24"/>
                <w:highlight w:val="none"/>
                <w:lang w:val="en-US" w:eastAsia="zh-CN"/>
              </w:rPr>
              <w:t>与</w:t>
            </w: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为同型号</w:t>
            </w:r>
            <w:r>
              <w:rPr>
                <w:rFonts w:hint="eastAsia" w:ascii="仿宋" w:hAnsi="仿宋" w:eastAsia="仿宋" w:cs="仿宋"/>
                <w:color w:val="auto"/>
                <w:sz w:val="24"/>
                <w:highlight w:val="none"/>
              </w:rPr>
              <w:t>设备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每提供1份得1分，本小项满分</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p w14:paraId="598268F6">
            <w:pPr>
              <w:rPr>
                <w:rFonts w:ascii="仿宋" w:hAnsi="仿宋" w:eastAsia="仿宋" w:cs="仿宋"/>
                <w:color w:val="auto"/>
                <w:sz w:val="24"/>
                <w:highlight w:val="none"/>
              </w:rPr>
            </w:pPr>
            <w:r>
              <w:rPr>
                <w:rFonts w:hint="eastAsia" w:ascii="仿宋" w:hAnsi="仿宋" w:eastAsia="仿宋" w:cs="仿宋"/>
                <w:color w:val="auto"/>
                <w:sz w:val="24"/>
                <w:highlight w:val="none"/>
              </w:rPr>
              <w:t>（注：投标文件中提供合同复印件并加盖公章，未提供或所提供资料模糊不清的不得分。）</w:t>
            </w:r>
          </w:p>
        </w:tc>
        <w:tc>
          <w:tcPr>
            <w:tcW w:w="996" w:type="dxa"/>
            <w:tcBorders>
              <w:top w:val="single" w:color="auto" w:sz="4" w:space="0"/>
              <w:left w:val="single" w:color="auto" w:sz="4" w:space="0"/>
              <w:bottom w:val="single" w:color="auto" w:sz="4" w:space="0"/>
              <w:right w:val="single" w:color="auto" w:sz="4" w:space="0"/>
            </w:tcBorders>
            <w:vAlign w:val="center"/>
          </w:tcPr>
          <w:p w14:paraId="5B794C7A">
            <w:pPr>
              <w:jc w:val="center"/>
              <w:rPr>
                <w:rFonts w:ascii="仿宋" w:hAnsi="仿宋" w:eastAsia="仿宋" w:cs="仿宋"/>
                <w:color w:val="auto"/>
                <w:sz w:val="24"/>
                <w:highlight w:val="none"/>
              </w:rPr>
            </w:pPr>
          </w:p>
        </w:tc>
      </w:tr>
      <w:tr w14:paraId="54BE0E0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0C25ACCD">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900" w:type="dxa"/>
            <w:tcBorders>
              <w:top w:val="single" w:color="auto" w:sz="4" w:space="0"/>
              <w:left w:val="single" w:color="auto" w:sz="4" w:space="0"/>
              <w:bottom w:val="single" w:color="auto" w:sz="4" w:space="0"/>
              <w:right w:val="single" w:color="auto" w:sz="4" w:space="0"/>
            </w:tcBorders>
            <w:vAlign w:val="center"/>
          </w:tcPr>
          <w:p w14:paraId="3E1C072C">
            <w:pPr>
              <w:rPr>
                <w:rFonts w:ascii="仿宋" w:hAnsi="仿宋" w:eastAsia="仿宋" w:cs="仿宋"/>
                <w:color w:val="auto"/>
                <w:sz w:val="24"/>
                <w:highlight w:val="none"/>
              </w:rPr>
            </w:pPr>
            <w:r>
              <w:rPr>
                <w:rFonts w:hint="eastAsia" w:ascii="仿宋" w:hAnsi="仿宋" w:eastAsia="仿宋" w:cs="仿宋"/>
                <w:color w:val="auto"/>
                <w:sz w:val="24"/>
                <w:highlight w:val="none"/>
              </w:rPr>
              <w:t>质量保证措施</w:t>
            </w:r>
          </w:p>
        </w:tc>
        <w:tc>
          <w:tcPr>
            <w:tcW w:w="674" w:type="dxa"/>
            <w:tcBorders>
              <w:top w:val="single" w:color="auto" w:sz="4" w:space="0"/>
              <w:left w:val="single" w:color="auto" w:sz="4" w:space="0"/>
              <w:bottom w:val="single" w:color="auto" w:sz="4" w:space="0"/>
              <w:right w:val="single" w:color="auto" w:sz="4" w:space="0"/>
            </w:tcBorders>
            <w:vAlign w:val="center"/>
          </w:tcPr>
          <w:p w14:paraId="185EB9C3">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5865" w:type="dxa"/>
            <w:tcBorders>
              <w:top w:val="single" w:color="auto" w:sz="4" w:space="0"/>
              <w:left w:val="single" w:color="auto" w:sz="4" w:space="0"/>
              <w:bottom w:val="single" w:color="auto" w:sz="4" w:space="0"/>
              <w:right w:val="single" w:color="auto" w:sz="4" w:space="0"/>
            </w:tcBorders>
            <w:vAlign w:val="center"/>
          </w:tcPr>
          <w:p w14:paraId="50B3D4CE">
            <w:pPr>
              <w:rPr>
                <w:rFonts w:hint="eastAsia"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需求质保期要求的基础上延长1年，得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分；延长2年，得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分；本项最高得分不超过</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分。（延长的质保期须为原厂质保）</w:t>
            </w:r>
          </w:p>
          <w:p w14:paraId="6F97A1FC">
            <w:pPr>
              <w:rPr>
                <w:rFonts w:ascii="仿宋" w:hAnsi="仿宋" w:eastAsia="仿宋" w:cs="仿宋"/>
                <w:color w:val="auto"/>
                <w:sz w:val="24"/>
                <w:highlight w:val="none"/>
              </w:rPr>
            </w:pPr>
            <w:r>
              <w:rPr>
                <w:rFonts w:hint="eastAsia" w:ascii="仿宋" w:hAnsi="仿宋" w:eastAsia="仿宋" w:cs="仿宋"/>
                <w:b w:val="0"/>
                <w:bCs w:val="0"/>
                <w:color w:val="auto"/>
                <w:sz w:val="24"/>
                <w:szCs w:val="24"/>
                <w:highlight w:val="none"/>
              </w:rPr>
              <w:t>注：投标文件中须提供关于原厂质保和延长质保期年限的《承诺函》，格式自拟，不提供不得分。</w:t>
            </w:r>
          </w:p>
        </w:tc>
        <w:tc>
          <w:tcPr>
            <w:tcW w:w="996" w:type="dxa"/>
            <w:tcBorders>
              <w:top w:val="single" w:color="auto" w:sz="4" w:space="0"/>
              <w:left w:val="single" w:color="auto" w:sz="4" w:space="0"/>
              <w:bottom w:val="single" w:color="auto" w:sz="4" w:space="0"/>
              <w:right w:val="single" w:color="auto" w:sz="4" w:space="0"/>
            </w:tcBorders>
            <w:vAlign w:val="center"/>
          </w:tcPr>
          <w:p w14:paraId="7C05AB46">
            <w:pPr>
              <w:jc w:val="center"/>
              <w:rPr>
                <w:rFonts w:ascii="仿宋" w:hAnsi="仿宋" w:eastAsia="仿宋" w:cs="仿宋"/>
                <w:color w:val="auto"/>
                <w:sz w:val="24"/>
                <w:highlight w:val="none"/>
              </w:rPr>
            </w:pPr>
          </w:p>
        </w:tc>
      </w:tr>
      <w:tr w14:paraId="1E2F3743">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5A41600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900" w:type="dxa"/>
            <w:tcBorders>
              <w:top w:val="single" w:color="auto" w:sz="4" w:space="0"/>
              <w:left w:val="single" w:color="auto" w:sz="4" w:space="0"/>
              <w:bottom w:val="single" w:color="auto" w:sz="4" w:space="0"/>
              <w:right w:val="single" w:color="auto" w:sz="4" w:space="0"/>
            </w:tcBorders>
            <w:vAlign w:val="center"/>
          </w:tcPr>
          <w:p w14:paraId="279248F4">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商务响应情况</w:t>
            </w:r>
          </w:p>
        </w:tc>
        <w:tc>
          <w:tcPr>
            <w:tcW w:w="674" w:type="dxa"/>
            <w:tcBorders>
              <w:top w:val="single" w:color="auto" w:sz="4" w:space="0"/>
              <w:left w:val="single" w:color="auto" w:sz="4" w:space="0"/>
              <w:bottom w:val="single" w:color="auto" w:sz="4" w:space="0"/>
              <w:right w:val="single" w:color="auto" w:sz="4" w:space="0"/>
            </w:tcBorders>
            <w:vAlign w:val="center"/>
          </w:tcPr>
          <w:p w14:paraId="18B4BA90">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5865" w:type="dxa"/>
            <w:tcBorders>
              <w:top w:val="single" w:color="auto" w:sz="4" w:space="0"/>
              <w:left w:val="single" w:color="auto" w:sz="4" w:space="0"/>
              <w:bottom w:val="single" w:color="auto" w:sz="4" w:space="0"/>
              <w:right w:val="single" w:color="auto" w:sz="4" w:space="0"/>
            </w:tcBorders>
            <w:vAlign w:val="center"/>
          </w:tcPr>
          <w:p w14:paraId="105CAC62">
            <w:pPr>
              <w:pStyle w:val="3"/>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根据供应商的投标文件的商务响应程度进行评审。</w:t>
            </w:r>
          </w:p>
          <w:p w14:paraId="3266C026">
            <w:pPr>
              <w:pStyle w:val="3"/>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1.重要条款（“▲”号条款）共1项，完全响应的得2分，负偏离或不响应的得0分，本小项最高得2分；</w:t>
            </w:r>
          </w:p>
          <w:p w14:paraId="0BD7B295">
            <w:pPr>
              <w:pStyle w:val="3"/>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2.一般条款（非“▲”号条款）共8项，评审分数按以下公式进行计算：优于或完全响应的条款数量/一般条款（非“▲”号条款）总数量*2=本小项得分（按四舍五入保留两位）。</w:t>
            </w:r>
          </w:p>
          <w:p w14:paraId="2C13203F">
            <w:pPr>
              <w:pStyle w:val="2"/>
              <w:rPr>
                <w:rFonts w:hint="default"/>
                <w:lang w:val="en-US" w:eastAsia="zh-CN"/>
              </w:rPr>
            </w:pPr>
            <w:r>
              <w:rPr>
                <w:rFonts w:hint="eastAsia" w:ascii="仿宋" w:hAnsi="仿宋" w:eastAsia="仿宋" w:cs="仿宋"/>
                <w:color w:val="auto"/>
                <w:sz w:val="24"/>
                <w:highlight w:val="none"/>
                <w:lang w:val="en-US" w:eastAsia="zh-CN"/>
              </w:rPr>
              <w:t>注：以“商务条件响应表”作为评审依据。</w:t>
            </w:r>
          </w:p>
        </w:tc>
        <w:tc>
          <w:tcPr>
            <w:tcW w:w="996" w:type="dxa"/>
            <w:tcBorders>
              <w:top w:val="single" w:color="auto" w:sz="4" w:space="0"/>
              <w:left w:val="single" w:color="auto" w:sz="4" w:space="0"/>
              <w:bottom w:val="single" w:color="auto" w:sz="4" w:space="0"/>
              <w:right w:val="single" w:color="auto" w:sz="4" w:space="0"/>
            </w:tcBorders>
            <w:vAlign w:val="center"/>
          </w:tcPr>
          <w:p w14:paraId="05B33748">
            <w:pPr>
              <w:jc w:val="center"/>
              <w:rPr>
                <w:rFonts w:ascii="仿宋" w:hAnsi="仿宋" w:eastAsia="仿宋" w:cs="仿宋"/>
                <w:color w:val="auto"/>
                <w:sz w:val="24"/>
                <w:highlight w:val="none"/>
              </w:rPr>
            </w:pPr>
          </w:p>
        </w:tc>
      </w:tr>
      <w:tr w14:paraId="16A66BC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567" w:hRule="atLeast"/>
          <w:jc w:val="center"/>
        </w:trPr>
        <w:tc>
          <w:tcPr>
            <w:tcW w:w="1568" w:type="dxa"/>
            <w:gridSpan w:val="2"/>
            <w:tcBorders>
              <w:top w:val="single" w:color="auto" w:sz="4" w:space="0"/>
              <w:left w:val="single" w:color="auto" w:sz="4" w:space="0"/>
              <w:bottom w:val="single" w:color="auto" w:sz="4" w:space="0"/>
              <w:right w:val="single" w:color="auto" w:sz="4" w:space="0"/>
            </w:tcBorders>
            <w:vAlign w:val="center"/>
          </w:tcPr>
          <w:p w14:paraId="57D32B35">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674" w:type="dxa"/>
            <w:tcBorders>
              <w:top w:val="single" w:color="auto" w:sz="4" w:space="0"/>
              <w:left w:val="single" w:color="auto" w:sz="4" w:space="0"/>
              <w:bottom w:val="single" w:color="auto" w:sz="4" w:space="0"/>
              <w:right w:val="single" w:color="auto" w:sz="4" w:space="0"/>
            </w:tcBorders>
            <w:vAlign w:val="center"/>
          </w:tcPr>
          <w:p w14:paraId="3501601D">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15</w:t>
            </w:r>
          </w:p>
        </w:tc>
        <w:tc>
          <w:tcPr>
            <w:tcW w:w="5865" w:type="dxa"/>
            <w:tcBorders>
              <w:top w:val="single" w:color="auto" w:sz="4" w:space="0"/>
              <w:left w:val="single" w:color="auto" w:sz="4" w:space="0"/>
              <w:bottom w:val="single" w:color="auto" w:sz="4" w:space="0"/>
              <w:right w:val="single" w:color="auto" w:sz="4" w:space="0"/>
            </w:tcBorders>
            <w:vAlign w:val="center"/>
          </w:tcPr>
          <w:p w14:paraId="3CE3F70B">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tcBorders>
              <w:top w:val="single" w:color="auto" w:sz="4" w:space="0"/>
              <w:left w:val="single" w:color="auto" w:sz="4" w:space="0"/>
              <w:bottom w:val="single" w:color="auto" w:sz="4" w:space="0"/>
              <w:right w:val="single" w:color="auto" w:sz="4" w:space="0"/>
            </w:tcBorders>
            <w:vAlign w:val="center"/>
          </w:tcPr>
          <w:p w14:paraId="6FBC3103">
            <w:pPr>
              <w:jc w:val="center"/>
              <w:rPr>
                <w:rFonts w:ascii="仿宋" w:hAnsi="仿宋" w:eastAsia="仿宋" w:cs="仿宋"/>
                <w:color w:val="auto"/>
                <w:sz w:val="24"/>
                <w:highlight w:val="none"/>
              </w:rPr>
            </w:pPr>
          </w:p>
        </w:tc>
      </w:tr>
    </w:tbl>
    <w:p w14:paraId="4E67B15E">
      <w:pPr>
        <w:spacing w:line="440" w:lineRule="exact"/>
        <w:rPr>
          <w:rFonts w:ascii="仿宋" w:hAnsi="仿宋" w:eastAsia="仿宋" w:cs="仿宋"/>
          <w:color w:val="auto"/>
          <w:sz w:val="24"/>
          <w:highlight w:val="none"/>
        </w:rPr>
      </w:pPr>
    </w:p>
    <w:p w14:paraId="538E8540">
      <w:pPr>
        <w:spacing w:line="440" w:lineRule="exact"/>
        <w:rPr>
          <w:rFonts w:ascii="仿宋" w:hAnsi="仿宋" w:eastAsia="仿宋" w:cs="仿宋"/>
          <w:color w:val="auto"/>
          <w:sz w:val="24"/>
          <w:highlight w:val="none"/>
        </w:rPr>
      </w:pPr>
    </w:p>
    <w:p w14:paraId="6F8F0604">
      <w:pPr>
        <w:spacing w:line="440" w:lineRule="exact"/>
        <w:rPr>
          <w:rFonts w:ascii="仿宋" w:hAnsi="仿宋" w:eastAsia="仿宋" w:cs="仿宋"/>
          <w:color w:val="auto"/>
          <w:sz w:val="24"/>
          <w:highlight w:val="none"/>
        </w:rPr>
      </w:pPr>
    </w:p>
    <w:p w14:paraId="7A8445DB">
      <w:pPr>
        <w:spacing w:line="440" w:lineRule="exact"/>
        <w:rPr>
          <w:rFonts w:ascii="仿宋" w:hAnsi="仿宋" w:eastAsia="仿宋" w:cs="仿宋"/>
          <w:color w:val="auto"/>
          <w:sz w:val="24"/>
          <w:highlight w:val="none"/>
        </w:rPr>
      </w:pPr>
    </w:p>
    <w:p w14:paraId="22F32416">
      <w:pPr>
        <w:spacing w:line="440" w:lineRule="exact"/>
        <w:rPr>
          <w:rFonts w:ascii="仿宋" w:hAnsi="仿宋" w:eastAsia="仿宋" w:cs="仿宋"/>
          <w:color w:val="auto"/>
          <w:sz w:val="24"/>
          <w:highlight w:val="none"/>
        </w:rPr>
      </w:pPr>
    </w:p>
    <w:p w14:paraId="2E2DB361">
      <w:pPr>
        <w:spacing w:line="440" w:lineRule="exact"/>
        <w:rPr>
          <w:rFonts w:ascii="仿宋" w:hAnsi="仿宋" w:eastAsia="仿宋" w:cs="仿宋"/>
          <w:color w:val="auto"/>
          <w:sz w:val="24"/>
          <w:highlight w:val="none"/>
        </w:rPr>
      </w:pPr>
    </w:p>
    <w:p w14:paraId="3E51653A">
      <w:pPr>
        <w:spacing w:line="440" w:lineRule="exact"/>
        <w:rPr>
          <w:rFonts w:ascii="仿宋" w:hAnsi="仿宋" w:eastAsia="仿宋" w:cs="仿宋"/>
          <w:color w:val="auto"/>
          <w:sz w:val="24"/>
          <w:highlight w:val="none"/>
        </w:rPr>
      </w:pPr>
    </w:p>
    <w:p w14:paraId="6EF5C432">
      <w:pPr>
        <w:pStyle w:val="2"/>
        <w:rPr>
          <w:rFonts w:ascii="仿宋" w:hAnsi="仿宋" w:eastAsia="仿宋" w:cs="仿宋"/>
          <w:color w:val="auto"/>
          <w:sz w:val="24"/>
          <w:highlight w:val="none"/>
        </w:rPr>
      </w:pPr>
    </w:p>
    <w:p w14:paraId="26C66FA5">
      <w:pPr>
        <w:pStyle w:val="2"/>
        <w:rPr>
          <w:rFonts w:ascii="仿宋" w:hAnsi="仿宋" w:eastAsia="仿宋" w:cs="仿宋"/>
          <w:color w:val="auto"/>
          <w:sz w:val="24"/>
          <w:highlight w:val="none"/>
        </w:rPr>
      </w:pPr>
    </w:p>
    <w:p w14:paraId="0C325319">
      <w:pPr>
        <w:pStyle w:val="2"/>
        <w:rPr>
          <w:rFonts w:ascii="仿宋" w:hAnsi="仿宋" w:eastAsia="仿宋" w:cs="仿宋"/>
          <w:color w:val="auto"/>
          <w:sz w:val="24"/>
          <w:highlight w:val="none"/>
        </w:rPr>
      </w:pPr>
    </w:p>
    <w:p w14:paraId="74795E0D">
      <w:pPr>
        <w:pStyle w:val="2"/>
        <w:rPr>
          <w:rFonts w:ascii="仿宋" w:hAnsi="仿宋" w:eastAsia="仿宋" w:cs="仿宋"/>
          <w:color w:val="auto"/>
          <w:sz w:val="24"/>
          <w:highlight w:val="none"/>
        </w:rPr>
      </w:pPr>
    </w:p>
    <w:p w14:paraId="41C67B52">
      <w:pPr>
        <w:pStyle w:val="2"/>
        <w:rPr>
          <w:rFonts w:ascii="仿宋" w:hAnsi="仿宋" w:eastAsia="仿宋" w:cs="仿宋"/>
          <w:color w:val="auto"/>
          <w:sz w:val="24"/>
          <w:highlight w:val="none"/>
        </w:rPr>
      </w:pPr>
    </w:p>
    <w:p w14:paraId="7C68C844">
      <w:pPr>
        <w:pStyle w:val="2"/>
        <w:rPr>
          <w:rFonts w:ascii="仿宋" w:hAnsi="仿宋" w:eastAsia="仿宋" w:cs="仿宋"/>
          <w:color w:val="auto"/>
          <w:sz w:val="24"/>
          <w:highlight w:val="none"/>
        </w:rPr>
      </w:pPr>
    </w:p>
    <w:p w14:paraId="6FECC2B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技术评审：</w:t>
      </w:r>
    </w:p>
    <w:tbl>
      <w:tblPr>
        <w:tblStyle w:val="10"/>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45"/>
        <w:gridCol w:w="1032"/>
        <w:gridCol w:w="535"/>
        <w:gridCol w:w="6084"/>
        <w:gridCol w:w="996"/>
      </w:tblGrid>
      <w:tr w14:paraId="4A14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jc w:val="center"/>
        </w:trPr>
        <w:tc>
          <w:tcPr>
            <w:tcW w:w="445" w:type="dxa"/>
            <w:shd w:val="clear" w:color="000000" w:fill="auto"/>
            <w:vAlign w:val="center"/>
          </w:tcPr>
          <w:p w14:paraId="72ABC618">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032" w:type="dxa"/>
            <w:shd w:val="clear" w:color="000000" w:fill="auto"/>
            <w:vAlign w:val="center"/>
          </w:tcPr>
          <w:p w14:paraId="6818CA2A">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评分指标</w:t>
            </w:r>
          </w:p>
        </w:tc>
        <w:tc>
          <w:tcPr>
            <w:tcW w:w="535" w:type="dxa"/>
            <w:shd w:val="clear" w:color="000000" w:fill="auto"/>
            <w:vAlign w:val="center"/>
          </w:tcPr>
          <w:p w14:paraId="10B33131">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84" w:type="dxa"/>
            <w:shd w:val="clear" w:color="000000" w:fill="auto"/>
            <w:vAlign w:val="center"/>
          </w:tcPr>
          <w:p w14:paraId="3695F100">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shd w:val="clear" w:color="000000" w:fill="auto"/>
            <w:vAlign w:val="center"/>
          </w:tcPr>
          <w:p w14:paraId="02CA87F4">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供应商</w:t>
            </w:r>
          </w:p>
          <w:p w14:paraId="0F1B5345">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w:t>
            </w:r>
          </w:p>
        </w:tc>
      </w:tr>
      <w:tr w14:paraId="4ACD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577A25C0">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032" w:type="dxa"/>
            <w:shd w:val="clear" w:color="000000" w:fill="auto"/>
            <w:vAlign w:val="center"/>
          </w:tcPr>
          <w:p w14:paraId="3095385E">
            <w:pPr>
              <w:rPr>
                <w:rFonts w:ascii="仿宋" w:hAnsi="仿宋" w:eastAsia="仿宋" w:cs="仿宋"/>
                <w:color w:val="auto"/>
                <w:sz w:val="24"/>
                <w:highlight w:val="none"/>
              </w:rPr>
            </w:pPr>
            <w:r>
              <w:rPr>
                <w:rFonts w:hint="eastAsia" w:ascii="仿宋" w:hAnsi="仿宋" w:eastAsia="仿宋" w:cs="仿宋"/>
                <w:color w:val="auto"/>
                <w:sz w:val="24"/>
                <w:highlight w:val="none"/>
              </w:rPr>
              <w:t>一般条款响应程度</w:t>
            </w:r>
          </w:p>
        </w:tc>
        <w:tc>
          <w:tcPr>
            <w:tcW w:w="535" w:type="dxa"/>
            <w:shd w:val="clear" w:color="000000" w:fill="auto"/>
            <w:vAlign w:val="center"/>
          </w:tcPr>
          <w:p w14:paraId="42C36E5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w:t>
            </w:r>
          </w:p>
        </w:tc>
        <w:tc>
          <w:tcPr>
            <w:tcW w:w="6084" w:type="dxa"/>
            <w:shd w:val="clear" w:color="000000" w:fill="auto"/>
            <w:vAlign w:val="center"/>
          </w:tcPr>
          <w:p w14:paraId="3F235481">
            <w:pPr>
              <w:rPr>
                <w:rFonts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一般条款（非</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val="en-US" w:eastAsia="zh-CN"/>
              </w:rPr>
              <w:t>）每有一条不满足，扣1分，最高扣31</w:t>
            </w:r>
            <w:r>
              <w:rPr>
                <w:rFonts w:hint="eastAsia" w:ascii="仿宋" w:hAnsi="仿宋" w:eastAsia="仿宋" w:cs="仿宋"/>
                <w:color w:val="auto"/>
                <w:sz w:val="24"/>
                <w:highlight w:val="none"/>
              </w:rPr>
              <w:t>。注：以“技术和服务要求响应表”及应招标文件要求提供的相关证明材料作为评审依据。</w:t>
            </w:r>
          </w:p>
        </w:tc>
        <w:tc>
          <w:tcPr>
            <w:tcW w:w="996" w:type="dxa"/>
            <w:shd w:val="clear" w:color="000000" w:fill="auto"/>
            <w:vAlign w:val="center"/>
          </w:tcPr>
          <w:p w14:paraId="19BDB6AF">
            <w:pPr>
              <w:rPr>
                <w:rFonts w:ascii="仿宋" w:hAnsi="仿宋" w:eastAsia="仿宋" w:cs="仿宋"/>
                <w:b/>
                <w:color w:val="auto"/>
                <w:sz w:val="24"/>
                <w:highlight w:val="none"/>
              </w:rPr>
            </w:pPr>
          </w:p>
        </w:tc>
      </w:tr>
      <w:tr w14:paraId="20B3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4887B04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032" w:type="dxa"/>
            <w:shd w:val="clear" w:color="000000" w:fill="auto"/>
            <w:vAlign w:val="center"/>
          </w:tcPr>
          <w:p w14:paraId="061BE36A">
            <w:pPr>
              <w:rPr>
                <w:rFonts w:ascii="仿宋" w:hAnsi="仿宋" w:eastAsia="仿宋" w:cs="仿宋"/>
                <w:color w:val="auto"/>
                <w:sz w:val="24"/>
                <w:highlight w:val="none"/>
              </w:rPr>
            </w:pPr>
            <w:r>
              <w:rPr>
                <w:rFonts w:hint="eastAsia" w:ascii="仿宋" w:hAnsi="仿宋" w:eastAsia="仿宋" w:cs="仿宋"/>
                <w:color w:val="auto"/>
                <w:sz w:val="24"/>
                <w:highlight w:val="none"/>
              </w:rPr>
              <w:t>重要条款响应程度</w:t>
            </w:r>
          </w:p>
        </w:tc>
        <w:tc>
          <w:tcPr>
            <w:tcW w:w="535" w:type="dxa"/>
            <w:shd w:val="clear" w:color="000000" w:fill="auto"/>
            <w:vAlign w:val="center"/>
          </w:tcPr>
          <w:p w14:paraId="7C2C9B94">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6084" w:type="dxa"/>
            <w:shd w:val="clear" w:color="000000" w:fill="auto"/>
            <w:vAlign w:val="center"/>
          </w:tcPr>
          <w:p w14:paraId="3C803BFD">
            <w:pPr>
              <w:rPr>
                <w:rFonts w:ascii="仿宋" w:hAnsi="仿宋" w:eastAsia="仿宋" w:cs="仿宋"/>
                <w:color w:val="auto"/>
                <w:sz w:val="24"/>
                <w:highlight w:val="none"/>
              </w:rPr>
            </w:pPr>
            <w:r>
              <w:rPr>
                <w:rFonts w:hint="eastAsia" w:ascii="仿宋" w:hAnsi="仿宋" w:eastAsia="仿宋" w:cs="仿宋"/>
                <w:color w:val="auto"/>
                <w:sz w:val="24"/>
                <w:highlight w:val="none"/>
              </w:rPr>
              <w:t>本项目“▲”号条款</w:t>
            </w:r>
            <w:r>
              <w:rPr>
                <w:rFonts w:hint="eastAsia" w:ascii="仿宋" w:hAnsi="仿宋" w:eastAsia="仿宋" w:cs="仿宋"/>
                <w:color w:val="auto"/>
                <w:sz w:val="24"/>
                <w:highlight w:val="none"/>
                <w:lang w:val="en-US" w:eastAsia="zh-CN"/>
              </w:rPr>
              <w:t>每有一条不满足，扣4分，最高扣12分</w:t>
            </w: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提供相关证明材料为评审依据，证明材料包括但不限于说明书、白皮书、彩页等</w:t>
            </w:r>
            <w:r>
              <w:rPr>
                <w:rFonts w:hint="eastAsia" w:ascii="仿宋" w:hAnsi="仿宋" w:eastAsia="仿宋" w:cs="仿宋"/>
                <w:color w:val="auto"/>
                <w:sz w:val="24"/>
                <w:highlight w:val="none"/>
              </w:rPr>
              <w:t>。</w:t>
            </w:r>
          </w:p>
        </w:tc>
        <w:tc>
          <w:tcPr>
            <w:tcW w:w="996" w:type="dxa"/>
            <w:shd w:val="clear" w:color="000000" w:fill="auto"/>
            <w:vAlign w:val="center"/>
          </w:tcPr>
          <w:p w14:paraId="7C137D6F">
            <w:pPr>
              <w:rPr>
                <w:rFonts w:ascii="仿宋" w:hAnsi="仿宋" w:eastAsia="仿宋" w:cs="仿宋"/>
                <w:b/>
                <w:color w:val="auto"/>
                <w:sz w:val="24"/>
                <w:highlight w:val="none"/>
              </w:rPr>
            </w:pPr>
          </w:p>
        </w:tc>
      </w:tr>
      <w:tr w14:paraId="5561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736E58F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032" w:type="dxa"/>
            <w:shd w:val="clear" w:color="000000" w:fill="auto"/>
            <w:vAlign w:val="center"/>
          </w:tcPr>
          <w:p w14:paraId="7F72B69F">
            <w:pPr>
              <w:rPr>
                <w:rFonts w:ascii="仿宋" w:hAnsi="仿宋" w:eastAsia="仿宋" w:cs="仿宋"/>
                <w:color w:val="auto"/>
                <w:sz w:val="24"/>
                <w:highlight w:val="none"/>
              </w:rPr>
            </w:pPr>
          </w:p>
          <w:p w14:paraId="4AB9EAA5">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所投设备配置、选型及供货能力</w:t>
            </w:r>
          </w:p>
        </w:tc>
        <w:tc>
          <w:tcPr>
            <w:tcW w:w="535" w:type="dxa"/>
            <w:shd w:val="clear" w:color="000000" w:fill="auto"/>
            <w:vAlign w:val="center"/>
          </w:tcPr>
          <w:p w14:paraId="021BB397">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6084" w:type="dxa"/>
            <w:shd w:val="clear" w:color="000000" w:fill="auto"/>
            <w:vAlign w:val="center"/>
          </w:tcPr>
          <w:p w14:paraId="17132ECB">
            <w:pPr>
              <w:rPr>
                <w:rFonts w:ascii="仿宋" w:hAnsi="仿宋" w:eastAsia="仿宋" w:cs="仿宋"/>
                <w:color w:val="auto"/>
                <w:sz w:val="24"/>
                <w:highlight w:val="none"/>
              </w:rPr>
            </w:pPr>
            <w:r>
              <w:rPr>
                <w:rFonts w:hint="eastAsia" w:ascii="仿宋" w:hAnsi="仿宋" w:eastAsia="仿宋" w:cs="仿宋"/>
                <w:color w:val="auto"/>
                <w:sz w:val="24"/>
                <w:highlight w:val="none"/>
              </w:rPr>
              <w:t>1.所投设备配置、选型及性能完全满足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需求且有相关证明材料证明，供货及时，能有稳定供货渠道的得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59815AA7">
            <w:pPr>
              <w:rPr>
                <w:rFonts w:ascii="仿宋" w:hAnsi="仿宋" w:eastAsia="仿宋" w:cs="仿宋"/>
                <w:color w:val="auto"/>
                <w:sz w:val="24"/>
                <w:highlight w:val="none"/>
              </w:rPr>
            </w:pPr>
            <w:r>
              <w:rPr>
                <w:rFonts w:hint="eastAsia" w:ascii="仿宋" w:hAnsi="仿宋" w:eastAsia="仿宋" w:cs="仿宋"/>
                <w:color w:val="auto"/>
                <w:sz w:val="24"/>
                <w:highlight w:val="none"/>
              </w:rPr>
              <w:t>2.所投设备配置、选型、性能及供货能力基本满足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需求，但存在不足的得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3AE717ED">
            <w:pPr>
              <w:rPr>
                <w:rFonts w:ascii="仿宋" w:hAnsi="仿宋" w:eastAsia="仿宋" w:cs="仿宋"/>
                <w:color w:val="auto"/>
                <w:sz w:val="24"/>
                <w:highlight w:val="none"/>
              </w:rPr>
            </w:pPr>
            <w:r>
              <w:rPr>
                <w:rFonts w:hint="eastAsia" w:ascii="仿宋" w:hAnsi="仿宋" w:eastAsia="仿宋" w:cs="仿宋"/>
                <w:color w:val="auto"/>
                <w:sz w:val="24"/>
                <w:highlight w:val="none"/>
              </w:rPr>
              <w:t>3.所投设备配置、选型及供货能力基本不满足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 xml:space="preserve">需求的得 </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66255515">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（备注：提供设备配置清单或体现供货能力的相关证明材料，如相关认证、技术说明书或有效检验报告等证明材料）</w:t>
            </w:r>
          </w:p>
        </w:tc>
        <w:tc>
          <w:tcPr>
            <w:tcW w:w="996" w:type="dxa"/>
            <w:shd w:val="clear" w:color="000000" w:fill="auto"/>
            <w:vAlign w:val="center"/>
          </w:tcPr>
          <w:p w14:paraId="71373C10">
            <w:pPr>
              <w:rPr>
                <w:rFonts w:ascii="仿宋" w:hAnsi="仿宋" w:eastAsia="仿宋" w:cs="仿宋"/>
                <w:color w:val="auto"/>
                <w:sz w:val="24"/>
                <w:highlight w:val="none"/>
              </w:rPr>
            </w:pPr>
          </w:p>
        </w:tc>
      </w:tr>
      <w:tr w14:paraId="2D59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55619F7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w:t>
            </w:r>
          </w:p>
        </w:tc>
        <w:tc>
          <w:tcPr>
            <w:tcW w:w="1032" w:type="dxa"/>
            <w:shd w:val="clear" w:color="000000" w:fill="auto"/>
            <w:vAlign w:val="center"/>
          </w:tcPr>
          <w:p w14:paraId="34782259">
            <w:pPr>
              <w:rPr>
                <w:rFonts w:ascii="仿宋" w:hAnsi="仿宋" w:eastAsia="仿宋" w:cs="仿宋"/>
                <w:color w:val="auto"/>
                <w:sz w:val="24"/>
                <w:highlight w:val="none"/>
              </w:rPr>
            </w:pPr>
          </w:p>
          <w:p w14:paraId="5D8D5C4F">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设备技术支撑程度和可靠性</w:t>
            </w:r>
          </w:p>
        </w:tc>
        <w:tc>
          <w:tcPr>
            <w:tcW w:w="535" w:type="dxa"/>
            <w:shd w:val="clear" w:color="000000" w:fill="auto"/>
            <w:vAlign w:val="center"/>
          </w:tcPr>
          <w:p w14:paraId="182525F0">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6</w:t>
            </w:r>
          </w:p>
        </w:tc>
        <w:tc>
          <w:tcPr>
            <w:tcW w:w="6084" w:type="dxa"/>
            <w:shd w:val="clear" w:color="000000" w:fill="auto"/>
            <w:vAlign w:val="center"/>
          </w:tcPr>
          <w:p w14:paraId="3A6C0748">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根据供应商所投设备的技术和可靠性（技术支撑程度、工作原理先进性，自动化程度、运行稳定性程度等）进行评审。</w:t>
            </w:r>
          </w:p>
          <w:p w14:paraId="7B3300F2">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1.所投设备技术</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，可靠性强的，有较强的技术支持，工作原理</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，有较强的自动化能力，稳定运行性较强，得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3EA4B6B9">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2.所投设备技术较</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，可靠性一般，有稳定的技术支持，工作原理较为</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，能自动化使用，有一定的稳定运行性，得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701C15F5">
            <w:pPr>
              <w:spacing w:line="24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.所投设备的技术差，可靠性差的，没有技术支持，工作原理较差，自动化能力较差，得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996" w:type="dxa"/>
            <w:shd w:val="clear" w:color="000000" w:fill="auto"/>
            <w:vAlign w:val="center"/>
          </w:tcPr>
          <w:p w14:paraId="3CB718B7">
            <w:pPr>
              <w:rPr>
                <w:rFonts w:ascii="仿宋" w:hAnsi="仿宋" w:eastAsia="仿宋" w:cs="仿宋"/>
                <w:color w:val="auto"/>
                <w:sz w:val="24"/>
                <w:highlight w:val="none"/>
              </w:rPr>
            </w:pPr>
          </w:p>
        </w:tc>
      </w:tr>
      <w:tr w14:paraId="5417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8" w:hRule="atLeast"/>
          <w:jc w:val="center"/>
        </w:trPr>
        <w:tc>
          <w:tcPr>
            <w:tcW w:w="1477" w:type="dxa"/>
            <w:gridSpan w:val="2"/>
            <w:shd w:val="clear" w:color="000000" w:fill="auto"/>
            <w:vAlign w:val="center"/>
          </w:tcPr>
          <w:p w14:paraId="092457BD">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535" w:type="dxa"/>
            <w:shd w:val="clear" w:color="000000" w:fill="auto"/>
            <w:vAlign w:val="center"/>
          </w:tcPr>
          <w:p w14:paraId="40B64D1A">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55</w:t>
            </w:r>
          </w:p>
        </w:tc>
        <w:tc>
          <w:tcPr>
            <w:tcW w:w="6084" w:type="dxa"/>
            <w:shd w:val="clear" w:color="000000" w:fill="auto"/>
            <w:vAlign w:val="center"/>
          </w:tcPr>
          <w:p w14:paraId="19C83866">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shd w:val="clear" w:color="000000" w:fill="auto"/>
            <w:vAlign w:val="center"/>
          </w:tcPr>
          <w:p w14:paraId="21D6E879">
            <w:pPr>
              <w:rPr>
                <w:rFonts w:ascii="仿宋" w:hAnsi="仿宋" w:eastAsia="仿宋" w:cs="仿宋"/>
                <w:color w:val="auto"/>
                <w:sz w:val="24"/>
                <w:highlight w:val="none"/>
              </w:rPr>
            </w:pPr>
          </w:p>
        </w:tc>
      </w:tr>
    </w:tbl>
    <w:p w14:paraId="1BA4B67B">
      <w:pPr>
        <w:spacing w:line="440" w:lineRule="exact"/>
        <w:rPr>
          <w:rFonts w:hint="eastAsia" w:ascii="仿宋" w:hAnsi="仿宋" w:eastAsia="仿宋" w:cs="仿宋"/>
          <w:color w:val="000000" w:themeColor="text1"/>
          <w:sz w:val="24"/>
          <w14:textFill>
            <w14:solidFill>
              <w14:schemeClr w14:val="tx1"/>
            </w14:solidFill>
          </w14:textFill>
        </w:rPr>
      </w:pPr>
    </w:p>
    <w:p w14:paraId="77E8FF6E">
      <w:pPr>
        <w:rPr>
          <w:rFonts w:ascii="仿宋" w:hAnsi="仿宋" w:eastAsia="仿宋" w:cs="仿宋"/>
          <w:color w:val="000000" w:themeColor="text1"/>
          <w:sz w:val="24"/>
          <w:highlight w:val="cyan"/>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6"/>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6"/>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27725AF"/>
    <w:rsid w:val="03371317"/>
    <w:rsid w:val="126775F5"/>
    <w:rsid w:val="140524A5"/>
    <w:rsid w:val="17A84A31"/>
    <w:rsid w:val="18AC198D"/>
    <w:rsid w:val="1A362D0A"/>
    <w:rsid w:val="1A9A1AE2"/>
    <w:rsid w:val="1DB403E5"/>
    <w:rsid w:val="1E8B3C3C"/>
    <w:rsid w:val="1F0C2891"/>
    <w:rsid w:val="1FF004A0"/>
    <w:rsid w:val="21601D26"/>
    <w:rsid w:val="21F75571"/>
    <w:rsid w:val="26AC3567"/>
    <w:rsid w:val="27094723"/>
    <w:rsid w:val="28261D07"/>
    <w:rsid w:val="2A710EAE"/>
    <w:rsid w:val="2B9A59A4"/>
    <w:rsid w:val="2CAB1A01"/>
    <w:rsid w:val="2D887C39"/>
    <w:rsid w:val="2D993838"/>
    <w:rsid w:val="2E110DC4"/>
    <w:rsid w:val="33712CFE"/>
    <w:rsid w:val="33895773"/>
    <w:rsid w:val="361954A6"/>
    <w:rsid w:val="3C740147"/>
    <w:rsid w:val="3E9B4363"/>
    <w:rsid w:val="3EEE625E"/>
    <w:rsid w:val="4243425D"/>
    <w:rsid w:val="443A5766"/>
    <w:rsid w:val="44746547"/>
    <w:rsid w:val="4BF76F64"/>
    <w:rsid w:val="4EBD0A92"/>
    <w:rsid w:val="579F1125"/>
    <w:rsid w:val="58B3555A"/>
    <w:rsid w:val="5A3921D0"/>
    <w:rsid w:val="5B3C61DA"/>
    <w:rsid w:val="5DC71851"/>
    <w:rsid w:val="656A70AF"/>
    <w:rsid w:val="66AA15BF"/>
    <w:rsid w:val="69340CF8"/>
    <w:rsid w:val="6BD2675F"/>
    <w:rsid w:val="6C171CF3"/>
    <w:rsid w:val="6DDF526D"/>
    <w:rsid w:val="6F2A17D8"/>
    <w:rsid w:val="744B3E55"/>
    <w:rsid w:val="79A82991"/>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annotation text"/>
    <w:basedOn w:val="1"/>
    <w:link w:val="15"/>
    <w:qFormat/>
    <w:uiPriority w:val="0"/>
    <w:pPr>
      <w:widowControl/>
      <w:jc w:val="left"/>
    </w:pPr>
    <w:rPr>
      <w:kern w:val="0"/>
      <w:szCs w:val="20"/>
    </w:r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3"/>
    <w:next w:val="3"/>
    <w:link w:val="16"/>
    <w:qFormat/>
    <w:uiPriority w:val="0"/>
    <w:pPr>
      <w:widowControl w:val="0"/>
    </w:pPr>
    <w:rPr>
      <w:b/>
      <w:bCs/>
      <w:kern w:val="2"/>
      <w:szCs w:val="24"/>
    </w:rPr>
  </w:style>
  <w:style w:type="paragraph" w:styleId="9">
    <w:name w:val="Body Text First Indent"/>
    <w:basedOn w:val="2"/>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3"/>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11"/>
    <w:basedOn w:val="12"/>
    <w:qFormat/>
    <w:uiPriority w:val="0"/>
    <w:rPr>
      <w:rFonts w:hint="eastAsia" w:ascii="仿宋_GB2312" w:eastAsia="仿宋_GB2312" w:cs="仿宋_GB2312"/>
      <w:color w:val="000000"/>
      <w:sz w:val="32"/>
      <w:szCs w:val="32"/>
      <w:u w:val="none"/>
    </w:rPr>
  </w:style>
  <w:style w:type="character" w:customStyle="1" w:styleId="22">
    <w:name w:val="font41"/>
    <w:basedOn w:val="12"/>
    <w:qFormat/>
    <w:uiPriority w:val="0"/>
    <w:rPr>
      <w:rFonts w:hint="default" w:ascii="Times New Roman" w:hAnsi="Times New Roman" w:cs="Times New Roman"/>
      <w:color w:val="000000"/>
      <w:sz w:val="32"/>
      <w:szCs w:val="32"/>
      <w:u w:val="none"/>
    </w:rPr>
  </w:style>
  <w:style w:type="character" w:customStyle="1" w:styleId="23">
    <w:name w:val="font21"/>
    <w:basedOn w:val="12"/>
    <w:qFormat/>
    <w:uiPriority w:val="0"/>
    <w:rPr>
      <w:rFonts w:hint="eastAsia" w:ascii="宋体" w:hAnsi="宋体" w:eastAsia="宋体" w:cs="宋体"/>
      <w:color w:val="000000"/>
      <w:sz w:val="32"/>
      <w:szCs w:val="32"/>
      <w:u w:val="none"/>
    </w:rPr>
  </w:style>
  <w:style w:type="character" w:customStyle="1" w:styleId="24">
    <w:name w:val="font31"/>
    <w:basedOn w:val="12"/>
    <w:qFormat/>
    <w:uiPriority w:val="0"/>
    <w:rPr>
      <w:rFonts w:hint="eastAsia" w:ascii="仿宋_GB2312" w:eastAsia="仿宋_GB2312" w:cs="仿宋_GB2312"/>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3551</Words>
  <Characters>3719</Characters>
  <Lines>2</Lines>
  <Paragraphs>6</Paragraphs>
  <TotalTime>29</TotalTime>
  <ScaleCrop>false</ScaleCrop>
  <LinksUpToDate>false</LinksUpToDate>
  <CharactersWithSpaces>3749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WPS_1569921152</cp:lastModifiedBy>
  <cp:lastPrinted>2021-08-11T08:36:00Z</cp:lastPrinted>
  <dcterms:modified xsi:type="dcterms:W3CDTF">2026-04-14T03:46:53Z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8AB2CEBE4E7E4433BD790C03C9358F15_13</vt:lpwstr>
  </property>
  <property fmtid="{D5CDD505-2E9C-101B-9397-08002B2CF9AE}" pid="4" name="KSOTemplateDocerSaveRecord">
    <vt:lpwstr>eyJoZGlkIjoiZTIwMTMwYTA2NTI3OTgwOGYwYzA4NmFiZDYzYTU5NzEiLCJ1c2VySWQiOiI2NzkzNTU2NjEifQ==</vt:lpwstr>
  </property>
</Properties>
</file>