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2534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采购需求书（暂定）</w:t>
      </w:r>
    </w:p>
    <w:p w14:paraId="49162417">
      <w:pPr>
        <w:keepNext w:val="0"/>
        <w:keepLines w:val="0"/>
        <w:pageBreakBefore w:val="0"/>
        <w:widowControl/>
        <w:kinsoku/>
        <w:wordWrap/>
        <w:overflowPunct/>
        <w:topLinePunct w:val="0"/>
        <w:autoSpaceDE/>
        <w:autoSpaceDN/>
        <w:bidi w:val="0"/>
        <w:adjustRightInd/>
        <w:snapToGrid/>
        <w:spacing w:line="500" w:lineRule="exact"/>
        <w:ind w:right="0"/>
        <w:jc w:val="left"/>
        <w:textAlignment w:val="auto"/>
        <w:outlineLvl w:val="9"/>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eastAsia="zh-CN"/>
        </w:rPr>
        <w:t>一、</w:t>
      </w:r>
      <w:r>
        <w:rPr>
          <w:rFonts w:hint="eastAsia" w:ascii="宋体" w:hAnsi="宋体" w:eastAsia="宋体" w:cs="宋体"/>
          <w:b/>
          <w:bCs w:val="0"/>
          <w:color w:val="000000"/>
          <w:sz w:val="28"/>
          <w:szCs w:val="28"/>
          <w:lang w:val="en-US" w:eastAsia="zh-CN"/>
        </w:rPr>
        <w:t>项目内容</w:t>
      </w:r>
    </w:p>
    <w:p w14:paraId="7B38FB4C">
      <w:pPr>
        <w:keepNext w:val="0"/>
        <w:keepLines w:val="0"/>
        <w:pageBreakBefore w:val="0"/>
        <w:widowControl/>
        <w:tabs>
          <w:tab w:val="left" w:pos="426"/>
        </w:tabs>
        <w:kinsoku/>
        <w:wordWrap/>
        <w:overflowPunct/>
        <w:topLinePunct w:val="0"/>
        <w:autoSpaceDE/>
        <w:autoSpaceDN/>
        <w:bidi w:val="0"/>
        <w:adjustRightInd/>
        <w:snapToGrid/>
        <w:spacing w:line="500" w:lineRule="exact"/>
        <w:ind w:right="0"/>
        <w:jc w:val="left"/>
        <w:textAlignment w:val="auto"/>
        <w:outlineLvl w:val="9"/>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eastAsia="zh-CN"/>
        </w:rPr>
        <w:t>1.项目名称：2026年度中山市东升医院生姜面粉调味料等食品原料及工业原料协议供货项目</w:t>
      </w:r>
    </w:p>
    <w:p w14:paraId="1ECB84C2">
      <w:pPr>
        <w:keepNext w:val="0"/>
        <w:keepLines w:val="0"/>
        <w:pageBreakBefore w:val="0"/>
        <w:widowControl/>
        <w:tabs>
          <w:tab w:val="left" w:pos="426"/>
        </w:tabs>
        <w:kinsoku/>
        <w:wordWrap/>
        <w:overflowPunct/>
        <w:topLinePunct w:val="0"/>
        <w:autoSpaceDE/>
        <w:autoSpaceDN/>
        <w:bidi w:val="0"/>
        <w:adjustRightInd/>
        <w:snapToGrid/>
        <w:spacing w:line="500" w:lineRule="exact"/>
        <w:ind w:right="0"/>
        <w:jc w:val="left"/>
        <w:textAlignment w:val="auto"/>
        <w:outlineLvl w:val="9"/>
        <w:rPr>
          <w:rFonts w:hint="eastAsia" w:ascii="宋体" w:hAnsi="宋体" w:eastAsia="宋体" w:cs="宋体"/>
          <w:b/>
          <w:bCs/>
          <w:color w:val="000000"/>
          <w:sz w:val="28"/>
          <w:szCs w:val="28"/>
          <w:highlight w:val="none"/>
          <w:u w:val="none"/>
        </w:rPr>
      </w:pPr>
      <w:r>
        <w:rPr>
          <w:rFonts w:hint="eastAsia" w:ascii="宋体" w:hAnsi="宋体" w:eastAsia="宋体" w:cs="宋体"/>
          <w:bCs/>
          <w:color w:val="000000"/>
          <w:sz w:val="28"/>
          <w:szCs w:val="28"/>
          <w:lang w:val="en-US" w:eastAsia="zh-CN"/>
        </w:rPr>
        <w:t>2.</w:t>
      </w:r>
      <w:r>
        <w:rPr>
          <w:rFonts w:hint="eastAsia" w:ascii="宋体" w:hAnsi="宋体" w:eastAsia="宋体" w:cs="宋体"/>
          <w:color w:val="000000"/>
          <w:sz w:val="28"/>
          <w:szCs w:val="28"/>
        </w:rPr>
        <w:t>本项目采购金额预算约：</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
          <w:bCs/>
          <w:color w:val="000000"/>
          <w:sz w:val="28"/>
          <w:szCs w:val="28"/>
          <w:highlight w:val="none"/>
          <w:u w:val="none"/>
        </w:rPr>
        <w:t>元</w:t>
      </w:r>
    </w:p>
    <w:p w14:paraId="517C2023">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b w:val="0"/>
          <w:bCs/>
          <w:sz w:val="28"/>
          <w:szCs w:val="28"/>
          <w:lang w:val="en-US" w:eastAsia="zh-CN"/>
        </w:rPr>
        <w:t>3.</w:t>
      </w:r>
      <w:r>
        <w:rPr>
          <w:rFonts w:hint="eastAsia" w:ascii="宋体" w:hAnsi="宋体" w:eastAsia="宋体" w:cs="宋体"/>
          <w:color w:val="auto"/>
          <w:sz w:val="28"/>
          <w:szCs w:val="28"/>
          <w:highlight w:val="none"/>
          <w:lang w:eastAsia="zh-CN"/>
        </w:rPr>
        <w:t>供货期限：</w:t>
      </w:r>
      <w:r>
        <w:rPr>
          <w:rFonts w:hint="eastAsia" w:ascii="宋体" w:hAnsi="宋体" w:eastAsia="宋体" w:cs="宋体"/>
          <w:color w:val="auto"/>
          <w:sz w:val="28"/>
          <w:szCs w:val="28"/>
          <w:highlight w:val="none"/>
          <w:lang w:val="en-US" w:eastAsia="zh-CN"/>
        </w:rPr>
        <w:t>自合同签订之日起</w:t>
      </w:r>
      <w:r>
        <w:rPr>
          <w:rFonts w:hint="eastAsia" w:ascii="宋体" w:hAnsi="宋体" w:eastAsia="宋体" w:cs="宋体"/>
          <w:b/>
          <w:bCs/>
          <w:color w:val="auto"/>
          <w:sz w:val="28"/>
          <w:szCs w:val="28"/>
          <w:highlight w:val="none"/>
          <w:u w:val="single"/>
          <w:lang w:val="en-US" w:eastAsia="zh-CN"/>
        </w:rPr>
        <w:t>1</w:t>
      </w:r>
      <w:r>
        <w:rPr>
          <w:rFonts w:hint="eastAsia" w:ascii="宋体" w:hAnsi="宋体" w:eastAsia="宋体" w:cs="宋体"/>
          <w:color w:val="auto"/>
          <w:sz w:val="28"/>
          <w:szCs w:val="28"/>
          <w:highlight w:val="none"/>
          <w:lang w:val="en-US" w:eastAsia="zh-CN"/>
        </w:rPr>
        <w:t>年。当达到下列条件之一，合同自动终止:</w:t>
      </w:r>
    </w:p>
    <w:p w14:paraId="084E0D38">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（1）自合同签订之日起，供货满一年；</w:t>
      </w:r>
    </w:p>
    <w:p w14:paraId="2D38DB0C">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（2）合同期内采购金额累计达到本项目预算总金额；</w:t>
      </w:r>
    </w:p>
    <w:p w14:paraId="13C08D48">
      <w:pPr>
        <w:widowControl w:val="0"/>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（3）剩余金额不足以采购清单内任何一项物品时。</w:t>
      </w:r>
    </w:p>
    <w:p w14:paraId="086F99F4">
      <w:pPr>
        <w:widowControl w:val="0"/>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交</w:t>
      </w:r>
      <w:r>
        <w:rPr>
          <w:rFonts w:hint="eastAsia" w:ascii="宋体" w:hAnsi="宋体" w:eastAsia="宋体" w:cs="宋体"/>
          <w:color w:val="auto"/>
          <w:kern w:val="2"/>
          <w:sz w:val="28"/>
          <w:szCs w:val="28"/>
          <w:highlight w:val="none"/>
          <w:lang w:val="en-US" w:eastAsia="zh-CN" w:bidi="ar-SA"/>
        </w:rPr>
        <w:t>货方式：成交供应商应保证有充足的货物，确保供货，在收到采购人下单通知后</w:t>
      </w:r>
      <w:r>
        <w:rPr>
          <w:rFonts w:hint="eastAsia" w:ascii="宋体" w:hAnsi="宋体" w:eastAsia="宋体" w:cs="宋体"/>
          <w:color w:val="auto"/>
          <w:kern w:val="2"/>
          <w:sz w:val="28"/>
          <w:szCs w:val="28"/>
          <w:highlight w:val="none"/>
          <w:u w:val="single"/>
          <w:lang w:val="en-US" w:eastAsia="zh-CN" w:bidi="ar-SA"/>
        </w:rPr>
        <w:t>3</w:t>
      </w:r>
      <w:r>
        <w:rPr>
          <w:rFonts w:hint="eastAsia" w:ascii="宋体" w:hAnsi="宋体" w:eastAsia="宋体" w:cs="宋体"/>
          <w:color w:val="auto"/>
          <w:kern w:val="2"/>
          <w:sz w:val="28"/>
          <w:szCs w:val="28"/>
          <w:highlight w:val="none"/>
          <w:lang w:val="en-US" w:eastAsia="zh-CN" w:bidi="ar-SA"/>
        </w:rPr>
        <w:t>个工作日内将货物交付到指定地点。如遇采购人急需使用的情况，成交供应商应在</w:t>
      </w:r>
      <w:r>
        <w:rPr>
          <w:rFonts w:hint="eastAsia" w:ascii="宋体" w:hAnsi="宋体" w:eastAsia="宋体" w:cs="宋体"/>
          <w:color w:val="auto"/>
          <w:kern w:val="2"/>
          <w:sz w:val="28"/>
          <w:szCs w:val="28"/>
          <w:highlight w:val="none"/>
          <w:u w:val="single"/>
          <w:lang w:val="en-US" w:eastAsia="zh-CN" w:bidi="ar-SA"/>
        </w:rPr>
        <w:t>2</w:t>
      </w:r>
      <w:r>
        <w:rPr>
          <w:rFonts w:hint="eastAsia" w:ascii="宋体" w:hAnsi="宋体" w:eastAsia="宋体" w:cs="宋体"/>
          <w:color w:val="auto"/>
          <w:kern w:val="2"/>
          <w:sz w:val="28"/>
          <w:szCs w:val="28"/>
          <w:highlight w:val="none"/>
          <w:lang w:val="en-US" w:eastAsia="zh-CN" w:bidi="ar-SA"/>
        </w:rPr>
        <w:t>小时内到货。</w:t>
      </w:r>
    </w:p>
    <w:p w14:paraId="183F4A1C">
      <w:pPr>
        <w:numPr>
          <w:ilvl w:val="0"/>
          <w:numId w:val="0"/>
        </w:num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5.交货条件：</w:t>
      </w:r>
    </w:p>
    <w:p w14:paraId="3B075E14">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（1）成交供应商应将货物送到采购人指定地点交给采购人收货人，货物交付前一切风险由成交供应商承担。</w:t>
      </w:r>
    </w:p>
    <w:p w14:paraId="22AD6988">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（2）成交供应商所提交的货物单价超出合同约定的，采购人有权拒绝接收。</w:t>
      </w:r>
    </w:p>
    <w:p w14:paraId="1E63C7E7">
      <w:pPr>
        <w:numPr>
          <w:ilvl w:val="0"/>
          <w:numId w:val="0"/>
        </w:num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sz w:val="28"/>
          <w:szCs w:val="28"/>
          <w:highlight w:val="none"/>
          <w:lang w:val="en-US" w:eastAsia="zh-CN"/>
        </w:rPr>
        <w:t>合同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应采购人使用，不得断供，否则视为成交供应商违约（如遇紧急情况，供货时间由双方协商确定）。</w:t>
      </w:r>
    </w:p>
    <w:p w14:paraId="450089BC">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（4）合同期内，成交供应商所提供的货物在使用过程中，采购人发现以次充好或使用假冒伪劣产品2次以上，或者成交供应商超过规定交货期限10个自然日仍不能交货的，采购人有权单方终止合同。</w:t>
      </w:r>
    </w:p>
    <w:p w14:paraId="4E087859">
      <w:pPr>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（5）成交供应商在实施项目过程中如有违法违规行为的，采购人有权取消其供货资格，造成的损失由成交供应商承担。</w:t>
      </w:r>
    </w:p>
    <w:p w14:paraId="5AE62F1B">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（6）成交供应商不得以任何方式转包或分包本项目，否则采购人有权单方终止项目。 </w:t>
      </w:r>
    </w:p>
    <w:p w14:paraId="093C019C">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（7）成交供应商向采购人提供产品全部相关资质证明。</w:t>
      </w:r>
    </w:p>
    <w:p w14:paraId="468505D1">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551A4E49">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（9）如成交供应商未能按时保质交货，需支付违约金。</w:t>
      </w:r>
    </w:p>
    <w:p w14:paraId="0C6EA31D">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（10）成交供应商送货上门，运费、装卸费及保险费等一切相关费用均由成交供应商负责。</w:t>
      </w:r>
    </w:p>
    <w:p w14:paraId="0F37162F">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（11）成交供应商应依照行业标准对采购人所购买的产品进行包装，以防止产品在转运中损坏、污染或侵权行为等，确保产品安全运抵指定地点。</w:t>
      </w:r>
    </w:p>
    <w:p w14:paraId="253D9061">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（12）成交供应商不得无故拖延项目实施，否则，经采购人通知后，成交供应商未在采购人指定的合理期限内完成的，采购人有权向第三方采购，所产生的费用及一切经济损失由供应商自行承担。</w:t>
      </w:r>
    </w:p>
    <w:p w14:paraId="3438DA82">
      <w:pPr>
        <w:keepNext w:val="0"/>
        <w:keepLines w:val="0"/>
        <w:pageBreakBefore w:val="0"/>
        <w:widowControl/>
        <w:tabs>
          <w:tab w:val="left" w:pos="426"/>
        </w:tabs>
        <w:kinsoku/>
        <w:wordWrap/>
        <w:overflowPunct/>
        <w:topLinePunct w:val="0"/>
        <w:autoSpaceDE/>
        <w:autoSpaceDN/>
        <w:bidi w:val="0"/>
        <w:adjustRightInd/>
        <w:snapToGrid/>
        <w:spacing w:line="360" w:lineRule="auto"/>
        <w:ind w:right="0"/>
        <w:jc w:val="left"/>
        <w:textAlignment w:val="auto"/>
        <w:outlineLvl w:val="9"/>
        <w:rPr>
          <w:rFonts w:hint="eastAsia" w:ascii="宋体" w:hAnsi="宋体" w:eastAsia="宋体" w:cs="宋体"/>
          <w:bCs/>
          <w:color w:val="000000"/>
          <w:sz w:val="28"/>
          <w:szCs w:val="28"/>
          <w:lang w:eastAsia="zh-CN"/>
        </w:rPr>
      </w:pPr>
      <w:r>
        <w:rPr>
          <w:rFonts w:hint="eastAsia" w:ascii="宋体" w:hAnsi="宋体" w:eastAsia="宋体" w:cs="宋体"/>
          <w:color w:val="auto"/>
          <w:sz w:val="28"/>
          <w:szCs w:val="28"/>
          <w:highlight w:val="none"/>
          <w:lang w:val="en-US" w:eastAsia="zh-CN"/>
        </w:rPr>
        <w:t>6.</w:t>
      </w:r>
      <w:r>
        <w:rPr>
          <w:rFonts w:hint="eastAsia" w:ascii="宋体" w:hAnsi="宋体" w:eastAsia="宋体" w:cs="宋体"/>
          <w:bCs/>
          <w:color w:val="000000"/>
          <w:sz w:val="28"/>
          <w:szCs w:val="28"/>
        </w:rPr>
        <w:t>在报价文件中凡有“★”标识的内容条款被视为重要的响应要求、技术指标要求和性能要求。报价人必须对此作出回答并完全满足这些要求不可以出现任何负偏离，如果出现负偏离则将被视为无效报价</w:t>
      </w:r>
      <w:r>
        <w:rPr>
          <w:rFonts w:hint="eastAsia" w:ascii="宋体" w:hAnsi="宋体" w:eastAsia="宋体" w:cs="宋体"/>
          <w:bCs/>
          <w:color w:val="000000"/>
          <w:sz w:val="28"/>
          <w:szCs w:val="28"/>
          <w:lang w:eastAsia="zh-CN"/>
        </w:rPr>
        <w:t>；</w:t>
      </w:r>
    </w:p>
    <w:p w14:paraId="17219346">
      <w:pPr>
        <w:numPr>
          <w:ilvl w:val="0"/>
          <w:numId w:val="0"/>
        </w:numPr>
        <w:spacing w:line="360" w:lineRule="auto"/>
        <w:rPr>
          <w:rFonts w:hint="eastAsia" w:ascii="宋体" w:hAnsi="宋体" w:eastAsia="宋体" w:cs="宋体"/>
          <w:b w:val="0"/>
          <w:bCs/>
          <w:sz w:val="28"/>
          <w:szCs w:val="28"/>
        </w:rPr>
      </w:pPr>
      <w:r>
        <w:rPr>
          <w:rFonts w:hint="eastAsia" w:ascii="宋体" w:hAnsi="宋体" w:eastAsia="宋体" w:cs="宋体"/>
          <w:color w:val="auto"/>
          <w:sz w:val="28"/>
          <w:szCs w:val="28"/>
          <w:highlight w:val="none"/>
          <w:lang w:val="en-US" w:eastAsia="zh-CN"/>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p w14:paraId="72272F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textAlignment w:val="baseline"/>
        <w:rPr>
          <w:rFonts w:ascii="Helvetica" w:hAnsi="Helvetica" w:eastAsia="Helvetica" w:cs="Helvetica"/>
          <w:i w:val="0"/>
          <w:iCs w:val="0"/>
          <w:caps w:val="0"/>
          <w:color w:val="000000"/>
          <w:spacing w:val="0"/>
          <w:sz w:val="27"/>
          <w:szCs w:val="27"/>
        </w:rPr>
      </w:pPr>
      <w:r>
        <w:rPr>
          <w:rStyle w:val="7"/>
          <w:rFonts w:hint="eastAsia" w:ascii="宋体" w:hAnsi="宋体" w:eastAsia="宋体" w:cs="宋体"/>
          <w:i w:val="0"/>
          <w:iCs w:val="0"/>
          <w:caps w:val="0"/>
          <w:color w:val="000000"/>
          <w:spacing w:val="15"/>
          <w:sz w:val="28"/>
          <w:szCs w:val="28"/>
          <w:shd w:val="clear" w:fill="FFFFFF"/>
          <w:vertAlign w:val="baseline"/>
        </w:rPr>
        <w:t>二、供应商的资格要求</w:t>
      </w:r>
    </w:p>
    <w:p w14:paraId="1CB61F24">
      <w:pPr>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1.响应供应商必须是</w:t>
      </w:r>
      <w:r>
        <w:rPr>
          <w:rFonts w:hint="eastAsia" w:ascii="宋体" w:hAnsi="宋体" w:eastAsia="宋体" w:cs="宋体"/>
          <w:sz w:val="28"/>
          <w:szCs w:val="28"/>
        </w:rPr>
        <w:t>具有独立承担民事责任的能力：在中华人民共和国境内注册的法人或其他组织或自然人，投标（响应）时提交营业执照（或事业法人登记证或身份证等相关证明）复印件。分支机构投标的，须提供总公司和分公司营业执照复印件，总公司出具给分支机构的授权书。</w:t>
      </w:r>
    </w:p>
    <w:p w14:paraId="51E476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2.响应供应商须具有效的且具备相关经营范围的营业执照；</w:t>
      </w:r>
    </w:p>
    <w:p w14:paraId="059588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lang w:val="en-US" w:eastAsia="zh-CN"/>
        </w:rPr>
        <w:t>3</w:t>
      </w:r>
      <w:r>
        <w:rPr>
          <w:rFonts w:hint="eastAsia" w:ascii="宋体" w:hAnsi="宋体" w:eastAsia="宋体" w:cs="宋体"/>
          <w:i w:val="0"/>
          <w:iCs w:val="0"/>
          <w:caps w:val="0"/>
          <w:color w:val="000000"/>
          <w:spacing w:val="0"/>
          <w:sz w:val="28"/>
          <w:szCs w:val="28"/>
        </w:rPr>
        <w:t>.响应供应商应具有项目的承接能力、合同的履约能力、售后供应能力和良好的信誉；</w:t>
      </w:r>
    </w:p>
    <w:p w14:paraId="1640908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vertAlign w:val="baseline"/>
          <w:lang w:val="en-US" w:eastAsia="zh-CN"/>
        </w:rPr>
        <w:t>4</w:t>
      </w:r>
      <w:r>
        <w:rPr>
          <w:rFonts w:hint="eastAsia" w:ascii="宋体" w:hAnsi="宋体" w:eastAsia="宋体" w:cs="宋体"/>
          <w:i w:val="0"/>
          <w:iCs w:val="0"/>
          <w:caps w:val="0"/>
          <w:color w:val="000000"/>
          <w:spacing w:val="0"/>
          <w:sz w:val="28"/>
          <w:szCs w:val="28"/>
          <w:shd w:val="clear" w:fill="FFFFFF"/>
          <w:vertAlign w:val="baseline"/>
        </w:rPr>
        <w:t>.响应供应商在参与公开招标活动中未有违法违纪行为并受过处罚，响应供应商无围标、串标行为。</w:t>
      </w:r>
    </w:p>
    <w:p w14:paraId="09D7E24E">
      <w:pPr>
        <w:spacing w:line="360" w:lineRule="auto"/>
        <w:outlineLvl w:val="1"/>
        <w:rPr>
          <w:rFonts w:hint="eastAsia" w:ascii="宋体" w:hAnsi="宋体" w:eastAsia="宋体" w:cs="宋体"/>
          <w:b/>
          <w:sz w:val="28"/>
          <w:szCs w:val="28"/>
          <w:highlight w:val="none"/>
        </w:rPr>
      </w:pPr>
      <w:r>
        <w:rPr>
          <w:rFonts w:hint="eastAsia" w:ascii="宋体" w:hAnsi="宋体" w:eastAsia="宋体" w:cs="宋体"/>
          <w:b/>
          <w:sz w:val="28"/>
          <w:szCs w:val="28"/>
          <w:lang w:eastAsia="zh-CN"/>
        </w:rPr>
        <w:t>三、</w:t>
      </w:r>
      <w:r>
        <w:rPr>
          <w:rFonts w:hint="eastAsia" w:ascii="宋体" w:hAnsi="宋体" w:eastAsia="宋体" w:cs="宋体"/>
          <w:b/>
          <w:sz w:val="28"/>
          <w:szCs w:val="28"/>
          <w:highlight w:val="none"/>
          <w:lang w:val="en-US" w:eastAsia="zh-CN"/>
        </w:rPr>
        <w:t>响应</w:t>
      </w:r>
      <w:r>
        <w:rPr>
          <w:rFonts w:hint="eastAsia" w:ascii="宋体" w:hAnsi="宋体" w:eastAsia="宋体" w:cs="宋体"/>
          <w:b/>
          <w:sz w:val="28"/>
          <w:szCs w:val="28"/>
          <w:highlight w:val="none"/>
        </w:rPr>
        <w:t>报价要求</w:t>
      </w:r>
    </w:p>
    <w:p w14:paraId="3FA91C7F">
      <w:pPr>
        <w:spacing w:line="360" w:lineRule="auto"/>
        <w:rPr>
          <w:rFonts w:hint="eastAsia" w:ascii="宋体" w:hAnsi="宋体" w:eastAsia="宋体" w:cs="宋体"/>
          <w:b/>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b w:val="0"/>
          <w:bCs w:val="0"/>
          <w:color w:val="auto"/>
          <w:sz w:val="28"/>
          <w:szCs w:val="28"/>
        </w:rPr>
        <w:t>供应商</w:t>
      </w:r>
      <w:r>
        <w:rPr>
          <w:rFonts w:hint="eastAsia" w:ascii="宋体" w:hAnsi="宋体" w:eastAsia="宋体" w:cs="宋体"/>
          <w:b w:val="0"/>
          <w:bCs w:val="0"/>
          <w:color w:val="auto"/>
          <w:sz w:val="28"/>
          <w:szCs w:val="28"/>
          <w:lang w:eastAsia="zh-CN"/>
        </w:rPr>
        <w:t>需根据</w:t>
      </w:r>
      <w:r>
        <w:rPr>
          <w:rStyle w:val="7"/>
          <w:rFonts w:hint="eastAsia" w:ascii="宋体" w:hAnsi="宋体" w:eastAsia="宋体" w:cs="宋体"/>
          <w:b w:val="0"/>
          <w:bCs w:val="0"/>
          <w:sz w:val="28"/>
          <w:szCs w:val="28"/>
          <w:lang w:eastAsia="zh-CN"/>
        </w:rPr>
        <w:t>项目清单目录的技术参数要求，在</w:t>
      </w:r>
      <w:r>
        <w:rPr>
          <w:rFonts w:hint="eastAsia" w:ascii="宋体" w:hAnsi="宋体" w:eastAsia="宋体" w:cs="宋体"/>
          <w:b w:val="0"/>
          <w:bCs w:val="0"/>
          <w:color w:val="auto"/>
          <w:sz w:val="28"/>
          <w:szCs w:val="28"/>
          <w:lang w:eastAsia="zh-CN"/>
        </w:rPr>
        <w:t>桶装水和支装矿泉水栏报出符合</w:t>
      </w:r>
      <w:r>
        <w:rPr>
          <w:rStyle w:val="7"/>
          <w:rFonts w:hint="eastAsia" w:ascii="宋体" w:hAnsi="宋体" w:eastAsia="宋体" w:cs="宋体"/>
          <w:b w:val="0"/>
          <w:bCs w:val="0"/>
          <w:sz w:val="28"/>
          <w:szCs w:val="28"/>
          <w:lang w:eastAsia="zh-CN"/>
        </w:rPr>
        <w:t>技术参数要求各一个意向品牌并本项目根据</w:t>
      </w:r>
      <w:r>
        <w:rPr>
          <w:rFonts w:hint="eastAsia" w:ascii="宋体" w:hAnsi="宋体" w:eastAsia="宋体" w:cs="宋体"/>
          <w:b w:val="0"/>
          <w:bCs w:val="0"/>
          <w:color w:val="auto"/>
          <w:sz w:val="28"/>
          <w:szCs w:val="28"/>
          <w:lang w:eastAsia="zh-CN"/>
        </w:rPr>
        <w:t>最高限价</w:t>
      </w:r>
      <w:r>
        <w:rPr>
          <w:rFonts w:hint="eastAsia" w:ascii="宋体" w:hAnsi="宋体" w:eastAsia="宋体" w:cs="宋体"/>
          <w:b w:val="0"/>
          <w:bCs w:val="0"/>
          <w:color w:val="auto"/>
          <w:sz w:val="28"/>
          <w:szCs w:val="28"/>
        </w:rPr>
        <w:t>单价报出统一的</w:t>
      </w:r>
      <w:r>
        <w:rPr>
          <w:rFonts w:hint="eastAsia" w:ascii="宋体" w:hAnsi="宋体" w:eastAsia="宋体" w:cs="宋体"/>
          <w:b w:val="0"/>
          <w:bCs w:val="0"/>
          <w:color w:val="auto"/>
          <w:sz w:val="28"/>
          <w:szCs w:val="28"/>
          <w:lang w:val="en-US" w:eastAsia="zh-CN"/>
        </w:rPr>
        <w:t>响应</w:t>
      </w:r>
      <w:r>
        <w:rPr>
          <w:rFonts w:hint="eastAsia" w:ascii="宋体" w:hAnsi="宋体" w:eastAsia="宋体" w:cs="宋体"/>
          <w:b w:val="0"/>
          <w:bCs w:val="0"/>
          <w:color w:val="auto"/>
          <w:sz w:val="28"/>
          <w:szCs w:val="28"/>
        </w:rPr>
        <w:t>下浮率，下浮率在0%（含本数）-</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0%（含本数）范围内取值，若报</w:t>
      </w:r>
      <w:r>
        <w:rPr>
          <w:rFonts w:hint="eastAsia" w:ascii="宋体" w:hAnsi="宋体" w:eastAsia="宋体" w:cs="宋体"/>
          <w:color w:val="auto"/>
          <w:sz w:val="28"/>
          <w:szCs w:val="28"/>
        </w:rPr>
        <w:t>价超出此范围则</w:t>
      </w:r>
      <w:r>
        <w:rPr>
          <w:rFonts w:hint="eastAsia" w:ascii="宋体" w:hAnsi="宋体" w:eastAsia="宋体" w:cs="宋体"/>
          <w:color w:val="auto"/>
          <w:sz w:val="28"/>
          <w:szCs w:val="28"/>
          <w:lang w:val="en-US" w:eastAsia="zh-CN"/>
        </w:rPr>
        <w:t>视为</w:t>
      </w:r>
      <w:r>
        <w:rPr>
          <w:rFonts w:hint="eastAsia" w:ascii="宋体" w:hAnsi="宋体" w:eastAsia="宋体" w:cs="宋体"/>
          <w:color w:val="auto"/>
          <w:sz w:val="28"/>
          <w:szCs w:val="28"/>
        </w:rPr>
        <w:t>无效</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w:t>
      </w:r>
      <w:r>
        <w:rPr>
          <w:rFonts w:hint="eastAsia" w:ascii="宋体" w:hAnsi="宋体" w:eastAsia="宋体" w:cs="宋体"/>
          <w:b w:val="0"/>
          <w:color w:val="auto"/>
          <w:sz w:val="28"/>
          <w:szCs w:val="28"/>
        </w:rPr>
        <w:t>各类货物实际供货</w:t>
      </w:r>
      <w:r>
        <w:rPr>
          <w:rFonts w:hint="eastAsia" w:ascii="宋体" w:hAnsi="宋体" w:eastAsia="宋体" w:cs="宋体"/>
          <w:b w:val="0"/>
          <w:color w:val="auto"/>
          <w:sz w:val="28"/>
          <w:szCs w:val="28"/>
          <w:lang w:val="en-US" w:eastAsia="zh-CN"/>
        </w:rPr>
        <w:t>单</w:t>
      </w:r>
      <w:r>
        <w:rPr>
          <w:rFonts w:hint="eastAsia" w:ascii="宋体" w:hAnsi="宋体" w:eastAsia="宋体" w:cs="宋体"/>
          <w:b w:val="0"/>
          <w:color w:val="auto"/>
          <w:sz w:val="28"/>
          <w:szCs w:val="28"/>
        </w:rPr>
        <w:t>价=最高单价限价×（1-</w:t>
      </w:r>
      <w:r>
        <w:rPr>
          <w:rFonts w:hint="eastAsia" w:ascii="宋体" w:hAnsi="宋体" w:eastAsia="宋体" w:cs="宋体"/>
          <w:b w:val="0"/>
          <w:color w:val="auto"/>
          <w:sz w:val="28"/>
          <w:szCs w:val="28"/>
          <w:lang w:val="en-US" w:eastAsia="zh-CN"/>
        </w:rPr>
        <w:t>成交</w:t>
      </w:r>
      <w:r>
        <w:rPr>
          <w:rFonts w:hint="eastAsia" w:ascii="宋体" w:hAnsi="宋体" w:eastAsia="宋体" w:cs="宋体"/>
          <w:b w:val="0"/>
          <w:color w:val="auto"/>
          <w:sz w:val="28"/>
          <w:szCs w:val="28"/>
        </w:rPr>
        <w:t>下浮率）</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四舍五入保留至小数点后两位</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lang w:eastAsia="zh-CN"/>
        </w:rPr>
        <w:t>，该</w:t>
      </w:r>
      <w:r>
        <w:rPr>
          <w:rFonts w:hint="eastAsia" w:ascii="宋体" w:hAnsi="宋体" w:eastAsia="宋体" w:cs="宋体"/>
          <w:b w:val="0"/>
          <w:color w:val="auto"/>
          <w:sz w:val="28"/>
          <w:szCs w:val="28"/>
          <w:lang w:val="en-US" w:eastAsia="zh-CN"/>
        </w:rPr>
        <w:t>单价为</w:t>
      </w:r>
      <w:r>
        <w:rPr>
          <w:rFonts w:hint="eastAsia" w:ascii="宋体" w:hAnsi="宋体" w:eastAsia="宋体" w:cs="宋体"/>
          <w:b w:val="0"/>
          <w:color w:val="auto"/>
          <w:sz w:val="28"/>
          <w:szCs w:val="28"/>
        </w:rPr>
        <w:t>合同期间的最终价格，在合同期内，价格不再</w:t>
      </w:r>
      <w:r>
        <w:rPr>
          <w:rFonts w:hint="eastAsia" w:ascii="宋体" w:hAnsi="宋体" w:eastAsia="宋体" w:cs="宋体"/>
          <w:b w:val="0"/>
          <w:color w:val="auto"/>
          <w:sz w:val="28"/>
          <w:szCs w:val="28"/>
          <w:lang w:eastAsia="zh-CN"/>
        </w:rPr>
        <w:t>随</w:t>
      </w:r>
      <w:r>
        <w:rPr>
          <w:rFonts w:hint="eastAsia" w:ascii="宋体" w:hAnsi="宋体" w:eastAsia="宋体" w:cs="宋体"/>
          <w:b w:val="0"/>
          <w:color w:val="auto"/>
          <w:sz w:val="28"/>
          <w:szCs w:val="28"/>
        </w:rPr>
        <w:t>市场同类</w:t>
      </w:r>
      <w:r>
        <w:rPr>
          <w:rFonts w:hint="eastAsia" w:ascii="宋体" w:hAnsi="宋体" w:eastAsia="宋体" w:cs="宋体"/>
          <w:b w:val="0"/>
          <w:color w:val="auto"/>
          <w:sz w:val="28"/>
          <w:szCs w:val="28"/>
          <w:lang w:eastAsia="zh-CN"/>
        </w:rPr>
        <w:t>商品价格</w:t>
      </w:r>
      <w:r>
        <w:rPr>
          <w:rFonts w:hint="eastAsia" w:ascii="宋体" w:hAnsi="宋体" w:eastAsia="宋体" w:cs="宋体"/>
          <w:b w:val="0"/>
          <w:color w:val="auto"/>
          <w:sz w:val="28"/>
          <w:szCs w:val="28"/>
        </w:rPr>
        <w:t>的调整而</w:t>
      </w:r>
      <w:r>
        <w:rPr>
          <w:rFonts w:hint="eastAsia" w:ascii="宋体" w:hAnsi="宋体" w:eastAsia="宋体" w:cs="宋体"/>
          <w:b w:val="0"/>
          <w:color w:val="auto"/>
          <w:sz w:val="28"/>
          <w:szCs w:val="28"/>
          <w:lang w:val="en-US" w:eastAsia="zh-CN"/>
        </w:rPr>
        <w:t>进行调整</w:t>
      </w:r>
      <w:r>
        <w:rPr>
          <w:rFonts w:hint="eastAsia" w:ascii="宋体" w:hAnsi="宋体" w:eastAsia="宋体" w:cs="宋体"/>
          <w:b w:val="0"/>
          <w:color w:val="auto"/>
          <w:sz w:val="28"/>
          <w:szCs w:val="28"/>
        </w:rPr>
        <w:t>。</w:t>
      </w:r>
    </w:p>
    <w:p w14:paraId="74756AE1">
      <w:pPr>
        <w:spacing w:line="360" w:lineRule="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本次</w:t>
      </w:r>
      <w:r>
        <w:rPr>
          <w:rFonts w:hint="eastAsia" w:ascii="宋体" w:hAnsi="宋体" w:eastAsia="宋体" w:cs="宋体"/>
          <w:sz w:val="28"/>
          <w:szCs w:val="28"/>
          <w:lang w:val="en-US" w:eastAsia="zh-CN"/>
        </w:rPr>
        <w:t>响应</w:t>
      </w:r>
      <w:r>
        <w:rPr>
          <w:rFonts w:hint="eastAsia" w:ascii="宋体" w:hAnsi="宋体" w:eastAsia="宋体" w:cs="宋体"/>
          <w:sz w:val="28"/>
          <w:szCs w:val="28"/>
        </w:rPr>
        <w:t>报价应为人民币含税全包价，包括</w:t>
      </w:r>
      <w:r>
        <w:rPr>
          <w:rFonts w:hint="eastAsia" w:ascii="宋体" w:hAnsi="宋体" w:eastAsia="宋体" w:cs="宋体"/>
          <w:sz w:val="28"/>
          <w:szCs w:val="28"/>
          <w:lang w:val="en-US" w:eastAsia="zh-CN"/>
        </w:rPr>
        <w:t>货物</w:t>
      </w:r>
      <w:r>
        <w:rPr>
          <w:rFonts w:hint="eastAsia" w:ascii="宋体" w:hAnsi="宋体" w:eastAsia="宋体" w:cs="宋体"/>
          <w:sz w:val="28"/>
          <w:szCs w:val="28"/>
        </w:rPr>
        <w:t>价格、包装费、运杂费、保险费、卸车费、配合费、检测费、配送费、税金及</w:t>
      </w:r>
      <w:r>
        <w:rPr>
          <w:rFonts w:hint="eastAsia" w:ascii="宋体" w:hAnsi="宋体" w:eastAsia="宋体" w:cs="宋体"/>
          <w:sz w:val="28"/>
          <w:szCs w:val="28"/>
          <w:lang w:val="en-US" w:eastAsia="zh-CN"/>
        </w:rPr>
        <w:t>本项目执行过程中</w:t>
      </w:r>
      <w:r>
        <w:rPr>
          <w:rFonts w:hint="eastAsia" w:ascii="宋体" w:hAnsi="宋体" w:eastAsia="宋体" w:cs="宋体"/>
          <w:sz w:val="28"/>
          <w:szCs w:val="28"/>
        </w:rPr>
        <w:t>需要的其他费用等。</w:t>
      </w:r>
    </w:p>
    <w:p w14:paraId="4F39B1AC">
      <w:pPr>
        <w:autoSpaceDE w:val="0"/>
        <w:autoSpaceDN w:val="0"/>
        <w:spacing w:line="360" w:lineRule="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响应供应商对以上采购清单的货物进行报价</w:t>
      </w: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注明产品品牌，</w:t>
      </w:r>
      <w:r>
        <w:rPr>
          <w:rFonts w:hint="eastAsia" w:ascii="宋体" w:hAnsi="宋体" w:eastAsia="宋体" w:cs="宋体"/>
          <w:b w:val="0"/>
          <w:bCs w:val="0"/>
          <w:sz w:val="28"/>
          <w:szCs w:val="28"/>
        </w:rPr>
        <w:t>报</w:t>
      </w:r>
      <w:r>
        <w:rPr>
          <w:rFonts w:hint="eastAsia" w:ascii="宋体" w:hAnsi="宋体" w:eastAsia="宋体" w:cs="宋体"/>
          <w:sz w:val="28"/>
          <w:szCs w:val="28"/>
        </w:rPr>
        <w:t>价不得高于单价的最高限价，且总报价不得高于本项目采购预算价，缺项、漏项的报价为无效报价。</w:t>
      </w:r>
    </w:p>
    <w:p w14:paraId="4FA96511">
      <w:pPr>
        <w:autoSpaceDE w:val="0"/>
        <w:autoSpaceDN w:val="0"/>
        <w:spacing w:line="360" w:lineRule="auto"/>
        <w:rPr>
          <w:rFonts w:hint="eastAsia" w:ascii="宋体" w:hAnsi="宋体" w:eastAsia="宋体" w:cs="宋体"/>
          <w:sz w:val="28"/>
          <w:szCs w:val="28"/>
        </w:rPr>
      </w:pPr>
      <w:r>
        <w:rPr>
          <w:rFonts w:hint="eastAsia" w:ascii="宋体" w:hAnsi="宋体" w:eastAsia="宋体" w:cs="宋体"/>
          <w:b w:val="0"/>
          <w:bCs w:val="0"/>
          <w:sz w:val="28"/>
          <w:szCs w:val="28"/>
          <w:lang w:val="en-US" w:eastAsia="zh-CN"/>
        </w:rPr>
        <w:t>4.响应供应商在响应报价文件中需提供近三年内同类项目业绩相关证明文件。</w:t>
      </w:r>
    </w:p>
    <w:p w14:paraId="5948E6F0">
      <w:pPr>
        <w:keepNext w:val="0"/>
        <w:keepLines w:val="0"/>
        <w:pageBreakBefore w:val="0"/>
        <w:widowControl w:val="0"/>
        <w:kinsoku/>
        <w:wordWrap/>
        <w:overflowPunct/>
        <w:topLinePunct w:val="0"/>
        <w:autoSpaceDE/>
        <w:autoSpaceDN/>
        <w:bidi w:val="0"/>
        <w:adjustRightInd/>
        <w:snapToGrid/>
        <w:spacing w:before="157" w:beforeLines="50" w:line="460" w:lineRule="exact"/>
        <w:outlineLvl w:val="1"/>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lang w:val="en-US" w:eastAsia="zh-CN"/>
        </w:rPr>
        <w:t>技术要求</w:t>
      </w:r>
    </w:p>
    <w:p w14:paraId="70DDA01E">
      <w:pPr>
        <w:keepNext w:val="0"/>
        <w:keepLines w:val="0"/>
        <w:pageBreakBefore w:val="0"/>
        <w:widowControl w:val="0"/>
        <w:kinsoku/>
        <w:wordWrap/>
        <w:overflowPunct/>
        <w:topLinePunct w:val="0"/>
        <w:autoSpaceDE w:val="0"/>
        <w:autoSpaceDN w:val="0"/>
        <w:bidi w:val="0"/>
        <w:adjustRightInd/>
        <w:snapToGrid/>
        <w:spacing w:line="460" w:lineRule="exact"/>
        <w:rPr>
          <w:rFonts w:hint="eastAsia" w:eastAsia="宋体"/>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成交供应商应提供由已注册品牌制造商生产的原装、全新产品，且产品须符合国家相关质量标准及采购人提出的质量要求。</w:t>
      </w:r>
    </w:p>
    <w:p w14:paraId="2894FD12">
      <w:pPr>
        <w:keepNext w:val="0"/>
        <w:keepLines w:val="0"/>
        <w:pageBreakBefore w:val="0"/>
        <w:widowControl w:val="0"/>
        <w:kinsoku/>
        <w:wordWrap/>
        <w:overflowPunct/>
        <w:topLinePunct w:val="0"/>
        <w:autoSpaceDE w:val="0"/>
        <w:autoSpaceDN w:val="0"/>
        <w:bidi w:val="0"/>
        <w:adjustRightInd/>
        <w:snapToGrid/>
        <w:spacing w:line="460" w:lineRule="exact"/>
        <w:rPr>
          <w:rFonts w:hint="eastAsia" w:eastAsia="宋体"/>
          <w:lang w:eastAsia="zh-CN"/>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所有货物在开箱检验时必须保持完好，无破损，配置与装箱单一致。</w:t>
      </w:r>
    </w:p>
    <w:p w14:paraId="0BFD96B4">
      <w:pPr>
        <w:keepNext w:val="0"/>
        <w:keepLines w:val="0"/>
        <w:pageBreakBefore w:val="0"/>
        <w:widowControl w:val="0"/>
        <w:kinsoku/>
        <w:wordWrap/>
        <w:overflowPunct/>
        <w:topLinePunct w:val="0"/>
        <w:autoSpaceDE w:val="0"/>
        <w:autoSpaceDN w:val="0"/>
        <w:bidi w:val="0"/>
        <w:adjustRightInd/>
        <w:snapToGrid/>
        <w:spacing w:line="460" w:lineRule="exact"/>
        <w:rPr>
          <w:rFonts w:hint="eastAsia" w:eastAsia="宋体"/>
          <w:lang w:eastAsia="zh-CN"/>
        </w:rPr>
      </w:pPr>
      <w:r>
        <w:rPr>
          <w:rFonts w:hint="eastAsia" w:ascii="宋体" w:hAnsi="宋体" w:eastAsia="宋体" w:cs="宋体"/>
          <w:color w:val="auto"/>
          <w:sz w:val="28"/>
          <w:szCs w:val="28"/>
          <w:lang w:val="en-US" w:eastAsia="zh-CN"/>
        </w:rPr>
        <w:t>3.</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成交供应商所提供产品的性能、配置参数等不得低于采购文件规定的要求。</w:t>
      </w:r>
    </w:p>
    <w:p w14:paraId="2E9219A6">
      <w:pPr>
        <w:keepNext w:val="0"/>
        <w:keepLines w:val="0"/>
        <w:pageBreakBefore w:val="0"/>
        <w:widowControl w:val="0"/>
        <w:kinsoku/>
        <w:wordWrap/>
        <w:overflowPunct/>
        <w:topLinePunct w:val="0"/>
        <w:autoSpaceDE w:val="0"/>
        <w:autoSpaceDN w:val="0"/>
        <w:bidi w:val="0"/>
        <w:adjustRightInd/>
        <w:snapToGrid/>
        <w:spacing w:line="460" w:lineRule="exact"/>
        <w:rPr>
          <w:rFonts w:hint="eastAsia" w:eastAsia="宋体"/>
          <w:lang w:eastAsia="zh-CN"/>
        </w:rPr>
      </w:pP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成交供应商提供的货物必须符合国家有关规范、环保要求及采购人的技术标准。所有货物及服务不得侵犯第三方的专利权、商标权、工业设计权、所有权、著作权（版权）等知识产权。若发生侵权行为，成交供应商须承担全部侵权责任及相关费用，采购人不承担任何与此相关的经济和法律责任。</w:t>
      </w:r>
    </w:p>
    <w:p w14:paraId="5294516E">
      <w:pPr>
        <w:keepNext w:val="0"/>
        <w:keepLines w:val="0"/>
        <w:pageBreakBefore w:val="0"/>
        <w:widowControl w:val="0"/>
        <w:kinsoku/>
        <w:wordWrap/>
        <w:overflowPunct/>
        <w:topLinePunct w:val="0"/>
        <w:autoSpaceDE w:val="0"/>
        <w:autoSpaceDN w:val="0"/>
        <w:bidi w:val="0"/>
        <w:adjustRightInd/>
        <w:snapToGrid/>
        <w:spacing w:line="460" w:lineRule="exact"/>
        <w:rPr>
          <w:rFonts w:hint="eastAsia" w:eastAsia="宋体"/>
          <w:lang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成交供应商不得经营未经注册、无合格证明、过期、失效或淘汰的产品。如因产品质量问题造成任何损失，由成交供应商承担全部责任。</w:t>
      </w:r>
    </w:p>
    <w:p w14:paraId="7E941CBA">
      <w:pPr>
        <w:keepNext w:val="0"/>
        <w:keepLines w:val="0"/>
        <w:pageBreakBefore w:val="0"/>
        <w:widowControl w:val="0"/>
        <w:kinsoku/>
        <w:wordWrap/>
        <w:overflowPunct/>
        <w:topLinePunct w:val="0"/>
        <w:autoSpaceDE/>
        <w:autoSpaceDN/>
        <w:bidi w:val="0"/>
        <w:adjustRightInd/>
        <w:snapToGrid/>
        <w:spacing w:before="157" w:beforeLines="50" w:line="460" w:lineRule="exact"/>
        <w:textAlignment w:val="auto"/>
        <w:outlineLvl w:val="1"/>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lang w:val="en-US" w:eastAsia="zh-CN"/>
        </w:rPr>
        <w:t>、包装、装卸、运输及保险</w:t>
      </w:r>
    </w:p>
    <w:p w14:paraId="2C6B887A">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所供货物的包装质量必须符合国家相关标准，具备良好的防锈、防腐、防潮及防破损等保护措施，确保货物在运输至现场过程中得到有效防护。因包装不良导致的损失及产生的费用，均由成交供应商承担。</w:t>
      </w:r>
    </w:p>
    <w:p w14:paraId="4434AE67">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成交供应商负责将货物运输至采购人指定地点的全部过程，包括装卸车及货物在现场的搬运，相关费用由成交供应商承担。</w:t>
      </w:r>
    </w:p>
    <w:p w14:paraId="502E2D94">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若货物在运输过程中因事故导致短缺或损坏，成交供应商应及时安排补换货物，以保证合同货物按时交付，补换货产生的相关费用由成交供应商承担。</w:t>
      </w:r>
    </w:p>
    <w:p w14:paraId="79C4FA36">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货物的质量保险由成交供应商负责，其派出的现场服务人员的人身意外保险亦由成交供应商承担。</w:t>
      </w:r>
    </w:p>
    <w:p w14:paraId="4F58DAD6">
      <w:pPr>
        <w:pStyle w:val="8"/>
        <w:keepNext w:val="0"/>
        <w:keepLines w:val="0"/>
        <w:pageBreakBefore w:val="0"/>
        <w:widowControl w:val="0"/>
        <w:numPr>
          <w:ilvl w:val="0"/>
          <w:numId w:val="0"/>
        </w:numPr>
        <w:kinsoku/>
        <w:wordWrap/>
        <w:overflowPunct/>
        <w:topLinePunct w:val="0"/>
        <w:autoSpaceDE/>
        <w:autoSpaceDN/>
        <w:bidi w:val="0"/>
        <w:adjustRightInd/>
        <w:snapToGrid/>
        <w:spacing w:before="157" w:beforeLines="50" w:line="460" w:lineRule="exact"/>
        <w:outlineLvl w:val="1"/>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验收方式</w:t>
      </w:r>
    </w:p>
    <w:p w14:paraId="4E9B473D">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成交供应商将货物送至采购人指定地点后，由采购人依据采购合同、相关采购文件要求、产品合格证及样品等进行核对，并按照国家相关法律法规和质量标准，对货物的规格参数与质量进行验收。</w:t>
      </w:r>
    </w:p>
    <w:p w14:paraId="5E9EA147">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b w:val="0"/>
          <w:bCs/>
          <w:color w:val="auto"/>
          <w:sz w:val="28"/>
          <w:szCs w:val="28"/>
          <w:highlight w:val="none"/>
          <w:lang w:val="en-US" w:eastAsia="zh-CN"/>
        </w:rPr>
        <w:t>2.</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lang w:val="en-US" w:eastAsia="zh-CN"/>
        </w:rPr>
        <w:t>供货期间，采购人有权对交付货物进行实时现场抽检测试。若检测结果不达标，供应商须无条件更换合格产品。</w:t>
      </w:r>
      <w:r>
        <w:rPr>
          <w:rFonts w:hint="eastAsia" w:ascii="宋体" w:hAnsi="宋体" w:eastAsia="宋体" w:cs="宋体"/>
          <w:color w:val="auto"/>
          <w:sz w:val="28"/>
          <w:szCs w:val="28"/>
          <w:highlight w:val="none"/>
          <w:lang w:val="en-US" w:eastAsia="zh-CN"/>
        </w:rPr>
        <w:t>验收过程中，如发现货物存在短缺、次品、损坏或其他不符合相关采购文件及合同规定的情形，采购人有权拒收该批货物并拒付相应费用，成交供应商须无条件更换货物，并承担由此产生的一切费用和损失。</w:t>
      </w:r>
    </w:p>
    <w:p w14:paraId="0F3FB380">
      <w:pPr>
        <w:keepNext w:val="0"/>
        <w:keepLines w:val="0"/>
        <w:pageBreakBefore w:val="0"/>
        <w:widowControl w:val="0"/>
        <w:kinsoku/>
        <w:wordWrap/>
        <w:overflowPunct/>
        <w:topLinePunct w:val="0"/>
        <w:bidi w:val="0"/>
        <w:adjustRightInd/>
        <w:snapToGrid/>
        <w:spacing w:line="460" w:lineRule="exact"/>
        <w:rPr>
          <w:rFonts w:hint="eastAsia" w:eastAsia="宋体"/>
          <w:lang w:eastAsia="zh-CN"/>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若在货物使用过程中发现以次充好或使用假冒伪劣产品的情况，成交供应商须无条件更换货物，并按“假一赔三”标准进行赔偿。若此类情况发生两次及以上，采购人有权单方终止合同，且履约保证金不予退还。</w:t>
      </w:r>
    </w:p>
    <w:p w14:paraId="0598B8C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因质量问题发生争议时，由地级市及以上质检部门进行鉴定，鉴定费用先由成交供应商垫付。若鉴定结果符合质量技术要求，所有鉴定费用由采购人承担；若鉴定结果若产品不符合质量技术要求，相关鉴定费用由成交供应商全额承担。</w:t>
      </w:r>
    </w:p>
    <w:p w14:paraId="4FB267BE">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若成交供应商所提供产品引发知识产权纠纷，应由成交供应商负责与原知识产权所有者协商解决，采购人对此不承担任何经济及法律责任。</w:t>
      </w:r>
    </w:p>
    <w:p w14:paraId="281B6DC5">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应按照双方约定时间向采购人交付产品，采购人需及时组织验收；对于符合合同约定的标的物予以接收，对不符合合同要求的质量、品种、规格、数量等情形，采购人有权拒绝接收。成交供应商应及时更换被拒绝产品，且不得影响采购人正常使用。若因此影响采购人使用并造成损失，采购人有权要求成交供应商赔偿相关损失。</w:t>
      </w:r>
    </w:p>
    <w:p w14:paraId="0278661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成交供应商若需提前交付产品，必须事先获得采购人同意，否则由此产生的储存保管费用及标的物毁损灭失风险由成交供应商自行承担。</w:t>
      </w:r>
    </w:p>
    <w:p w14:paraId="0DAD077C">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成交供应商应按采购人采购计划中指定医院地址送货，相关费用由成交供应商承担。</w:t>
      </w:r>
    </w:p>
    <w:p w14:paraId="208C722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60" w:lineRule="exact"/>
        <w:textAlignment w:val="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lang w:val="en-US" w:eastAsia="zh-CN"/>
        </w:rPr>
        <w:t>、售后服务要求</w:t>
      </w:r>
    </w:p>
    <w:p w14:paraId="539584A7">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成交供应商所提供货物应为原厂生产或该品牌授权生产、销售的全新正品，其质量、规格、性能、品牌、有效期限等均需满足用户需求，无任何侵权行为，且必须符合国家及行业生产、经营标准，保证货真价实，并能提供相应合格证明资料。货物交付时，成交供应商应提供合同货物真实有效的生产日期，且保证生产日期距交付时间不超过6个月。</w:t>
      </w:r>
    </w:p>
    <w:p w14:paraId="3249D45A">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因成交供应商所供应货物质量问题导致采购人设备故障、人身伤害或发生严重事故的，由成交供应商负责更换，由此造成的一切损失及责任由成交供应商承担，同时采购人有权单方面终止合同，且履约保证金不予退还。</w:t>
      </w:r>
    </w:p>
    <w:p w14:paraId="0A8392E0">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en-US" w:eastAsia="zh-CN"/>
        </w:rPr>
        <w:t>质保期：当次所提供货物质保期自验收合格之日起</w:t>
      </w:r>
      <w:r>
        <w:rPr>
          <w:rFonts w:hint="eastAsia" w:ascii="宋体" w:hAnsi="宋体" w:eastAsia="宋体" w:cs="宋体"/>
          <w:b w:val="0"/>
          <w:bCs w:val="0"/>
          <w:color w:val="auto"/>
          <w:sz w:val="28"/>
          <w:szCs w:val="28"/>
          <w:highlight w:val="none"/>
          <w:lang w:val="en-US" w:eastAsia="zh-CN"/>
        </w:rPr>
        <w:t>计算，期限为一年</w:t>
      </w:r>
      <w:r>
        <w:rPr>
          <w:rFonts w:hint="eastAsia" w:ascii="宋体" w:hAnsi="宋体" w:eastAsia="宋体" w:cs="宋体"/>
          <w:color w:val="auto"/>
          <w:sz w:val="28"/>
          <w:szCs w:val="28"/>
          <w:highlight w:val="none"/>
          <w:lang w:val="en-US" w:eastAsia="zh-CN"/>
        </w:rPr>
        <w:t>。质保期内，成交供应商须提供货物“包退、包换、包修”的质量“三包”服务。货物如不符合国家有关质量技术标准、采购文件及合同参数要求，采购人有权拒收，成交供应商应无条件退换货物，退换期限为2个自然日，由此产生的一切费用由成交供应商承担，若造成采购人经济损失，采购人有权进行索赔。</w:t>
      </w:r>
    </w:p>
    <w:p w14:paraId="265C6A9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highlight w:val="none"/>
          <w:lang w:val="en-US" w:eastAsia="zh-CN"/>
        </w:rPr>
        <w:t>质保期内，成交供应商应提供24小时响应服务，并指定一名项目负责人，负责人须保证服务电话24小时畅通。成交供应商对采购人提出的质量异议须在1小时内予以响应并提出解决办法；货物因非人为因素出现损坏、变形等情况的，成交供应商应在接到通知后1小时内派遣专业人员上门服务，解决问题时限为到达现场后4小时内，确保按要求完成更换、送回等服务，保证货物合格率达到100%，并对造成的损失承担赔偿责任。若到场4小时后仍未能有效解决问题，成交供应商应向采购人书面说明原因并经采购人同意后，提供同档次或优于原参数的货物供采购人使用；未能及时完成修理或更换的，采购人有权自行购买更换，所支付费用从履约保证金中扣除。若因此造成采购人损失，由成交供应商承担赔偿责任。</w:t>
      </w:r>
    </w:p>
    <w:p w14:paraId="1889A875">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eastAsia="宋体"/>
          <w:lang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货物如不符合国家有关质量标准、进货渠道不正规，或经证实存在缺陷（包括潜在缺陷或使用不符合要求材料等），采购人有权要求成交供应商无条件退换货物，退换期限为2个自然日，由此产生的一切费用由成交供应商承担，并赔偿因此给采购人造成的经济损失。</w:t>
      </w:r>
    </w:p>
    <w:p w14:paraId="398F8DB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九、</w:t>
      </w:r>
      <w:r>
        <w:rPr>
          <w:rFonts w:hint="eastAsia" w:ascii="宋体" w:hAnsi="宋体" w:eastAsia="宋体" w:cs="宋体"/>
          <w:b/>
          <w:color w:val="auto"/>
          <w:sz w:val="28"/>
          <w:szCs w:val="28"/>
          <w:highlight w:val="none"/>
        </w:rPr>
        <w:t>付款方式</w:t>
      </w:r>
    </w:p>
    <w:p w14:paraId="024548C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1.签订合同后5个工作日内成交供应商需向采购人交合同总金额的</w:t>
      </w:r>
      <w:r>
        <w:rPr>
          <w:rFonts w:hint="eastAsia" w:ascii="宋体" w:hAnsi="宋体" w:eastAsia="宋体" w:cs="宋体"/>
          <w:b w:val="0"/>
          <w:bCs w:val="0"/>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作为履约保证金。保证金的退还为最后一批送货验收合格后一个月内一次性无息退还。如有违约事项，采购人根据约定条款扣款，剩余款项予以无息退还。</w:t>
      </w:r>
    </w:p>
    <w:p w14:paraId="1E1BF57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2.合同签订后，供货期内采购人可按照实际使用需要分批次要求成交供应商供货。合同无预付款，每批次订货无预付款。</w:t>
      </w:r>
    </w:p>
    <w:p w14:paraId="331929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按月结算。成交供应商接到采购人的下单通知后，按采购人要求的品种及数量提供货物，经双方确认验收合格后，成交供应商开具该月所供货物的有效全额增值税普通发票（含税），采购人在收到发票并审核无误后6个月内付款给成交供应商。</w:t>
      </w:r>
      <w:bookmarkStart w:id="0" w:name="_GoBack"/>
      <w:bookmarkEnd w:id="0"/>
    </w:p>
    <w:p w14:paraId="6A5BB1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b w:val="0"/>
          <w:bCs w:val="0"/>
          <w:color w:val="auto"/>
          <w:spacing w:val="-2"/>
          <w:sz w:val="28"/>
          <w:szCs w:val="28"/>
          <w:highlight w:val="none"/>
          <w:lang w:eastAsia="zh-CN"/>
        </w:rPr>
        <w:t>特别说明：合同约定的付款期限，遵守《保障中小企业款项支付条例》的规定。如成交供应商为中小企业，付款期限最长不超过60日。</w:t>
      </w:r>
    </w:p>
    <w:p w14:paraId="19BDBE8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5.成交供应商须开具与响应文件中报价人名称、响应报价一致的有效全额增值税普通发票。</w:t>
      </w:r>
    </w:p>
    <w:p w14:paraId="628FFBE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十、违约责任</w:t>
      </w:r>
    </w:p>
    <w:p w14:paraId="6841AED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1.采购人应在合同规定时间内，按合同执行进度向成交供应商支付货款，每拖延一天，采购人向成交供应商支付拖延金额的5‰的违约金。 </w:t>
      </w:r>
    </w:p>
    <w:p w14:paraId="1DC9AAC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成交供应商未能按时交货，或未能在交货之日起10个自然日内提供该项目验收相关所必须的合法有效的文件，每拖延一天，须向采购人支付合同金额的5‰的违约金。如拖延10个自然日成交供应商仍未履行的，则视为成交供应商不能交货，则按合同总价20%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13CAD52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3.成交供应商交付的货物不符合合同规定的，采购人有权拒收，成交供应商向采购人支付合同总价的20％的违约金。 </w:t>
      </w:r>
    </w:p>
    <w:p w14:paraId="7278B6C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4.采购人无正当理由拒收货物的，采购人向成交供应商支付当次送货金额的 5‰的违约金。 </w:t>
      </w:r>
    </w:p>
    <w:p w14:paraId="199D016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5.货物在保质期内如无法提供质保服务，成交供应商承担采购人就此造成的一切更换费和其它损失。</w:t>
      </w:r>
    </w:p>
    <w:p w14:paraId="5966132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6.所有货物在使用过程中发现以次充好或使用假冒伪劣产品的，成交供应商须无条件更换货物并按假一赔三进行赔偿。此种情况超过2次或以上的，履约保证金不予以退还，采购人有权单方终止合同。</w:t>
      </w:r>
    </w:p>
    <w:p w14:paraId="6C456EF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7.若成交供应商提供的货物发生知识产权纠纷的，由成交供应商执行处置与原知识产权所有者协商解决，采购人不承担与之相关的任何经济和法律责任。</w:t>
      </w:r>
    </w:p>
    <w:p w14:paraId="302A03E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8.因成交供应商原因造成采购人货物无法按时正常使用，成交供应商承担合同标的金额20%的违约金，违约金不足以赔偿采购人损失的，应另行补足采购人损失。</w:t>
      </w:r>
    </w:p>
    <w:p w14:paraId="336D96B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9.双方对本项目（含涉及本项目相关通知和函电）内容应严格履行保密义务，未经一方书面同意或许可，均不得在任何时候以任何方式和理由向第三人泄露，否则，任何一方应赔偿由此给对方造成的一切损失。</w:t>
      </w:r>
    </w:p>
    <w:p w14:paraId="5929027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10.成交供应商给采购人造成的损失，采购人可采取必要的途径或方式追索，由此引起的费用由成交供应商承担，包括但不仅限于律师费、查档费、鉴定费、公证费、交通费、诉讼费、财产保全责任保险费等。</w:t>
      </w:r>
    </w:p>
    <w:p w14:paraId="7B0553F6">
      <w:pPr>
        <w:keepNext w:val="0"/>
        <w:keepLines w:val="0"/>
        <w:pageBreakBefore w:val="0"/>
        <w:widowControl/>
        <w:tabs>
          <w:tab w:val="left" w:pos="426"/>
        </w:tabs>
        <w:kinsoku/>
        <w:wordWrap/>
        <w:overflowPunct/>
        <w:topLinePunct w:val="0"/>
        <w:autoSpaceDE/>
        <w:autoSpaceDN/>
        <w:bidi w:val="0"/>
        <w:adjustRightInd/>
        <w:snapToGrid/>
        <w:spacing w:line="360" w:lineRule="auto"/>
        <w:ind w:right="0"/>
        <w:jc w:val="left"/>
        <w:textAlignment w:val="auto"/>
        <w:outlineLvl w:val="9"/>
        <w:rPr>
          <w:rFonts w:hint="eastAsia" w:ascii="宋体" w:hAnsi="宋体" w:eastAsia="宋体" w:cs="宋体"/>
          <w:bCs/>
          <w:kern w:val="2"/>
          <w:sz w:val="28"/>
          <w:szCs w:val="28"/>
          <w:lang w:eastAsia="zh-CN"/>
        </w:rPr>
      </w:pPr>
      <w:r>
        <w:rPr>
          <w:rFonts w:hint="eastAsia" w:ascii="宋体" w:hAnsi="宋体" w:eastAsia="宋体" w:cs="宋体"/>
          <w:color w:val="auto"/>
          <w:sz w:val="28"/>
          <w:szCs w:val="28"/>
          <w:highlight w:val="none"/>
          <w:lang w:val="en-US" w:eastAsia="zh-CN"/>
        </w:rPr>
        <w:t>11.其它违约责任按《中华人民共和国民法典》处理。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194718"/>
    <w:rsid w:val="16527FAD"/>
    <w:rsid w:val="18194718"/>
    <w:rsid w:val="18AF0CEA"/>
    <w:rsid w:val="197224E6"/>
    <w:rsid w:val="1CA57D8C"/>
    <w:rsid w:val="34512ED5"/>
    <w:rsid w:val="38705938"/>
    <w:rsid w:val="425001AE"/>
    <w:rsid w:val="42A15DE8"/>
    <w:rsid w:val="433F303A"/>
    <w:rsid w:val="4AE40645"/>
    <w:rsid w:val="56B12EC7"/>
    <w:rsid w:val="579556E4"/>
    <w:rsid w:val="59337BDA"/>
    <w:rsid w:val="5AF111C0"/>
    <w:rsid w:val="615D38F8"/>
    <w:rsid w:val="617201FA"/>
    <w:rsid w:val="638659F3"/>
    <w:rsid w:val="70870FD0"/>
    <w:rsid w:val="79824413"/>
    <w:rsid w:val="7CB57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spacing w:after="120" w:afterLines="0"/>
      <w:jc w:val="left"/>
    </w:pPr>
    <w:rPr>
      <w:rFonts w:ascii="ˎ̥" w:hAnsi="ˎ̥"/>
      <w:color w:val="000000"/>
      <w:sz w:val="24"/>
      <w:szCs w:val="20"/>
    </w:rPr>
  </w:style>
  <w:style w:type="paragraph" w:customStyle="1" w:styleId="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styleId="8">
    <w:name w:val="List Paragraph"/>
    <w:basedOn w:val="1"/>
    <w:qFormat/>
    <w:uiPriority w:val="34"/>
    <w:pPr>
      <w:widowControl/>
      <w:ind w:firstLine="420" w:firstLineChars="200"/>
      <w:jc w:val="left"/>
    </w:pPr>
    <w:rPr>
      <w:kern w:val="0"/>
      <w:szCs w:val="20"/>
    </w:rPr>
  </w:style>
  <w:style w:type="character" w:customStyle="1" w:styleId="9">
    <w:name w:val="font11"/>
    <w:basedOn w:val="6"/>
    <w:autoRedefine/>
    <w:qFormat/>
    <w:uiPriority w:val="0"/>
    <w:rPr>
      <w:rFonts w:hint="eastAsia" w:ascii="宋体" w:hAnsi="宋体" w:eastAsia="宋体" w:cs="宋体"/>
      <w:color w:val="000000"/>
      <w:sz w:val="22"/>
      <w:szCs w:val="22"/>
      <w:u w:val="single"/>
    </w:rPr>
  </w:style>
  <w:style w:type="character" w:customStyle="1" w:styleId="10">
    <w:name w:val="font31"/>
    <w:basedOn w:val="6"/>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6107</Words>
  <Characters>6416</Characters>
  <Lines>0</Lines>
  <Paragraphs>0</Paragraphs>
  <TotalTime>4</TotalTime>
  <ScaleCrop>false</ScaleCrop>
  <LinksUpToDate>false</LinksUpToDate>
  <CharactersWithSpaces>6430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2025-04-21T02:05:00Z</dcterms:created>
  <dc:creator>小军</dc:creator>
  <cp:lastModifiedBy>18924981193</cp:lastModifiedBy>
  <cp:lastPrinted>2026-04-28T08:22:00Z</cp:lastPrinted>
  <dcterms:modified xsi:type="dcterms:W3CDTF">2026-08-26T09:08:16Z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AD7DF23D39A54DC68B328F584FB2052C_13</vt:lpwstr>
  </property>
  <property fmtid="{D5CDD505-2E9C-101B-9397-08002B2CF9AE}" pid="4" name="KSOTemplateDocerSaveRecord">
    <vt:lpwstr>eyJoZGlkIjoiMDI1YTQ0MGQ2NDc4NmQ3MjU4NTFkMzZmNDA5NDM5ODgiLCJ1c2VySWQiOiI3MDcxOTEyNjEifQ==</vt:lpwstr>
  </property>
</Properties>
</file>