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FE7E76">
      <w:pPr>
        <w:jc w:val="center"/>
        <w:rPr>
          <w:rFonts w:ascii="宋体" w:hAnsi="宋体"/>
          <w:b/>
          <w:color w:val="auto"/>
          <w:kern w:val="28"/>
          <w:sz w:val="44"/>
          <w:szCs w:val="36"/>
          <w:highlight w:val="none"/>
        </w:rPr>
      </w:pPr>
      <w:r>
        <w:rPr>
          <w:rFonts w:hint="eastAsia" w:ascii="宋体" w:hAnsi="宋体"/>
          <w:b/>
          <w:color w:val="auto"/>
          <w:kern w:val="28"/>
          <w:sz w:val="44"/>
          <w:szCs w:val="36"/>
          <w:highlight w:val="none"/>
        </w:rPr>
        <w:t>采购</w:t>
      </w:r>
      <w:r>
        <w:rPr>
          <w:rFonts w:ascii="宋体" w:hAnsi="宋体"/>
          <w:b/>
          <w:color w:val="auto"/>
          <w:kern w:val="28"/>
          <w:sz w:val="44"/>
          <w:szCs w:val="36"/>
          <w:highlight w:val="none"/>
        </w:rPr>
        <w:t>需求书</w:t>
      </w:r>
    </w:p>
    <w:p w14:paraId="22BFBE87">
      <w:pPr>
        <w:numPr>
          <w:ilvl w:val="0"/>
          <w:numId w:val="1"/>
        </w:num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项目概况：</w:t>
      </w:r>
    </w:p>
    <w:p w14:paraId="1EE6BCDF">
      <w:pPr>
        <w:numPr>
          <w:ilvl w:val="0"/>
          <w:numId w:val="2"/>
        </w:numPr>
        <w:spacing w:line="440" w:lineRule="exact"/>
        <w:ind w:left="0" w:leftChars="0" w:firstLine="420" w:firstLineChars="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项目编号：</w:t>
      </w:r>
    </w:p>
    <w:p w14:paraId="7D7FD670">
      <w:pPr>
        <w:numPr>
          <w:ilvl w:val="0"/>
          <w:numId w:val="2"/>
        </w:numPr>
        <w:spacing w:line="440" w:lineRule="exact"/>
        <w:ind w:left="0" w:leftChars="0" w:firstLine="420" w:firstLineChars="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项目名称：</w:t>
      </w:r>
    </w:p>
    <w:p w14:paraId="23DFADCC">
      <w:pPr>
        <w:numPr>
          <w:ilvl w:val="0"/>
          <w:numId w:val="2"/>
        </w:numPr>
        <w:spacing w:line="440" w:lineRule="exact"/>
        <w:ind w:left="0" w:leftChars="0" w:firstLine="420" w:firstLineChars="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总体要求说明</w:t>
      </w:r>
      <w:r>
        <w:rPr>
          <w:rFonts w:hint="eastAsia" w:ascii="宋体" w:hAnsi="宋体" w:eastAsia="宋体" w:cs="宋体"/>
          <w:b/>
          <w:color w:val="auto"/>
          <w:sz w:val="21"/>
          <w:szCs w:val="21"/>
          <w:highlight w:val="none"/>
        </w:rPr>
        <w:t>：</w:t>
      </w:r>
    </w:p>
    <w:p w14:paraId="3B2C1875">
      <w:pPr>
        <w:numPr>
          <w:ilvl w:val="0"/>
          <w:numId w:val="3"/>
        </w:num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报价应包括标的设备（原装、全新合格的设备）、相关附件、配套设施、税费、运费、保险费、仓储费、安装调试、</w:t>
      </w:r>
      <w:r>
        <w:rPr>
          <w:rFonts w:hint="eastAsia" w:ascii="宋体" w:hAnsi="宋体" w:eastAsia="宋体" w:cs="宋体"/>
          <w:color w:val="auto"/>
          <w:sz w:val="21"/>
          <w:szCs w:val="21"/>
          <w:highlight w:val="none"/>
          <w:lang w:val="en-US" w:eastAsia="zh-CN"/>
        </w:rPr>
        <w:t>中标服务费、售后服务、</w:t>
      </w:r>
      <w:r>
        <w:rPr>
          <w:rFonts w:hint="eastAsia" w:ascii="宋体" w:hAnsi="宋体" w:eastAsia="宋体" w:cs="宋体"/>
          <w:color w:val="auto"/>
          <w:sz w:val="21"/>
          <w:szCs w:val="21"/>
          <w:highlight w:val="none"/>
        </w:rPr>
        <w:t>系统对接费、端口对接费</w:t>
      </w:r>
      <w:r>
        <w:rPr>
          <w:rFonts w:hint="eastAsia" w:ascii="宋体" w:hAnsi="宋体" w:eastAsia="宋体" w:cs="宋体"/>
          <w:color w:val="auto"/>
          <w:sz w:val="21"/>
          <w:szCs w:val="21"/>
          <w:highlight w:val="none"/>
          <w:lang w:val="en-US" w:eastAsia="zh-CN"/>
        </w:rPr>
        <w:t>（含支付给第三方厂商的对接费用）、</w:t>
      </w:r>
      <w:r>
        <w:rPr>
          <w:rFonts w:hint="eastAsia" w:ascii="宋体" w:hAnsi="宋体" w:eastAsia="宋体" w:cs="宋体"/>
          <w:color w:val="auto"/>
          <w:sz w:val="21"/>
          <w:szCs w:val="21"/>
          <w:highlight w:val="none"/>
        </w:rPr>
        <w:t>培训、质保</w:t>
      </w:r>
      <w:r>
        <w:rPr>
          <w:rFonts w:hint="eastAsia" w:ascii="宋体" w:hAnsi="宋体" w:eastAsia="宋体" w:cs="宋体"/>
          <w:color w:val="auto"/>
          <w:sz w:val="21"/>
          <w:szCs w:val="21"/>
          <w:highlight w:val="none"/>
          <w:lang w:val="en-US" w:eastAsia="zh-CN"/>
        </w:rPr>
        <w:t>及合同实施过程中不可预见费用等</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en-US" w:eastAsia="zh-CN"/>
        </w:rPr>
        <w:t>相关</w:t>
      </w:r>
      <w:r>
        <w:rPr>
          <w:rFonts w:hint="eastAsia" w:ascii="宋体" w:hAnsi="宋体" w:eastAsia="宋体" w:cs="宋体"/>
          <w:color w:val="auto"/>
          <w:sz w:val="21"/>
          <w:szCs w:val="21"/>
          <w:highlight w:val="none"/>
        </w:rPr>
        <w:t>全部费用，在项目实施过程中出现报价内容的任何遗漏，均由</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负责相关费用，采购人将不再支付任何费用。</w:t>
      </w:r>
    </w:p>
    <w:p w14:paraId="71469D0B">
      <w:pPr>
        <w:numPr>
          <w:ilvl w:val="0"/>
          <w:numId w:val="3"/>
        </w:num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投标人应分别列明该项目的总报价和分项报价，即有单独医疗器械注册证的设备须分项列明报价。</w:t>
      </w:r>
    </w:p>
    <w:p w14:paraId="65A4A97B">
      <w:pPr>
        <w:numPr>
          <w:ilvl w:val="0"/>
          <w:numId w:val="3"/>
        </w:num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投标人应对采购需求中的服务指标在响应详细内容中列出明确承诺，投标人在技术和服务要求响应表中必须列出具体数值。如果投标人只注明“正偏离”或“无偏离”，将可能被视为“负偏离”，从而可能导致严重影响评标结果。</w:t>
      </w:r>
    </w:p>
    <w:p w14:paraId="27A81AA8">
      <w:pPr>
        <w:numPr>
          <w:ilvl w:val="0"/>
          <w:numId w:val="3"/>
        </w:numPr>
        <w:spacing w:line="440" w:lineRule="exact"/>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eastAsia="zh-CN"/>
        </w:rPr>
        <w:t>采购需求</w:t>
      </w:r>
      <w:r>
        <w:rPr>
          <w:rFonts w:hint="eastAsia" w:ascii="宋体" w:hAnsi="宋体" w:eastAsia="宋体" w:cs="宋体"/>
          <w:color w:val="auto"/>
          <w:sz w:val="21"/>
          <w:szCs w:val="21"/>
          <w:highlight w:val="none"/>
        </w:rPr>
        <w:t>中凡有“★”标识的内容条款为关键条款，</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必须对此作出回答并完全满足这些要求不可以出现任何负偏离，对这些关键条款的任何负偏离将视为无效投标。加注“▲”的内容为重点评标项目，</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必须对该标识项目按照要求进行真实应答描述。</w:t>
      </w:r>
    </w:p>
    <w:p w14:paraId="3F25E26F">
      <w:pPr>
        <w:numPr>
          <w:ilvl w:val="0"/>
          <w:numId w:val="3"/>
        </w:numPr>
        <w:spacing w:line="440" w:lineRule="exact"/>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w:t>
      </w:r>
      <w:r>
        <w:rPr>
          <w:rFonts w:hint="eastAsia" w:ascii="宋体" w:hAnsi="宋体" w:eastAsia="宋体" w:cs="宋体"/>
          <w:color w:val="auto"/>
          <w:sz w:val="21"/>
          <w:szCs w:val="21"/>
          <w:highlight w:val="none"/>
          <w:lang w:val="en-US" w:eastAsia="zh-CN"/>
        </w:rPr>
        <w:t>如所投产品属于医疗器械，</w:t>
      </w:r>
      <w:r>
        <w:rPr>
          <w:rFonts w:hint="eastAsia" w:ascii="宋体" w:hAnsi="宋体" w:eastAsia="宋体" w:cs="宋体"/>
          <w:b w:val="0"/>
          <w:bCs w:val="0"/>
          <w:color w:val="auto"/>
          <w:sz w:val="21"/>
          <w:szCs w:val="21"/>
          <w:highlight w:val="none"/>
          <w:lang w:eastAsia="zh-CN"/>
        </w:rPr>
        <w:t>投标人</w:t>
      </w:r>
      <w:r>
        <w:rPr>
          <w:rFonts w:hint="eastAsia" w:ascii="宋体" w:hAnsi="宋体" w:eastAsia="宋体" w:cs="宋体"/>
          <w:b w:val="0"/>
          <w:bCs w:val="0"/>
          <w:color w:val="auto"/>
          <w:sz w:val="21"/>
          <w:szCs w:val="21"/>
          <w:highlight w:val="none"/>
        </w:rPr>
        <w:t>应该符合《医疗器械经营质量管理规范》和《医疗器械监督管理条例》规定，并结合本项目特性提供有效的医疗器械产品注册/备案证明材料和</w:t>
      </w:r>
      <w:r>
        <w:rPr>
          <w:rFonts w:hint="eastAsia" w:ascii="宋体" w:hAnsi="宋体" w:eastAsia="宋体" w:cs="宋体"/>
          <w:b w:val="0"/>
          <w:bCs w:val="0"/>
          <w:color w:val="auto"/>
          <w:sz w:val="21"/>
          <w:szCs w:val="21"/>
          <w:highlight w:val="none"/>
          <w:lang w:eastAsia="zh-CN"/>
        </w:rPr>
        <w:t>投标人</w:t>
      </w:r>
      <w:r>
        <w:rPr>
          <w:rFonts w:hint="eastAsia" w:ascii="宋体" w:hAnsi="宋体" w:eastAsia="宋体" w:cs="宋体"/>
          <w:b w:val="0"/>
          <w:bCs w:val="0"/>
          <w:color w:val="auto"/>
          <w:sz w:val="21"/>
          <w:szCs w:val="21"/>
          <w:highlight w:val="none"/>
        </w:rPr>
        <w:t>的</w:t>
      </w:r>
      <w:r>
        <w:rPr>
          <w:rFonts w:hint="eastAsia" w:ascii="宋体" w:hAnsi="宋体" w:eastAsia="宋体" w:cs="宋体"/>
          <w:b w:val="0"/>
          <w:bCs w:val="0"/>
          <w:color w:val="auto"/>
          <w:sz w:val="21"/>
          <w:szCs w:val="21"/>
          <w:highlight w:val="none"/>
          <w:lang w:val="en-US" w:eastAsia="zh-CN"/>
        </w:rPr>
        <w:t>营业执照/</w:t>
      </w:r>
      <w:r>
        <w:rPr>
          <w:rFonts w:hint="eastAsia" w:ascii="宋体" w:hAnsi="宋体" w:eastAsia="宋体" w:cs="宋体"/>
          <w:b w:val="0"/>
          <w:bCs w:val="0"/>
          <w:color w:val="auto"/>
          <w:sz w:val="21"/>
          <w:szCs w:val="21"/>
          <w:highlight w:val="none"/>
        </w:rPr>
        <w:t>经营许可</w:t>
      </w:r>
      <w:r>
        <w:rPr>
          <w:rFonts w:hint="eastAsia" w:ascii="宋体" w:hAnsi="宋体" w:eastAsia="宋体" w:cs="宋体"/>
          <w:b w:val="0"/>
          <w:bCs w:val="0"/>
          <w:color w:val="auto"/>
          <w:sz w:val="21"/>
          <w:szCs w:val="21"/>
          <w:highlight w:val="none"/>
          <w:lang w:val="en-US" w:eastAsia="zh-CN"/>
        </w:rPr>
        <w:t>证</w:t>
      </w:r>
      <w:r>
        <w:rPr>
          <w:rFonts w:hint="eastAsia" w:ascii="宋体" w:hAnsi="宋体" w:eastAsia="宋体" w:cs="宋体"/>
          <w:b w:val="0"/>
          <w:bCs w:val="0"/>
          <w:color w:val="auto"/>
          <w:sz w:val="21"/>
          <w:szCs w:val="21"/>
          <w:highlight w:val="none"/>
        </w:rPr>
        <w:t>/备案证明材料。</w:t>
      </w:r>
    </w:p>
    <w:p w14:paraId="48919AF8">
      <w:pPr>
        <w:numPr>
          <w:ilvl w:val="0"/>
          <w:numId w:val="3"/>
        </w:numP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本文的“质保期”是指中标标的物经约定的验收机构完成验收之日起算，截</w:t>
      </w:r>
      <w:r>
        <w:rPr>
          <w:rFonts w:hint="eastAsia" w:ascii="宋体" w:hAnsi="宋体" w:eastAsia="宋体" w:cs="宋体"/>
          <w:color w:val="auto"/>
          <w:kern w:val="2"/>
          <w:sz w:val="21"/>
          <w:szCs w:val="21"/>
          <w:highlight w:val="none"/>
          <w:lang w:val="en-US" w:eastAsia="zh-CN" w:bidi="ar-SA"/>
        </w:rPr>
        <w:t>至</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承诺的期限。</w:t>
      </w:r>
    </w:p>
    <w:p w14:paraId="0FAF83CE">
      <w:pPr>
        <w:widowControl w:val="0"/>
        <w:numPr>
          <w:ilvl w:val="0"/>
          <w:numId w:val="0"/>
        </w:numPr>
        <w:tabs>
          <w:tab w:val="left" w:pos="312"/>
        </w:tabs>
        <w:spacing w:line="440" w:lineRule="exact"/>
        <w:jc w:val="both"/>
        <w:rPr>
          <w:rFonts w:hint="eastAsia" w:ascii="宋体" w:hAnsi="宋体" w:eastAsia="宋体" w:cs="宋体"/>
          <w:color w:val="auto"/>
          <w:sz w:val="21"/>
          <w:szCs w:val="21"/>
          <w:highlight w:val="none"/>
          <w:lang w:val="en-US" w:eastAsia="zh-CN"/>
        </w:rPr>
      </w:pPr>
    </w:p>
    <w:p w14:paraId="55E94508">
      <w:pPr>
        <w:widowControl w:val="0"/>
        <w:numPr>
          <w:ilvl w:val="0"/>
          <w:numId w:val="0"/>
        </w:numPr>
        <w:tabs>
          <w:tab w:val="left" w:pos="312"/>
        </w:tabs>
        <w:spacing w:line="440" w:lineRule="exact"/>
        <w:jc w:val="both"/>
        <w:rPr>
          <w:rFonts w:hint="eastAsia" w:ascii="宋体" w:hAnsi="宋体" w:eastAsia="宋体" w:cs="宋体"/>
          <w:color w:val="auto"/>
          <w:sz w:val="21"/>
          <w:szCs w:val="21"/>
          <w:highlight w:val="none"/>
          <w:lang w:val="en-US" w:eastAsia="zh-CN"/>
        </w:rPr>
      </w:pPr>
    </w:p>
    <w:p w14:paraId="2B9D2695">
      <w:pPr>
        <w:numPr>
          <w:ilvl w:val="0"/>
          <w:numId w:val="1"/>
        </w:num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基本需求</w:t>
      </w:r>
    </w:p>
    <w:tbl>
      <w:tblPr>
        <w:tblStyle w:val="11"/>
        <w:tblW w:w="85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95"/>
        <w:gridCol w:w="1936"/>
        <w:gridCol w:w="1278"/>
        <w:gridCol w:w="2512"/>
      </w:tblGrid>
      <w:tr w14:paraId="4365F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2795" w:type="dxa"/>
          </w:tcPr>
          <w:p w14:paraId="7C38D922">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采购标的</w:t>
            </w:r>
          </w:p>
        </w:tc>
        <w:tc>
          <w:tcPr>
            <w:tcW w:w="1936" w:type="dxa"/>
          </w:tcPr>
          <w:p w14:paraId="15D6B59C">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需求科室/部门</w:t>
            </w:r>
          </w:p>
        </w:tc>
        <w:tc>
          <w:tcPr>
            <w:tcW w:w="1278" w:type="dxa"/>
          </w:tcPr>
          <w:p w14:paraId="67829918">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数量（套）</w:t>
            </w:r>
          </w:p>
        </w:tc>
        <w:tc>
          <w:tcPr>
            <w:tcW w:w="2512" w:type="dxa"/>
          </w:tcPr>
          <w:p w14:paraId="26414957">
            <w:pPr>
              <w:spacing w:line="440" w:lineRule="exact"/>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预算金额（人民币）</w:t>
            </w:r>
          </w:p>
        </w:tc>
      </w:tr>
      <w:tr w14:paraId="5E5BC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2795" w:type="dxa"/>
            <w:shd w:val="clear" w:color="auto" w:fill="auto"/>
            <w:vAlign w:val="top"/>
          </w:tcPr>
          <w:p w14:paraId="611AB3E1">
            <w:pPr>
              <w:spacing w:line="440" w:lineRule="exact"/>
              <w:jc w:val="center"/>
              <w:rPr>
                <w:rFonts w:hint="eastAsia" w:ascii="宋体" w:hAnsi="宋体" w:eastAsia="宋体" w:cs="宋体"/>
                <w:color w:val="auto"/>
                <w:kern w:val="2"/>
                <w:sz w:val="21"/>
                <w:szCs w:val="21"/>
                <w:highlight w:val="none"/>
                <w:lang w:val="en-US" w:eastAsia="zh-CN" w:bidi="ar-SA"/>
              </w:rPr>
            </w:pPr>
            <w:r>
              <w:rPr>
                <w:rFonts w:ascii="宋体" w:hAnsi="宋体" w:eastAsia="宋体" w:cs="宋体"/>
                <w:color w:val="auto"/>
                <w:szCs w:val="21"/>
                <w:highlight w:val="none"/>
              </w:rPr>
              <w:t>超声经颅多普勒血流分析仪</w:t>
            </w:r>
          </w:p>
        </w:tc>
        <w:tc>
          <w:tcPr>
            <w:tcW w:w="1936" w:type="dxa"/>
            <w:shd w:val="clear" w:color="auto" w:fill="auto"/>
            <w:vAlign w:val="top"/>
          </w:tcPr>
          <w:p w14:paraId="29F1C941">
            <w:pPr>
              <w:spacing w:line="440" w:lineRule="exact"/>
              <w:jc w:val="center"/>
              <w:rPr>
                <w:rFonts w:hint="eastAsia" w:ascii="宋体" w:hAnsi="宋体" w:eastAsia="宋体" w:cs="宋体"/>
                <w:color w:val="auto"/>
                <w:kern w:val="2"/>
                <w:sz w:val="21"/>
                <w:szCs w:val="21"/>
                <w:highlight w:val="none"/>
                <w:lang w:val="en-US" w:eastAsia="zh-CN" w:bidi="ar-SA"/>
              </w:rPr>
            </w:pPr>
            <w:r>
              <w:rPr>
                <w:rFonts w:ascii="宋体" w:hAnsi="宋体" w:eastAsia="宋体" w:cs="宋体"/>
                <w:color w:val="auto"/>
                <w:szCs w:val="21"/>
                <w:highlight w:val="none"/>
              </w:rPr>
              <w:t>神经内一科</w:t>
            </w:r>
          </w:p>
        </w:tc>
        <w:tc>
          <w:tcPr>
            <w:tcW w:w="1278" w:type="dxa"/>
          </w:tcPr>
          <w:p w14:paraId="5937043E">
            <w:pPr>
              <w:spacing w:line="44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2512" w:type="dxa"/>
          </w:tcPr>
          <w:p w14:paraId="5994DEA6">
            <w:pPr>
              <w:spacing w:line="44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460000   元</w:t>
            </w:r>
          </w:p>
        </w:tc>
      </w:tr>
    </w:tbl>
    <w:p w14:paraId="178F4AEE">
      <w:pP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核心产品：</w:t>
      </w:r>
      <w:r>
        <w:rPr>
          <w:rFonts w:hint="eastAsia" w:ascii="宋体" w:hAnsi="宋体" w:eastAsia="宋体" w:cs="宋体"/>
          <w:color w:val="auto"/>
          <w:szCs w:val="21"/>
          <w:highlight w:val="none"/>
        </w:rPr>
        <w:t>超声经颅多普勒血流分析仪</w:t>
      </w:r>
    </w:p>
    <w:p w14:paraId="546F8C8F">
      <w:pPr>
        <w:spacing w:line="440" w:lineRule="exact"/>
        <w:rPr>
          <w:rFonts w:ascii="宋体" w:hAnsi="宋体" w:eastAsia="宋体" w:cs="宋体"/>
          <w:color w:val="auto"/>
          <w:szCs w:val="21"/>
          <w:highlight w:val="none"/>
        </w:rPr>
      </w:pPr>
      <w:r>
        <w:rPr>
          <w:rFonts w:hint="eastAsia" w:ascii="宋体" w:hAnsi="宋体" w:eastAsia="宋体" w:cs="宋体"/>
          <w:color w:val="auto"/>
          <w:sz w:val="21"/>
          <w:szCs w:val="21"/>
          <w:highlight w:val="none"/>
        </w:rPr>
        <w:t>用途：</w:t>
      </w:r>
      <w:r>
        <w:rPr>
          <w:rFonts w:hint="eastAsia" w:ascii="宋体" w:hAnsi="宋体" w:eastAsia="宋体" w:cs="宋体"/>
          <w:color w:val="auto"/>
          <w:szCs w:val="21"/>
          <w:highlight w:val="none"/>
        </w:rPr>
        <w:t xml:space="preserve"> （1）急性期快速评估颅内外大血管狭窄/闭塞，为溶栓取栓决策提供血流动力学依据；</w:t>
      </w:r>
    </w:p>
    <w:p w14:paraId="1DF5FC19">
      <w:pPr>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（2）蛛网膜下腔出血后血管痉挛的每日床旁监测，指导尼莫地平治疗；</w:t>
      </w:r>
    </w:p>
    <w:p w14:paraId="2327C023">
      <w:pPr>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（3）微栓子信号（MES）监测，评估大动脉粥样硬化斑块稳定性及卒中复发风险；</w:t>
      </w:r>
    </w:p>
    <w:p w14:paraId="6068C36A">
      <w:pPr>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（4）发泡试验（c-TCD）筛查卵圆孔未闭（PFO），明确隐源性卒中病因；</w:t>
      </w:r>
    </w:p>
    <w:p w14:paraId="09664142">
      <w:pPr>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（5）脑血流储备（CVR）评估，指导症状性颅内/外动脉狭窄的血运重建决策。</w:t>
      </w:r>
    </w:p>
    <w:p w14:paraId="079E8510">
      <w:pPr>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（6）对后循环缺血性眩晕的鉴别诊断也</w:t>
      </w:r>
      <w:r>
        <w:rPr>
          <w:rFonts w:hint="eastAsia" w:ascii="宋体" w:hAnsi="宋体" w:eastAsia="宋体" w:cs="宋体"/>
          <w:color w:val="auto"/>
          <w:szCs w:val="21"/>
          <w:highlight w:val="none"/>
          <w:lang w:eastAsia="zh-CN"/>
        </w:rPr>
        <w:t>具有</w:t>
      </w:r>
      <w:r>
        <w:rPr>
          <w:rFonts w:hint="eastAsia" w:ascii="宋体" w:hAnsi="宋体" w:eastAsia="宋体" w:cs="宋体"/>
          <w:color w:val="auto"/>
          <w:szCs w:val="21"/>
          <w:highlight w:val="none"/>
        </w:rPr>
        <w:t>重要价值，可快速区分血管性眩晕与前庭周围性眩晕。</w:t>
      </w:r>
    </w:p>
    <w:p w14:paraId="0FB6F329">
      <w:pPr>
        <w:pStyle w:val="3"/>
        <w:rPr>
          <w:rFonts w:hint="eastAsia" w:ascii="仿宋" w:hAnsi="仿宋" w:eastAsia="仿宋" w:cs="仿宋"/>
          <w:color w:val="auto"/>
          <w:sz w:val="24"/>
          <w:highlight w:val="none"/>
        </w:rPr>
      </w:pPr>
    </w:p>
    <w:p w14:paraId="750296F4">
      <w:pPr>
        <w:spacing w:line="440" w:lineRule="exact"/>
        <w:rPr>
          <w:rFonts w:hint="eastAsia" w:ascii="仿宋" w:hAnsi="仿宋" w:eastAsia="仿宋" w:cs="仿宋"/>
          <w:color w:val="auto"/>
          <w:sz w:val="24"/>
          <w:highlight w:val="none"/>
        </w:rPr>
      </w:pPr>
      <w:r>
        <w:rPr>
          <w:rFonts w:hint="eastAsia" w:ascii="宋体" w:hAnsi="宋体" w:eastAsia="宋体" w:cs="宋体"/>
          <w:b/>
          <w:color w:val="auto"/>
          <w:szCs w:val="21"/>
          <w:highlight w:val="none"/>
        </w:rPr>
        <w:t>设备符合中山市物价收费名目：</w:t>
      </w:r>
    </w:p>
    <w:tbl>
      <w:tblPr>
        <w:tblStyle w:val="10"/>
        <w:tblW w:w="7948" w:type="dxa"/>
        <w:tblInd w:w="93" w:type="dxa"/>
        <w:tblLayout w:type="fixed"/>
        <w:tblCellMar>
          <w:top w:w="0" w:type="dxa"/>
          <w:left w:w="108" w:type="dxa"/>
          <w:bottom w:w="0" w:type="dxa"/>
          <w:right w:w="108" w:type="dxa"/>
        </w:tblCellMar>
      </w:tblPr>
      <w:tblGrid>
        <w:gridCol w:w="1395"/>
        <w:gridCol w:w="2164"/>
        <w:gridCol w:w="2835"/>
        <w:gridCol w:w="1554"/>
      </w:tblGrid>
      <w:tr w14:paraId="0A5995A3">
        <w:tblPrEx>
          <w:tblCellMar>
            <w:top w:w="0" w:type="dxa"/>
            <w:left w:w="108" w:type="dxa"/>
            <w:bottom w:w="0" w:type="dxa"/>
            <w:right w:w="108" w:type="dxa"/>
          </w:tblCellMar>
        </w:tblPrEx>
        <w:trPr>
          <w:trHeight w:val="750" w:hRule="atLeast"/>
        </w:trPr>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1E177">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使用科室</w:t>
            </w:r>
          </w:p>
        </w:tc>
        <w:tc>
          <w:tcPr>
            <w:tcW w:w="2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DE9A9">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中山市物价编码</w:t>
            </w: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8BDF7">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收费项目名称</w:t>
            </w:r>
          </w:p>
        </w:tc>
        <w:tc>
          <w:tcPr>
            <w:tcW w:w="1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9B1AB">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收费单价（元）</w:t>
            </w:r>
          </w:p>
        </w:tc>
      </w:tr>
      <w:tr w14:paraId="5FD19E0E">
        <w:tblPrEx>
          <w:tblCellMar>
            <w:top w:w="0" w:type="dxa"/>
            <w:left w:w="108" w:type="dxa"/>
            <w:bottom w:w="0" w:type="dxa"/>
            <w:right w:w="108" w:type="dxa"/>
          </w:tblCellMar>
        </w:tblPrEx>
        <w:trPr>
          <w:trHeight w:val="375" w:hRule="atLeast"/>
        </w:trPr>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D73E1">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神经内一科</w:t>
            </w:r>
          </w:p>
        </w:tc>
        <w:tc>
          <w:tcPr>
            <w:tcW w:w="2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ED254">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012302050020000</w:t>
            </w: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64AF1">
            <w:pPr>
              <w:widowControl/>
              <w:jc w:val="left"/>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多普勒检查（颅内血管）</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C92D1">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130</w:t>
            </w:r>
          </w:p>
        </w:tc>
      </w:tr>
      <w:tr w14:paraId="5B28361C">
        <w:tblPrEx>
          <w:tblCellMar>
            <w:top w:w="0" w:type="dxa"/>
            <w:left w:w="108" w:type="dxa"/>
            <w:bottom w:w="0" w:type="dxa"/>
            <w:right w:w="108" w:type="dxa"/>
          </w:tblCellMar>
        </w:tblPrEx>
        <w:trPr>
          <w:trHeight w:val="375" w:hRule="atLeast"/>
        </w:trPr>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51906">
            <w:pPr>
              <w:widowControl/>
              <w:jc w:val="center"/>
              <w:textAlignment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神经内一科</w:t>
            </w:r>
          </w:p>
        </w:tc>
        <w:tc>
          <w:tcPr>
            <w:tcW w:w="2164" w:type="dxa"/>
            <w:tcBorders>
              <w:top w:val="single" w:color="000000" w:sz="4" w:space="0"/>
              <w:left w:val="single" w:color="000000" w:sz="4" w:space="0"/>
              <w:bottom w:val="single" w:color="000000" w:sz="4" w:space="0"/>
              <w:right w:val="single" w:color="000000" w:sz="4" w:space="0"/>
            </w:tcBorders>
            <w:shd w:val="clear" w:color="auto" w:fill="auto"/>
            <w:noWrap/>
          </w:tcPr>
          <w:p w14:paraId="0C9095AF">
            <w:pPr>
              <w:spacing w:line="360" w:lineRule="auto"/>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012302050020001</w:t>
            </w: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Pr>
          <w:p w14:paraId="5EE9156B">
            <w:pPr>
              <w:spacing w:line="360" w:lineRule="auto"/>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多普勒检查（颅内血管）</w:t>
            </w:r>
            <w:r>
              <w:rPr>
                <w:rFonts w:hint="eastAsia" w:ascii="宋体" w:hAnsi="宋体" w:eastAsia="宋体" w:cs="宋体"/>
                <w:color w:val="auto"/>
                <w:kern w:val="0"/>
                <w:szCs w:val="21"/>
                <w:highlight w:val="none"/>
              </w:rPr>
              <w:t>-床旁检查（加收）</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DD684">
            <w:pPr>
              <w:widowControl/>
              <w:jc w:val="center"/>
              <w:textAlignment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30</w:t>
            </w:r>
          </w:p>
        </w:tc>
      </w:tr>
      <w:tr w14:paraId="11C6B6F4">
        <w:tblPrEx>
          <w:tblCellMar>
            <w:top w:w="0" w:type="dxa"/>
            <w:left w:w="108" w:type="dxa"/>
            <w:bottom w:w="0" w:type="dxa"/>
            <w:right w:w="108" w:type="dxa"/>
          </w:tblCellMar>
        </w:tblPrEx>
        <w:trPr>
          <w:trHeight w:val="375" w:hRule="atLeast"/>
        </w:trPr>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01993">
            <w:pPr>
              <w:widowControl/>
              <w:jc w:val="center"/>
              <w:textAlignment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神经内一科</w:t>
            </w:r>
          </w:p>
        </w:tc>
        <w:tc>
          <w:tcPr>
            <w:tcW w:w="2164" w:type="dxa"/>
            <w:tcBorders>
              <w:top w:val="single" w:color="000000" w:sz="4" w:space="0"/>
              <w:left w:val="single" w:color="000000" w:sz="4" w:space="0"/>
              <w:bottom w:val="single" w:color="000000" w:sz="4" w:space="0"/>
              <w:right w:val="single" w:color="000000" w:sz="4" w:space="0"/>
            </w:tcBorders>
            <w:shd w:val="clear" w:color="auto" w:fill="auto"/>
            <w:noWrap/>
          </w:tcPr>
          <w:p w14:paraId="0D76A33A">
            <w:pPr>
              <w:spacing w:line="360" w:lineRule="auto"/>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012302050020011</w:t>
            </w: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Pr>
          <w:p w14:paraId="2729FE67">
            <w:pPr>
              <w:spacing w:line="360" w:lineRule="auto"/>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多普勒检查（颅内血管）-特殊方式检查（加收）</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76FCA">
            <w:pPr>
              <w:widowControl/>
              <w:jc w:val="center"/>
              <w:textAlignment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96</w:t>
            </w:r>
          </w:p>
        </w:tc>
      </w:tr>
      <w:tr w14:paraId="2F4264B4">
        <w:tblPrEx>
          <w:tblCellMar>
            <w:top w:w="0" w:type="dxa"/>
            <w:left w:w="108" w:type="dxa"/>
            <w:bottom w:w="0" w:type="dxa"/>
            <w:right w:w="108" w:type="dxa"/>
          </w:tblCellMar>
        </w:tblPrEx>
        <w:trPr>
          <w:trHeight w:val="375" w:hRule="atLeast"/>
        </w:trPr>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EE50F">
            <w:pPr>
              <w:widowControl/>
              <w:jc w:val="center"/>
              <w:textAlignment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神经内一科</w:t>
            </w:r>
          </w:p>
        </w:tc>
        <w:tc>
          <w:tcPr>
            <w:tcW w:w="2164" w:type="dxa"/>
            <w:tcBorders>
              <w:top w:val="single" w:color="000000" w:sz="4" w:space="0"/>
              <w:left w:val="single" w:color="000000" w:sz="4" w:space="0"/>
              <w:bottom w:val="single" w:color="000000" w:sz="4" w:space="0"/>
              <w:right w:val="single" w:color="000000" w:sz="4" w:space="0"/>
            </w:tcBorders>
            <w:shd w:val="clear" w:color="auto" w:fill="auto"/>
            <w:noWrap/>
          </w:tcPr>
          <w:p w14:paraId="022EEC31">
            <w:pPr>
              <w:spacing w:line="360" w:lineRule="auto"/>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012302050021100</w:t>
            </w: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Pr>
          <w:p w14:paraId="2CBD81BF">
            <w:pPr>
              <w:spacing w:line="360" w:lineRule="auto"/>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多普勒检查（颅内血管）-栓子监测（扩展）</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9DC70">
            <w:pPr>
              <w:widowControl/>
              <w:jc w:val="center"/>
              <w:textAlignment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130</w:t>
            </w:r>
          </w:p>
        </w:tc>
      </w:tr>
    </w:tbl>
    <w:p w14:paraId="33135F40">
      <w:pPr>
        <w:pStyle w:val="3"/>
        <w:rPr>
          <w:rFonts w:hint="eastAsia" w:ascii="仿宋" w:hAnsi="仿宋" w:eastAsia="仿宋" w:cs="仿宋"/>
          <w:color w:val="auto"/>
          <w:sz w:val="24"/>
          <w:highlight w:val="none"/>
          <w:lang w:eastAsia="zh-CN"/>
        </w:rPr>
      </w:pPr>
    </w:p>
    <w:p w14:paraId="1D6F4F78">
      <w:pPr>
        <w:numPr>
          <w:ilvl w:val="0"/>
          <w:numId w:val="1"/>
        </w:numPr>
        <w:spacing w:line="440" w:lineRule="exact"/>
        <w:rPr>
          <w:rFonts w:ascii="宋体" w:hAnsi="宋体" w:eastAsia="宋体" w:cs="宋体"/>
          <w:b/>
          <w:color w:val="auto"/>
          <w:szCs w:val="21"/>
          <w:highlight w:val="none"/>
        </w:rPr>
      </w:pPr>
      <w:r>
        <w:rPr>
          <w:rFonts w:hint="eastAsia" w:ascii="宋体" w:hAnsi="宋体" w:eastAsia="宋体" w:cs="宋体"/>
          <w:b/>
          <w:color w:val="auto"/>
          <w:szCs w:val="21"/>
          <w:highlight w:val="none"/>
        </w:rPr>
        <w:t>技术参数：</w:t>
      </w:r>
    </w:p>
    <w:p w14:paraId="5E9D0572">
      <w:pPr>
        <w:spacing w:line="360" w:lineRule="auto"/>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1、硬件指标：</w:t>
      </w:r>
      <w:r>
        <w:rPr>
          <w:rFonts w:ascii="宋体" w:hAnsi="宋体" w:eastAsia="宋体" w:cs="宋体"/>
          <w:b/>
          <w:bCs/>
          <w:color w:val="auto"/>
          <w:kern w:val="0"/>
          <w:szCs w:val="21"/>
          <w:highlight w:val="none"/>
        </w:rPr>
        <w:tab/>
      </w:r>
    </w:p>
    <w:p w14:paraId="71B47403">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（1）便携一体式主机、</w:t>
      </w:r>
      <w:r>
        <w:rPr>
          <w:rFonts w:ascii="宋体" w:hAnsi="宋体" w:eastAsia="宋体" w:cs="宋体"/>
          <w:color w:val="auto"/>
          <w:kern w:val="0"/>
          <w:szCs w:val="21"/>
          <w:highlight w:val="none"/>
        </w:rPr>
        <w:t>Windows</w:t>
      </w:r>
      <w:r>
        <w:rPr>
          <w:rFonts w:hint="eastAsia" w:ascii="宋体" w:hAnsi="宋体" w:eastAsia="宋体" w:cs="宋体"/>
          <w:color w:val="auto"/>
          <w:kern w:val="0"/>
          <w:szCs w:val="21"/>
          <w:highlight w:val="none"/>
        </w:rPr>
        <w:t>10或以上</w:t>
      </w:r>
      <w:r>
        <w:rPr>
          <w:rFonts w:ascii="宋体" w:hAnsi="宋体" w:eastAsia="宋体" w:cs="宋体"/>
          <w:color w:val="auto"/>
          <w:kern w:val="0"/>
          <w:szCs w:val="21"/>
          <w:highlight w:val="none"/>
        </w:rPr>
        <w:t>系统平台，支持触摸屏操作</w:t>
      </w:r>
      <w:r>
        <w:rPr>
          <w:rFonts w:hint="eastAsia" w:ascii="宋体" w:hAnsi="宋体" w:eastAsia="宋体" w:cs="宋体"/>
          <w:color w:val="auto"/>
          <w:kern w:val="0"/>
          <w:szCs w:val="21"/>
          <w:highlight w:val="none"/>
        </w:rPr>
        <w:t>，支持两个千兆网卡、WIFI、蓝牙等功能</w:t>
      </w:r>
      <w:r>
        <w:rPr>
          <w:rFonts w:ascii="宋体" w:hAnsi="宋体" w:eastAsia="宋体" w:cs="宋体"/>
          <w:color w:val="auto"/>
          <w:kern w:val="0"/>
          <w:szCs w:val="21"/>
          <w:highlight w:val="none"/>
        </w:rPr>
        <w:t>。</w:t>
      </w:r>
    </w:p>
    <w:p w14:paraId="1F049592">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ascii="宋体" w:hAnsi="宋体" w:eastAsia="宋体" w:cs="宋体"/>
          <w:color w:val="auto"/>
          <w:kern w:val="0"/>
          <w:szCs w:val="21"/>
          <w:highlight w:val="none"/>
        </w:rPr>
        <w:t>支持1M、1.6MHz</w:t>
      </w:r>
      <w:r>
        <w:rPr>
          <w:rFonts w:hint="eastAsia" w:ascii="宋体" w:hAnsi="宋体" w:eastAsia="宋体" w:cs="宋体"/>
          <w:color w:val="auto"/>
          <w:kern w:val="0"/>
          <w:szCs w:val="21"/>
          <w:highlight w:val="none"/>
          <w:lang w:val="en-US" w:eastAsia="zh-CN"/>
        </w:rPr>
        <w:t>或</w:t>
      </w:r>
      <w:r>
        <w:rPr>
          <w:rFonts w:ascii="宋体" w:hAnsi="宋体" w:eastAsia="宋体" w:cs="宋体"/>
          <w:color w:val="auto"/>
          <w:kern w:val="0"/>
          <w:szCs w:val="21"/>
          <w:highlight w:val="none"/>
        </w:rPr>
        <w:t>2MHz、4MHz、8MHz</w:t>
      </w:r>
      <w:r>
        <w:rPr>
          <w:rFonts w:hint="eastAsia" w:ascii="宋体" w:hAnsi="宋体" w:eastAsia="宋体" w:cs="宋体"/>
          <w:color w:val="auto"/>
          <w:kern w:val="0"/>
          <w:szCs w:val="21"/>
          <w:highlight w:val="none"/>
        </w:rPr>
        <w:t>、1</w:t>
      </w:r>
      <w:r>
        <w:rPr>
          <w:rFonts w:ascii="宋体" w:hAnsi="宋体" w:eastAsia="宋体" w:cs="宋体"/>
          <w:color w:val="auto"/>
          <w:kern w:val="0"/>
          <w:szCs w:val="21"/>
          <w:highlight w:val="none"/>
        </w:rPr>
        <w:t>6</w:t>
      </w:r>
      <w:r>
        <w:rPr>
          <w:rFonts w:hint="eastAsia" w:ascii="宋体" w:hAnsi="宋体" w:eastAsia="宋体" w:cs="宋体"/>
          <w:color w:val="auto"/>
          <w:kern w:val="0"/>
          <w:szCs w:val="21"/>
          <w:highlight w:val="none"/>
        </w:rPr>
        <w:t>MHz</w:t>
      </w:r>
      <w:r>
        <w:rPr>
          <w:rFonts w:ascii="宋体" w:hAnsi="宋体" w:eastAsia="宋体" w:cs="宋体"/>
          <w:color w:val="auto"/>
          <w:kern w:val="0"/>
          <w:szCs w:val="21"/>
          <w:highlight w:val="none"/>
        </w:rPr>
        <w:t>频率段</w:t>
      </w:r>
      <w:r>
        <w:rPr>
          <w:rFonts w:hint="eastAsia" w:ascii="宋体" w:hAnsi="宋体" w:eastAsia="宋体" w:cs="宋体"/>
          <w:color w:val="auto"/>
          <w:kern w:val="0"/>
          <w:szCs w:val="21"/>
          <w:highlight w:val="none"/>
          <w:lang w:val="en-US" w:eastAsia="zh-CN"/>
        </w:rPr>
        <w:t>手持</w:t>
      </w:r>
      <w:r>
        <w:rPr>
          <w:rFonts w:ascii="宋体" w:hAnsi="宋体" w:eastAsia="宋体" w:cs="宋体"/>
          <w:color w:val="auto"/>
          <w:kern w:val="0"/>
          <w:szCs w:val="21"/>
          <w:highlight w:val="none"/>
        </w:rPr>
        <w:t>探头。</w:t>
      </w:r>
    </w:p>
    <w:p w14:paraId="37F067C2">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ascii="宋体" w:hAnsi="宋体" w:eastAsia="宋体" w:cs="宋体"/>
          <w:color w:val="auto"/>
          <w:kern w:val="0"/>
          <w:szCs w:val="21"/>
          <w:highlight w:val="none"/>
        </w:rPr>
        <w:t>至少具备</w:t>
      </w:r>
      <w:r>
        <w:rPr>
          <w:rFonts w:hint="eastAsia" w:ascii="宋体" w:hAnsi="宋体" w:eastAsia="宋体" w:cs="宋体"/>
          <w:color w:val="auto"/>
          <w:kern w:val="0"/>
          <w:szCs w:val="21"/>
          <w:highlight w:val="none"/>
          <w:lang w:val="en-US" w:eastAsia="zh-CN"/>
        </w:rPr>
        <w:t>≥4个</w:t>
      </w:r>
      <w:r>
        <w:rPr>
          <w:rFonts w:ascii="宋体" w:hAnsi="宋体" w:eastAsia="宋体" w:cs="宋体"/>
          <w:color w:val="auto"/>
          <w:kern w:val="0"/>
          <w:szCs w:val="21"/>
          <w:highlight w:val="none"/>
        </w:rPr>
        <w:t>有效探头接口。</w:t>
      </w:r>
    </w:p>
    <w:p w14:paraId="580B98A3">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ascii="宋体" w:hAnsi="宋体" w:eastAsia="宋体" w:cs="宋体"/>
          <w:color w:val="auto"/>
          <w:kern w:val="0"/>
          <w:szCs w:val="21"/>
          <w:highlight w:val="none"/>
        </w:rPr>
        <w:t>支持1.6MHz</w:t>
      </w:r>
      <w:r>
        <w:rPr>
          <w:rFonts w:hint="eastAsia" w:ascii="宋体" w:hAnsi="宋体" w:eastAsia="宋体" w:cs="宋体"/>
          <w:color w:val="auto"/>
          <w:kern w:val="0"/>
          <w:szCs w:val="21"/>
          <w:highlight w:val="none"/>
          <w:lang w:val="en-US" w:eastAsia="zh-CN"/>
        </w:rPr>
        <w:t>或2MHz</w:t>
      </w:r>
      <w:r>
        <w:rPr>
          <w:rFonts w:ascii="宋体" w:hAnsi="宋体" w:eastAsia="宋体" w:cs="宋体"/>
          <w:color w:val="auto"/>
          <w:kern w:val="0"/>
          <w:szCs w:val="21"/>
          <w:highlight w:val="none"/>
        </w:rPr>
        <w:t>监护探头，并搭配监护头架使用。</w:t>
      </w:r>
    </w:p>
    <w:p w14:paraId="0182286A">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r>
        <w:rPr>
          <w:rFonts w:ascii="宋体" w:hAnsi="宋体" w:eastAsia="宋体" w:cs="宋体"/>
          <w:color w:val="auto"/>
          <w:kern w:val="0"/>
          <w:szCs w:val="21"/>
          <w:highlight w:val="none"/>
        </w:rPr>
        <w:t>1.6</w:t>
      </w:r>
      <w:r>
        <w:rPr>
          <w:rFonts w:hint="eastAsia" w:ascii="宋体" w:hAnsi="宋体" w:eastAsia="宋体" w:cs="宋体"/>
          <w:color w:val="auto"/>
          <w:kern w:val="0"/>
          <w:szCs w:val="21"/>
          <w:highlight w:val="none"/>
        </w:rPr>
        <w:t>MHz</w:t>
      </w:r>
      <w:r>
        <w:rPr>
          <w:rFonts w:hint="eastAsia" w:ascii="宋体" w:hAnsi="宋体" w:eastAsia="宋体" w:cs="宋体"/>
          <w:color w:val="auto"/>
          <w:kern w:val="0"/>
          <w:szCs w:val="21"/>
          <w:highlight w:val="none"/>
          <w:lang w:val="en-US" w:eastAsia="zh-CN"/>
        </w:rPr>
        <w:t>手持</w:t>
      </w:r>
      <w:r>
        <w:rPr>
          <w:rFonts w:hint="eastAsia" w:ascii="宋体" w:hAnsi="宋体" w:eastAsia="宋体" w:cs="宋体"/>
          <w:color w:val="auto"/>
          <w:kern w:val="0"/>
          <w:szCs w:val="21"/>
          <w:highlight w:val="none"/>
        </w:rPr>
        <w:t>探头工作距离范围</w:t>
      </w:r>
      <w:r>
        <w:rPr>
          <w:rFonts w:ascii="宋体" w:hAnsi="宋体" w:eastAsia="宋体" w:cs="宋体"/>
          <w:color w:val="auto"/>
          <w:kern w:val="0"/>
          <w:szCs w:val="21"/>
          <w:highlight w:val="none"/>
        </w:rPr>
        <w:t>≥</w:t>
      </w:r>
      <w:r>
        <w:rPr>
          <w:rFonts w:hint="eastAsia" w:ascii="宋体" w:hAnsi="宋体" w:eastAsia="宋体" w:cs="宋体"/>
          <w:color w:val="auto"/>
          <w:kern w:val="0"/>
          <w:szCs w:val="21"/>
          <w:highlight w:val="none"/>
        </w:rPr>
        <w:t>150mm，</w:t>
      </w:r>
      <w:r>
        <w:rPr>
          <w:rFonts w:hint="eastAsia" w:ascii="宋体" w:hAnsi="宋体" w:eastAsia="宋体" w:cs="宋体"/>
          <w:color w:val="auto"/>
          <w:kern w:val="0"/>
          <w:szCs w:val="21"/>
          <w:highlight w:val="none"/>
          <w:lang w:val="en-US" w:eastAsia="zh-CN"/>
        </w:rPr>
        <w:t>或2MHz手持</w:t>
      </w:r>
      <w:r>
        <w:rPr>
          <w:rFonts w:hint="eastAsia" w:ascii="宋体" w:hAnsi="宋体" w:eastAsia="宋体" w:cs="宋体"/>
          <w:color w:val="auto"/>
          <w:kern w:val="0"/>
          <w:szCs w:val="21"/>
          <w:highlight w:val="none"/>
        </w:rPr>
        <w:t>探头工作距离范围</w:t>
      </w:r>
      <w:r>
        <w:rPr>
          <w:rFonts w:ascii="宋体" w:hAnsi="宋体" w:eastAsia="宋体" w:cs="宋体"/>
          <w:color w:val="auto"/>
          <w:kern w:val="0"/>
          <w:szCs w:val="21"/>
          <w:highlight w:val="none"/>
        </w:rPr>
        <w:t>≥</w:t>
      </w:r>
      <w:r>
        <w:rPr>
          <w:rFonts w:hint="eastAsia" w:ascii="宋体" w:hAnsi="宋体" w:eastAsia="宋体" w:cs="宋体"/>
          <w:color w:val="auto"/>
          <w:kern w:val="0"/>
          <w:szCs w:val="21"/>
          <w:highlight w:val="none"/>
        </w:rPr>
        <w:t>1</w:t>
      </w:r>
      <w:r>
        <w:rPr>
          <w:rFonts w:hint="eastAsia" w:ascii="宋体" w:hAnsi="宋体" w:eastAsia="宋体" w:cs="宋体"/>
          <w:color w:val="auto"/>
          <w:kern w:val="0"/>
          <w:szCs w:val="21"/>
          <w:highlight w:val="none"/>
          <w:lang w:val="en-US" w:eastAsia="zh-CN"/>
        </w:rPr>
        <w:t>8</w:t>
      </w:r>
      <w:r>
        <w:rPr>
          <w:rFonts w:hint="eastAsia" w:ascii="宋体" w:hAnsi="宋体" w:eastAsia="宋体" w:cs="宋体"/>
          <w:color w:val="auto"/>
          <w:kern w:val="0"/>
          <w:szCs w:val="21"/>
          <w:highlight w:val="none"/>
        </w:rPr>
        <w:t>0mm</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4MHz探头工作距离范围</w:t>
      </w:r>
      <w:r>
        <w:rPr>
          <w:rFonts w:ascii="宋体" w:hAnsi="宋体" w:eastAsia="宋体" w:cs="宋体"/>
          <w:color w:val="auto"/>
          <w:kern w:val="0"/>
          <w:szCs w:val="21"/>
          <w:highlight w:val="none"/>
        </w:rPr>
        <w:t>≥</w:t>
      </w:r>
      <w:r>
        <w:rPr>
          <w:rFonts w:hint="eastAsia" w:ascii="宋体" w:hAnsi="宋体" w:eastAsia="宋体" w:cs="宋体"/>
          <w:color w:val="auto"/>
          <w:kern w:val="0"/>
          <w:szCs w:val="21"/>
          <w:highlight w:val="none"/>
        </w:rPr>
        <w:t>8</w:t>
      </w:r>
      <w:r>
        <w:rPr>
          <w:rFonts w:ascii="宋体" w:hAnsi="宋体" w:eastAsia="宋体" w:cs="宋体"/>
          <w:color w:val="auto"/>
          <w:kern w:val="0"/>
          <w:szCs w:val="21"/>
          <w:highlight w:val="none"/>
        </w:rPr>
        <w:t>5</w:t>
      </w:r>
      <w:r>
        <w:rPr>
          <w:rFonts w:hint="eastAsia" w:ascii="宋体" w:hAnsi="宋体" w:eastAsia="宋体" w:cs="宋体"/>
          <w:color w:val="auto"/>
          <w:kern w:val="0"/>
          <w:szCs w:val="21"/>
          <w:highlight w:val="none"/>
        </w:rPr>
        <w:t>mm</w:t>
      </w:r>
      <w:r>
        <w:rPr>
          <w:rFonts w:hint="eastAsia" w:ascii="宋体" w:hAnsi="宋体" w:eastAsia="宋体" w:cs="宋体"/>
          <w:color w:val="auto"/>
          <w:kern w:val="0"/>
          <w:szCs w:val="21"/>
          <w:highlight w:val="none"/>
          <w:lang w:eastAsia="zh-CN"/>
        </w:rPr>
        <w:t>；</w:t>
      </w:r>
      <w:r>
        <w:rPr>
          <w:rFonts w:ascii="宋体" w:hAnsi="宋体" w:eastAsia="宋体" w:cs="宋体"/>
          <w:color w:val="auto"/>
          <w:kern w:val="0"/>
          <w:szCs w:val="21"/>
          <w:highlight w:val="none"/>
        </w:rPr>
        <w:t>8</w:t>
      </w:r>
      <w:r>
        <w:rPr>
          <w:rFonts w:hint="eastAsia" w:ascii="宋体" w:hAnsi="宋体" w:eastAsia="宋体" w:cs="宋体"/>
          <w:color w:val="auto"/>
          <w:kern w:val="0"/>
          <w:szCs w:val="21"/>
          <w:highlight w:val="none"/>
        </w:rPr>
        <w:t>MHz探头工作距离范围</w:t>
      </w:r>
      <w:r>
        <w:rPr>
          <w:rFonts w:ascii="宋体" w:hAnsi="宋体" w:eastAsia="宋体" w:cs="宋体"/>
          <w:color w:val="auto"/>
          <w:kern w:val="0"/>
          <w:szCs w:val="21"/>
          <w:highlight w:val="none"/>
        </w:rPr>
        <w:t>≥35</w:t>
      </w:r>
      <w:r>
        <w:rPr>
          <w:rFonts w:hint="eastAsia" w:ascii="宋体" w:hAnsi="宋体" w:eastAsia="宋体" w:cs="宋体"/>
          <w:color w:val="auto"/>
          <w:kern w:val="0"/>
          <w:szCs w:val="21"/>
          <w:highlight w:val="none"/>
        </w:rPr>
        <w:t>mm。</w:t>
      </w:r>
    </w:p>
    <w:p w14:paraId="1AB9F0BD">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（6）专业操控小键盘，无需额外电池供电，可</w:t>
      </w:r>
      <w:r>
        <w:rPr>
          <w:rFonts w:ascii="宋体" w:hAnsi="宋体" w:eastAsia="宋体" w:cs="宋体"/>
          <w:color w:val="auto"/>
          <w:kern w:val="0"/>
          <w:szCs w:val="21"/>
          <w:highlight w:val="none"/>
        </w:rPr>
        <w:t>USB直连主机，任何角度都能灵敏操控，具有自定义按键功能。</w:t>
      </w:r>
    </w:p>
    <w:p w14:paraId="0C326BE6">
      <w:pPr>
        <w:spacing w:line="360" w:lineRule="auto"/>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2、软件要求：</w:t>
      </w:r>
      <w:r>
        <w:rPr>
          <w:rFonts w:ascii="宋体" w:hAnsi="宋体" w:eastAsia="宋体" w:cs="宋体"/>
          <w:b/>
          <w:bCs/>
          <w:color w:val="auto"/>
          <w:kern w:val="0"/>
          <w:szCs w:val="21"/>
          <w:highlight w:val="none"/>
        </w:rPr>
        <w:tab/>
      </w:r>
    </w:p>
    <w:p w14:paraId="4ADD3880">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ascii="宋体" w:hAnsi="宋体" w:eastAsia="宋体" w:cs="宋体"/>
          <w:color w:val="auto"/>
          <w:kern w:val="0"/>
          <w:szCs w:val="21"/>
          <w:highlight w:val="none"/>
        </w:rPr>
        <w:t>FFT点数设置:频谱分析点数可调，支持64、128、256、512、1024、2048</w:t>
      </w:r>
      <w:r>
        <w:rPr>
          <w:rFonts w:hint="eastAsia" w:ascii="宋体" w:hAnsi="宋体" w:eastAsia="宋体" w:cs="宋体"/>
          <w:color w:val="auto"/>
          <w:kern w:val="0"/>
          <w:szCs w:val="21"/>
          <w:highlight w:val="none"/>
        </w:rPr>
        <w:t>。</w:t>
      </w:r>
    </w:p>
    <w:p w14:paraId="13B9691B">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ascii="宋体" w:hAnsi="宋体" w:eastAsia="宋体" w:cs="宋体"/>
          <w:color w:val="auto"/>
          <w:kern w:val="0"/>
          <w:szCs w:val="21"/>
          <w:highlight w:val="none"/>
        </w:rPr>
        <w:t>速度量程：使用1.6M</w:t>
      </w:r>
      <w:r>
        <w:rPr>
          <w:rFonts w:hint="eastAsia" w:ascii="宋体" w:hAnsi="宋体" w:eastAsia="宋体" w:cs="宋体"/>
          <w:color w:val="auto"/>
          <w:kern w:val="0"/>
          <w:szCs w:val="21"/>
          <w:highlight w:val="none"/>
          <w:lang w:val="en-US" w:eastAsia="zh-CN"/>
        </w:rPr>
        <w:t>Hz或2MHz</w:t>
      </w:r>
      <w:r>
        <w:rPr>
          <w:rFonts w:ascii="宋体" w:hAnsi="宋体" w:eastAsia="宋体" w:cs="宋体"/>
          <w:color w:val="auto"/>
          <w:kern w:val="0"/>
          <w:szCs w:val="21"/>
          <w:highlight w:val="none"/>
        </w:rPr>
        <w:t>探头（无角度补偿）</w:t>
      </w:r>
      <w:r>
        <w:rPr>
          <w:rFonts w:hint="eastAsia" w:ascii="宋体" w:hAnsi="宋体" w:eastAsia="宋体" w:cs="宋体"/>
          <w:color w:val="auto"/>
          <w:kern w:val="0"/>
          <w:szCs w:val="21"/>
          <w:highlight w:val="none"/>
          <w:lang w:eastAsia="zh-CN"/>
        </w:rPr>
        <w:t>。</w:t>
      </w:r>
      <w:r>
        <w:rPr>
          <w:rFonts w:ascii="宋体" w:hAnsi="宋体" w:eastAsia="宋体" w:cs="宋体"/>
          <w:color w:val="auto"/>
          <w:kern w:val="0"/>
          <w:szCs w:val="21"/>
          <w:highlight w:val="none"/>
        </w:rPr>
        <w:t>1.6M</w:t>
      </w:r>
      <w:r>
        <w:rPr>
          <w:rFonts w:hint="eastAsia" w:ascii="宋体" w:hAnsi="宋体" w:eastAsia="宋体" w:cs="宋体"/>
          <w:color w:val="auto"/>
          <w:kern w:val="0"/>
          <w:szCs w:val="21"/>
          <w:highlight w:val="none"/>
          <w:lang w:val="en-US" w:eastAsia="zh-CN"/>
        </w:rPr>
        <w:t>Hz：</w:t>
      </w:r>
      <w:r>
        <w:rPr>
          <w:rFonts w:ascii="宋体" w:hAnsi="宋体" w:eastAsia="宋体" w:cs="宋体"/>
          <w:color w:val="auto"/>
          <w:kern w:val="0"/>
          <w:szCs w:val="21"/>
          <w:highlight w:val="none"/>
        </w:rPr>
        <w:t>50mm深度时,单向最大速度量程能达到720cm/s以上</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在68mm深度,采用10mm的采样容积,速度量程可达到600cm/s以上。</w:t>
      </w:r>
      <w:r>
        <w:rPr>
          <w:rFonts w:hint="eastAsia" w:ascii="宋体" w:hAnsi="宋体" w:eastAsia="宋体" w:cs="宋体"/>
          <w:color w:val="auto"/>
          <w:kern w:val="0"/>
          <w:szCs w:val="21"/>
          <w:highlight w:val="none"/>
          <w:lang w:val="en-US" w:eastAsia="zh-CN"/>
        </w:rPr>
        <w:t>2MHz：</w:t>
      </w:r>
      <w:r>
        <w:rPr>
          <w:rFonts w:ascii="宋体" w:hAnsi="宋体" w:eastAsia="宋体" w:cs="宋体"/>
          <w:color w:val="auto"/>
          <w:kern w:val="0"/>
          <w:szCs w:val="21"/>
          <w:highlight w:val="none"/>
        </w:rPr>
        <w:t>50mm深度时,单向最大速度量程能达到</w:t>
      </w:r>
      <w:r>
        <w:rPr>
          <w:rFonts w:hint="eastAsia" w:ascii="宋体" w:hAnsi="宋体" w:eastAsia="宋体" w:cs="宋体"/>
          <w:color w:val="auto"/>
          <w:kern w:val="0"/>
          <w:szCs w:val="21"/>
          <w:highlight w:val="none"/>
          <w:lang w:val="en-US" w:eastAsia="zh-CN"/>
        </w:rPr>
        <w:t>1300</w:t>
      </w:r>
      <w:r>
        <w:rPr>
          <w:rFonts w:ascii="宋体" w:hAnsi="宋体" w:eastAsia="宋体" w:cs="宋体"/>
          <w:color w:val="auto"/>
          <w:kern w:val="0"/>
          <w:szCs w:val="21"/>
          <w:highlight w:val="none"/>
        </w:rPr>
        <w:t>cm/s以上</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在68mm深度,采用10mm的采样容积,速度量程可达到</w:t>
      </w:r>
      <w:r>
        <w:rPr>
          <w:rFonts w:hint="eastAsia" w:ascii="宋体" w:hAnsi="宋体" w:eastAsia="宋体" w:cs="宋体"/>
          <w:color w:val="auto"/>
          <w:kern w:val="0"/>
          <w:szCs w:val="21"/>
          <w:highlight w:val="none"/>
          <w:lang w:val="en-US" w:eastAsia="zh-CN"/>
        </w:rPr>
        <w:t>1300</w:t>
      </w:r>
      <w:r>
        <w:rPr>
          <w:rFonts w:ascii="宋体" w:hAnsi="宋体" w:eastAsia="宋体" w:cs="宋体"/>
          <w:color w:val="auto"/>
          <w:kern w:val="0"/>
          <w:szCs w:val="21"/>
          <w:highlight w:val="none"/>
        </w:rPr>
        <w:t>cm/s以上。</w:t>
      </w:r>
    </w:p>
    <w:p w14:paraId="6CD18C02">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ascii="宋体" w:hAnsi="宋体" w:eastAsia="宋体" w:cs="宋体"/>
          <w:color w:val="auto"/>
          <w:kern w:val="0"/>
          <w:szCs w:val="21"/>
          <w:highlight w:val="none"/>
        </w:rPr>
        <w:t>检测参数：需包括Peak（Vs）、Dias（Vd）、Mean（Vm）、PI、RI、S/D、HR、HITS、TI、DFI（脑死亡血流指数）、 lindegaard指数</w:t>
      </w:r>
      <w:r>
        <w:rPr>
          <w:rFonts w:hint="eastAsia" w:ascii="宋体" w:hAnsi="宋体" w:eastAsia="宋体" w:cs="宋体"/>
          <w:color w:val="auto"/>
          <w:kern w:val="0"/>
          <w:szCs w:val="21"/>
          <w:highlight w:val="none"/>
        </w:rPr>
        <w:t>。</w:t>
      </w:r>
    </w:p>
    <w:p w14:paraId="12526BAA">
      <w:pPr>
        <w:numPr>
          <w:ilvl w:val="0"/>
          <w:numId w:val="0"/>
        </w:numPr>
        <w:spacing w:after="156" w:afterLines="50" w:line="360" w:lineRule="auto"/>
        <w:ind w:leftChars="0"/>
        <w:jc w:val="left"/>
        <w:rPr>
          <w:rFonts w:ascii="宋体" w:hAnsi="宋体" w:eastAsia="宋体" w:cs="宋体"/>
          <w:b/>
          <w:bCs/>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eastAsia="宋体" w:cs="宋体"/>
          <w:bCs/>
          <w:color w:val="auto"/>
          <w:szCs w:val="21"/>
          <w:highlight w:val="none"/>
        </w:rPr>
        <w:t>▲</w:t>
      </w:r>
      <w:r>
        <w:rPr>
          <w:rFonts w:ascii="宋体" w:hAnsi="宋体" w:eastAsia="宋体" w:cs="宋体"/>
          <w:color w:val="auto"/>
          <w:kern w:val="0"/>
          <w:szCs w:val="21"/>
          <w:highlight w:val="none"/>
        </w:rPr>
        <w:t>双通道模式：双侧血流速度量程、深度、取样容积均可单独调节；单通道检查支持同步显示≥10个深度的频谱图，双通道同步显示≥12个深度的频谱图，并可以选择任意深度频谱放大并保存。</w:t>
      </w:r>
      <w:r>
        <w:rPr>
          <w:rFonts w:hint="eastAsia" w:ascii="宋体" w:hAnsi="宋体" w:eastAsia="宋体" w:cs="宋体"/>
          <w:b/>
          <w:bCs/>
          <w:color w:val="auto"/>
          <w:kern w:val="0"/>
          <w:szCs w:val="21"/>
          <w:highlight w:val="none"/>
          <w:lang w:eastAsia="zh-CN"/>
        </w:rPr>
        <w:t>（</w:t>
      </w:r>
      <w:r>
        <w:rPr>
          <w:b/>
          <w:bCs/>
          <w:color w:val="auto"/>
          <w:highlight w:val="none"/>
        </w:rPr>
        <w:t>提供投标产品彩页或相应技术参数的厂家使用说明书等作为技术证明文件</w:t>
      </w:r>
      <w:r>
        <w:rPr>
          <w:rFonts w:hint="eastAsia" w:ascii="宋体" w:hAnsi="宋体" w:eastAsia="宋体" w:cs="宋体"/>
          <w:b/>
          <w:bCs/>
          <w:color w:val="auto"/>
          <w:kern w:val="0"/>
          <w:szCs w:val="21"/>
          <w:highlight w:val="none"/>
          <w:lang w:eastAsia="zh-CN"/>
        </w:rPr>
        <w:t>）</w:t>
      </w:r>
    </w:p>
    <w:p w14:paraId="66FB9725">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（5）标识功能</w:t>
      </w:r>
      <w:r>
        <w:rPr>
          <w:rFonts w:ascii="宋体" w:hAnsi="宋体" w:eastAsia="宋体" w:cs="宋体"/>
          <w:color w:val="auto"/>
          <w:kern w:val="0"/>
          <w:szCs w:val="21"/>
          <w:highlight w:val="none"/>
        </w:rPr>
        <w:t>：标识当前信号噪声处理状态。</w:t>
      </w:r>
    </w:p>
    <w:p w14:paraId="0E19EF00">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（6）</w:t>
      </w:r>
      <w:r>
        <w:rPr>
          <w:rFonts w:ascii="宋体" w:hAnsi="宋体" w:eastAsia="宋体" w:cs="宋体"/>
          <w:color w:val="auto"/>
          <w:kern w:val="0"/>
          <w:szCs w:val="21"/>
          <w:highlight w:val="none"/>
        </w:rPr>
        <w:t>高通滤波：支持0-2700Hz可调，支持自动滤波功能。</w:t>
      </w:r>
    </w:p>
    <w:p w14:paraId="7C0E1FE4">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（7）</w:t>
      </w:r>
      <w:r>
        <w:rPr>
          <w:rFonts w:ascii="宋体" w:hAnsi="宋体" w:eastAsia="宋体" w:cs="宋体"/>
          <w:color w:val="auto"/>
          <w:kern w:val="0"/>
          <w:szCs w:val="21"/>
          <w:highlight w:val="none"/>
        </w:rPr>
        <w:t>基线自适应调节：基线会根据血流速度的增加、减少，进行自适应调整</w:t>
      </w:r>
      <w:r>
        <w:rPr>
          <w:rFonts w:hint="eastAsia" w:ascii="宋体" w:hAnsi="宋体" w:eastAsia="宋体" w:cs="宋体"/>
          <w:color w:val="auto"/>
          <w:kern w:val="0"/>
          <w:szCs w:val="21"/>
          <w:highlight w:val="none"/>
        </w:rPr>
        <w:t>。</w:t>
      </w:r>
    </w:p>
    <w:p w14:paraId="6D4ADE6B">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（8）</w:t>
      </w:r>
      <w:r>
        <w:rPr>
          <w:rFonts w:ascii="宋体" w:hAnsi="宋体" w:eastAsia="宋体" w:cs="宋体"/>
          <w:color w:val="auto"/>
          <w:kern w:val="0"/>
          <w:szCs w:val="21"/>
          <w:highlight w:val="none"/>
        </w:rPr>
        <w:t>标尺自适应调节：速度量程会根据血流速度的增加、减少，进行自动的切换和调整</w:t>
      </w:r>
      <w:r>
        <w:rPr>
          <w:rFonts w:hint="eastAsia" w:ascii="宋体" w:hAnsi="宋体" w:eastAsia="宋体" w:cs="宋体"/>
          <w:color w:val="auto"/>
          <w:kern w:val="0"/>
          <w:szCs w:val="21"/>
          <w:highlight w:val="none"/>
        </w:rPr>
        <w:t>。</w:t>
      </w:r>
    </w:p>
    <w:p w14:paraId="4FDB9F35">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（9）</w:t>
      </w:r>
      <w:r>
        <w:rPr>
          <w:rFonts w:ascii="宋体" w:hAnsi="宋体" w:eastAsia="宋体" w:cs="宋体"/>
          <w:color w:val="auto"/>
          <w:kern w:val="0"/>
          <w:szCs w:val="21"/>
          <w:highlight w:val="none"/>
        </w:rPr>
        <w:t>精准化包络功能：支持精准化包络，包络位置及相关测量数值只与频谱信号相关，不受背景噪声和增益大小影响。</w:t>
      </w:r>
    </w:p>
    <w:p w14:paraId="59C67D33">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r>
        <w:rPr>
          <w:rFonts w:ascii="宋体" w:hAnsi="宋体" w:eastAsia="宋体" w:cs="宋体"/>
          <w:color w:val="auto"/>
          <w:kern w:val="0"/>
          <w:szCs w:val="21"/>
          <w:highlight w:val="none"/>
        </w:rPr>
        <w:t>探头自动休眠：支持探头自动休眠功能，可自定义设置探头休眠时长，在空闲时自动休眠</w:t>
      </w:r>
      <w:r>
        <w:rPr>
          <w:rFonts w:hint="eastAsia" w:ascii="宋体" w:hAnsi="宋体" w:eastAsia="宋体" w:cs="宋体"/>
          <w:color w:val="auto"/>
          <w:kern w:val="0"/>
          <w:szCs w:val="21"/>
          <w:highlight w:val="none"/>
        </w:rPr>
        <w:t>。</w:t>
      </w:r>
    </w:p>
    <w:p w14:paraId="18477A4D">
      <w:pPr>
        <w:pStyle w:val="2"/>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（11）</w:t>
      </w:r>
      <w:r>
        <w:rPr>
          <w:rFonts w:ascii="宋体" w:hAnsi="宋体" w:eastAsia="宋体" w:cs="宋体"/>
          <w:color w:val="auto"/>
          <w:kern w:val="0"/>
          <w:szCs w:val="21"/>
          <w:highlight w:val="none"/>
        </w:rPr>
        <w:t>支持自动计算基于TCD的</w:t>
      </w:r>
      <w:r>
        <w:rPr>
          <w:rFonts w:hint="eastAsia"/>
          <w:color w:val="auto"/>
          <w:highlight w:val="none"/>
          <w:lang w:val="en-US" w:eastAsia="zh-CN"/>
        </w:rPr>
        <w:t>无创颅内压</w:t>
      </w:r>
      <w:r>
        <w:rPr>
          <w:rFonts w:ascii="宋体" w:hAnsi="宋体" w:eastAsia="宋体" w:cs="宋体"/>
          <w:color w:val="auto"/>
          <w:kern w:val="0"/>
          <w:szCs w:val="21"/>
          <w:highlight w:val="none"/>
        </w:rPr>
        <w:t>数值。</w:t>
      </w:r>
    </w:p>
    <w:p w14:paraId="61DEDED9">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（12）</w:t>
      </w:r>
      <w:r>
        <w:rPr>
          <w:rFonts w:ascii="宋体" w:hAnsi="宋体" w:eastAsia="宋体" w:cs="宋体"/>
          <w:color w:val="auto"/>
          <w:kern w:val="0"/>
          <w:szCs w:val="21"/>
          <w:highlight w:val="none"/>
        </w:rPr>
        <w:t>动态M模功能：可无限时记录原始血流信息，动态回放超过100mm深度间隔的原始血流信息，回放过程中可调整至任意深度下的原始血流波形回放、测量、快照存储。</w:t>
      </w:r>
    </w:p>
    <w:p w14:paraId="46980708">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（13）</w:t>
      </w:r>
      <w:r>
        <w:rPr>
          <w:rFonts w:ascii="宋体" w:hAnsi="宋体" w:eastAsia="宋体" w:cs="宋体"/>
          <w:color w:val="auto"/>
          <w:kern w:val="0"/>
          <w:szCs w:val="21"/>
          <w:highlight w:val="none"/>
        </w:rPr>
        <w:t>数据导出功能：支持经典病例数据导出功能，导出数据在任意电脑上都可以进行回放操作、参数调节等。</w:t>
      </w:r>
    </w:p>
    <w:p w14:paraId="43EB54A1">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（14）</w:t>
      </w:r>
      <w:r>
        <w:rPr>
          <w:rFonts w:ascii="宋体" w:hAnsi="宋体" w:eastAsia="宋体" w:cs="宋体"/>
          <w:color w:val="auto"/>
          <w:kern w:val="0"/>
          <w:szCs w:val="21"/>
          <w:highlight w:val="none"/>
        </w:rPr>
        <w:t>快照存储/编辑功能：</w:t>
      </w:r>
    </w:p>
    <w:p w14:paraId="73BA8A75">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①</w:t>
      </w:r>
      <w:r>
        <w:rPr>
          <w:rFonts w:ascii="宋体" w:hAnsi="宋体" w:eastAsia="宋体" w:cs="宋体"/>
          <w:color w:val="auto"/>
          <w:kern w:val="0"/>
          <w:szCs w:val="21"/>
          <w:highlight w:val="none"/>
        </w:rPr>
        <w:t>支持一键快照存储，快照频谱数据支持再次分析；</w:t>
      </w:r>
    </w:p>
    <w:p w14:paraId="7D62220B">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②</w:t>
      </w:r>
      <w:r>
        <w:rPr>
          <w:rFonts w:ascii="宋体" w:hAnsi="宋体" w:eastAsia="宋体" w:cs="宋体"/>
          <w:color w:val="auto"/>
          <w:kern w:val="0"/>
          <w:szCs w:val="21"/>
          <w:highlight w:val="none"/>
        </w:rPr>
        <w:t>可手动测量，支持十字光标、水平线、水平箭头等多种测量方式；</w:t>
      </w:r>
    </w:p>
    <w:p w14:paraId="0CC2D3C1">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③</w:t>
      </w:r>
      <w:r>
        <w:rPr>
          <w:rFonts w:ascii="宋体" w:hAnsi="宋体" w:eastAsia="宋体" w:cs="宋体"/>
          <w:color w:val="auto"/>
          <w:kern w:val="0"/>
          <w:szCs w:val="21"/>
          <w:highlight w:val="none"/>
        </w:rPr>
        <w:t>快照频谱可以手动插入中/英文标识；</w:t>
      </w:r>
    </w:p>
    <w:p w14:paraId="79CD286C">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④</w:t>
      </w:r>
      <w:r>
        <w:rPr>
          <w:rFonts w:ascii="宋体" w:hAnsi="宋体" w:eastAsia="宋体" w:cs="宋体"/>
          <w:color w:val="auto"/>
          <w:kern w:val="0"/>
          <w:szCs w:val="21"/>
          <w:highlight w:val="none"/>
        </w:rPr>
        <w:t>快照支持栓子分析功能，可调出栓子声谱图，支持栓子时间差测量，支持手动标记栓子；</w:t>
      </w:r>
    </w:p>
    <w:p w14:paraId="2521EDDC">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⑤</w:t>
      </w:r>
      <w:r>
        <w:rPr>
          <w:rFonts w:ascii="宋体" w:hAnsi="宋体" w:eastAsia="宋体" w:cs="宋体"/>
          <w:color w:val="auto"/>
          <w:kern w:val="0"/>
          <w:szCs w:val="21"/>
          <w:highlight w:val="none"/>
        </w:rPr>
        <w:t>支持在TCD监测过程中进行快照编辑功能。</w:t>
      </w:r>
    </w:p>
    <w:p w14:paraId="634D083B">
      <w:pPr>
        <w:numPr>
          <w:ilvl w:val="0"/>
          <w:numId w:val="0"/>
        </w:numPr>
        <w:spacing w:after="156" w:afterLines="50" w:line="360" w:lineRule="auto"/>
        <w:ind w:leftChars="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（15）</w:t>
      </w:r>
      <w:r>
        <w:rPr>
          <w:rFonts w:hint="eastAsia" w:ascii="宋体" w:hAnsi="宋体" w:eastAsia="宋体" w:cs="宋体"/>
          <w:bCs/>
          <w:color w:val="auto"/>
          <w:szCs w:val="21"/>
          <w:highlight w:val="none"/>
        </w:rPr>
        <w:t>▲</w:t>
      </w:r>
      <w:r>
        <w:rPr>
          <w:rFonts w:ascii="宋体" w:hAnsi="宋体" w:eastAsia="宋体" w:cs="宋体"/>
          <w:color w:val="auto"/>
          <w:kern w:val="0"/>
          <w:szCs w:val="21"/>
          <w:highlight w:val="none"/>
        </w:rPr>
        <w:t>一键报告功能：支持检查界面和病档管理界面两种方式一键生成报告，避免繁琐操作，快速完成报诊断报告，报告支持XML/PDF/Word</w:t>
      </w:r>
      <w:r>
        <w:rPr>
          <w:rFonts w:hint="eastAsia" w:ascii="宋体" w:hAnsi="宋体" w:eastAsia="宋体" w:cs="宋体"/>
          <w:color w:val="auto"/>
          <w:kern w:val="0"/>
          <w:szCs w:val="21"/>
          <w:highlight w:val="none"/>
          <w:lang w:val="en-US" w:eastAsia="zh-CN"/>
        </w:rPr>
        <w:t>格式；支持</w:t>
      </w:r>
      <w:r>
        <w:rPr>
          <w:rFonts w:ascii="宋体" w:hAnsi="宋体" w:eastAsia="宋体" w:cs="宋体"/>
          <w:color w:val="auto"/>
          <w:kern w:val="0"/>
          <w:szCs w:val="21"/>
          <w:highlight w:val="none"/>
        </w:rPr>
        <w:t>BMP/JPG/PNG/GIF/TIFF/PPT等格式</w:t>
      </w:r>
      <w:r>
        <w:rPr>
          <w:rFonts w:hint="eastAsia" w:ascii="宋体" w:hAnsi="宋体" w:eastAsia="宋体" w:cs="宋体"/>
          <w:color w:val="auto"/>
          <w:kern w:val="0"/>
          <w:szCs w:val="21"/>
          <w:highlight w:val="none"/>
          <w:lang w:val="en-US" w:eastAsia="zh-CN"/>
        </w:rPr>
        <w:t>更优</w:t>
      </w:r>
      <w:r>
        <w:rPr>
          <w:rFonts w:hint="eastAsia" w:ascii="宋体" w:hAnsi="宋体" w:eastAsia="宋体" w:cs="宋体"/>
          <w:color w:val="auto"/>
          <w:kern w:val="0"/>
          <w:szCs w:val="21"/>
          <w:highlight w:val="none"/>
        </w:rPr>
        <w:t>。</w:t>
      </w:r>
      <w:r>
        <w:rPr>
          <w:rFonts w:hint="eastAsia" w:ascii="宋体" w:hAnsi="宋体" w:eastAsia="宋体" w:cs="宋体"/>
          <w:b/>
          <w:bCs/>
          <w:color w:val="auto"/>
          <w:kern w:val="0"/>
          <w:szCs w:val="21"/>
          <w:highlight w:val="none"/>
          <w:lang w:eastAsia="zh-CN"/>
        </w:rPr>
        <w:t>（</w:t>
      </w:r>
      <w:r>
        <w:rPr>
          <w:b/>
          <w:bCs/>
          <w:color w:val="auto"/>
          <w:highlight w:val="none"/>
        </w:rPr>
        <w:t>提供投标产品彩页或相应技术参数的厂家使用说明书等作为技术证明文件</w:t>
      </w:r>
      <w:r>
        <w:rPr>
          <w:rFonts w:hint="eastAsia" w:ascii="宋体" w:hAnsi="宋体" w:eastAsia="宋体" w:cs="宋体"/>
          <w:b/>
          <w:bCs/>
          <w:color w:val="auto"/>
          <w:kern w:val="0"/>
          <w:szCs w:val="21"/>
          <w:highlight w:val="none"/>
          <w:lang w:eastAsia="zh-CN"/>
        </w:rPr>
        <w:t>）</w:t>
      </w:r>
    </w:p>
    <w:p w14:paraId="52B34740">
      <w:pPr>
        <w:numPr>
          <w:ilvl w:val="0"/>
          <w:numId w:val="4"/>
        </w:numPr>
        <w:spacing w:line="360" w:lineRule="auto"/>
        <w:rPr>
          <w:b/>
          <w:bCs/>
          <w:color w:val="auto"/>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kern w:val="0"/>
          <w:szCs w:val="21"/>
          <w:highlight w:val="none"/>
        </w:rPr>
        <w:t>具有网络连接端口：支持国际通用标准</w:t>
      </w:r>
      <w:r>
        <w:rPr>
          <w:rFonts w:ascii="宋体" w:hAnsi="宋体" w:eastAsia="宋体" w:cs="宋体"/>
          <w:color w:val="auto"/>
          <w:kern w:val="0"/>
          <w:szCs w:val="21"/>
          <w:highlight w:val="none"/>
        </w:rPr>
        <w:t>DICOM3.0网络接口，可连接医院网络进行快照图片和报告发送，支持PDF联机报告，支持结构化报告功能，发送包含患者信息、DOP图谱、指数表格等信息。</w:t>
      </w:r>
      <w:r>
        <w:rPr>
          <w:rFonts w:hint="eastAsia" w:ascii="宋体" w:hAnsi="宋体" w:eastAsia="宋体" w:cs="宋体"/>
          <w:color w:val="auto"/>
          <w:kern w:val="0"/>
          <w:szCs w:val="21"/>
          <w:highlight w:val="none"/>
          <w:lang w:val="en-US" w:eastAsia="zh-CN"/>
        </w:rPr>
        <w:t>设备须连接上医院电子病历归档系统，能上传报告至电子病历归档系统，且兼容设备运行、不卡顿。</w:t>
      </w:r>
      <w:r>
        <w:rPr>
          <w:rFonts w:hint="eastAsia" w:ascii="宋体" w:hAnsi="宋体" w:eastAsia="宋体" w:cs="宋体"/>
          <w:b/>
          <w:bCs/>
          <w:color w:val="auto"/>
          <w:kern w:val="0"/>
          <w:szCs w:val="21"/>
          <w:highlight w:val="none"/>
          <w:lang w:val="en-US" w:eastAsia="zh-CN"/>
        </w:rPr>
        <w:t>（提供投标人盖章版承诺函，格式自拟）</w:t>
      </w:r>
    </w:p>
    <w:p w14:paraId="6C37CBC6">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（17）</w:t>
      </w:r>
      <w:r>
        <w:rPr>
          <w:rFonts w:ascii="宋体" w:hAnsi="宋体" w:eastAsia="宋体" w:cs="宋体"/>
          <w:color w:val="auto"/>
          <w:kern w:val="0"/>
          <w:szCs w:val="21"/>
          <w:highlight w:val="none"/>
        </w:rPr>
        <w:t>专业微栓子检测：</w:t>
      </w:r>
    </w:p>
    <w:p w14:paraId="18C4AFC7">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①</w:t>
      </w:r>
      <w:r>
        <w:rPr>
          <w:rFonts w:ascii="宋体" w:hAnsi="宋体" w:eastAsia="宋体" w:cs="宋体"/>
          <w:color w:val="auto"/>
          <w:kern w:val="0"/>
          <w:szCs w:val="21"/>
          <w:highlight w:val="none"/>
        </w:rPr>
        <w:t>提供实时和离线栓子检测功能，离线状态下可重新设置栓子阈值进行栓子重分析；</w:t>
      </w:r>
    </w:p>
    <w:p w14:paraId="7BAEC688">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②</w:t>
      </w:r>
      <w:r>
        <w:rPr>
          <w:rFonts w:ascii="宋体" w:hAnsi="宋体" w:eastAsia="宋体" w:cs="宋体"/>
          <w:color w:val="auto"/>
          <w:kern w:val="0"/>
          <w:szCs w:val="21"/>
          <w:highlight w:val="none"/>
        </w:rPr>
        <w:t>具有气栓、固栓、伪差自动识别功能；</w:t>
      </w:r>
    </w:p>
    <w:p w14:paraId="3F7B1FA0">
      <w:pPr>
        <w:numPr>
          <w:ilvl w:val="0"/>
          <w:numId w:val="0"/>
        </w:numPr>
        <w:spacing w:after="156" w:afterLines="50" w:line="360" w:lineRule="auto"/>
        <w:ind w:leftChars="0"/>
        <w:jc w:val="left"/>
        <w:rPr>
          <w:rFonts w:ascii="宋体" w:hAnsi="宋体" w:eastAsia="宋体" w:cs="宋体"/>
          <w:b/>
          <w:bCs/>
          <w:color w:val="auto"/>
          <w:kern w:val="0"/>
          <w:szCs w:val="21"/>
          <w:highlight w:val="none"/>
        </w:rPr>
      </w:pPr>
      <w:r>
        <w:rPr>
          <w:rFonts w:hint="eastAsia" w:ascii="宋体" w:hAnsi="宋体" w:eastAsia="宋体" w:cs="宋体"/>
          <w:bCs/>
          <w:color w:val="auto"/>
          <w:szCs w:val="21"/>
          <w:highlight w:val="none"/>
        </w:rPr>
        <w:t>▲</w:t>
      </w:r>
      <w:r>
        <w:rPr>
          <w:rFonts w:hint="eastAsia" w:ascii="宋体" w:hAnsi="宋体" w:eastAsia="宋体" w:cs="宋体"/>
          <w:color w:val="auto"/>
          <w:kern w:val="0"/>
          <w:szCs w:val="21"/>
          <w:highlight w:val="none"/>
        </w:rPr>
        <w:t>③</w:t>
      </w:r>
      <w:r>
        <w:rPr>
          <w:rFonts w:ascii="宋体" w:hAnsi="宋体" w:eastAsia="宋体" w:cs="宋体"/>
          <w:color w:val="auto"/>
          <w:kern w:val="0"/>
          <w:szCs w:val="21"/>
          <w:highlight w:val="none"/>
        </w:rPr>
        <w:t>栓子类别自动计数功能，支持气栓、固栓、伪差自动计数，监测出栓子信号时系统自动保存快照图片，自动生成栓子事件标识；</w:t>
      </w:r>
      <w:r>
        <w:rPr>
          <w:rFonts w:hint="eastAsia" w:ascii="宋体" w:hAnsi="宋体" w:eastAsia="宋体" w:cs="宋体"/>
          <w:b/>
          <w:bCs/>
          <w:color w:val="auto"/>
          <w:kern w:val="0"/>
          <w:szCs w:val="21"/>
          <w:highlight w:val="none"/>
          <w:lang w:eastAsia="zh-CN"/>
        </w:rPr>
        <w:t>（</w:t>
      </w:r>
      <w:r>
        <w:rPr>
          <w:b/>
          <w:bCs/>
          <w:color w:val="auto"/>
          <w:highlight w:val="none"/>
        </w:rPr>
        <w:t>提供投标产品彩页或相应技术参数的厂家使用说明书等作为技术证明文件</w:t>
      </w:r>
      <w:r>
        <w:rPr>
          <w:rFonts w:hint="eastAsia" w:ascii="宋体" w:hAnsi="宋体" w:eastAsia="宋体" w:cs="宋体"/>
          <w:b/>
          <w:bCs/>
          <w:color w:val="auto"/>
          <w:kern w:val="0"/>
          <w:szCs w:val="21"/>
          <w:highlight w:val="none"/>
          <w:lang w:eastAsia="zh-CN"/>
        </w:rPr>
        <w:t>）</w:t>
      </w:r>
    </w:p>
    <w:p w14:paraId="17F558B0">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④</w:t>
      </w:r>
      <w:r>
        <w:rPr>
          <w:rFonts w:ascii="宋体" w:hAnsi="宋体" w:eastAsia="宋体" w:cs="宋体"/>
          <w:color w:val="auto"/>
          <w:kern w:val="0"/>
          <w:szCs w:val="21"/>
          <w:highlight w:val="none"/>
        </w:rPr>
        <w:t>支持微栓子频谱图、声谱图、M模上“斜形”运动轨迹、直方图等多种呈现方式，并可输出到报告；</w:t>
      </w:r>
    </w:p>
    <w:p w14:paraId="6447761F">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⑤</w:t>
      </w:r>
      <w:r>
        <w:rPr>
          <w:rFonts w:ascii="宋体" w:hAnsi="宋体" w:eastAsia="宋体" w:cs="宋体"/>
          <w:color w:val="auto"/>
          <w:kern w:val="0"/>
          <w:szCs w:val="21"/>
          <w:highlight w:val="none"/>
        </w:rPr>
        <w:t>支持微栓子视频、音频、图片导出功能。</w:t>
      </w:r>
    </w:p>
    <w:p w14:paraId="074D41C4">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（18）</w:t>
      </w:r>
      <w:r>
        <w:rPr>
          <w:rFonts w:ascii="宋体" w:hAnsi="宋体" w:eastAsia="宋体" w:cs="宋体"/>
          <w:color w:val="auto"/>
          <w:kern w:val="0"/>
          <w:szCs w:val="21"/>
          <w:highlight w:val="none"/>
        </w:rPr>
        <w:t>同一栓子声谱图自动比对功能：支持同一通道下，双深度的声谱图自动同窗口对比功能，排除同一栓子多次统计，提升栓子统计精准度。</w:t>
      </w:r>
    </w:p>
    <w:p w14:paraId="2BEF9800">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（19）</w:t>
      </w:r>
      <w:r>
        <w:rPr>
          <w:rFonts w:ascii="宋体" w:hAnsi="宋体" w:eastAsia="宋体" w:cs="宋体"/>
          <w:color w:val="auto"/>
          <w:kern w:val="0"/>
          <w:szCs w:val="21"/>
          <w:highlight w:val="none"/>
        </w:rPr>
        <w:t>智慧型发泡试验语音指导系统：</w:t>
      </w:r>
    </w:p>
    <w:p w14:paraId="5E581400">
      <w:pPr>
        <w:numPr>
          <w:ilvl w:val="0"/>
          <w:numId w:val="0"/>
        </w:numPr>
        <w:spacing w:after="156" w:afterLines="50" w:line="360" w:lineRule="auto"/>
        <w:ind w:leftChars="0"/>
        <w:jc w:val="left"/>
        <w:rPr>
          <w:rFonts w:hint="eastAsia" w:ascii="宋体" w:hAnsi="宋体" w:eastAsia="宋体" w:cs="宋体"/>
          <w:color w:val="auto"/>
          <w:kern w:val="0"/>
          <w:szCs w:val="21"/>
          <w:highlight w:val="none"/>
          <w:lang w:eastAsia="zh-CN"/>
        </w:rPr>
      </w:pPr>
      <w:r>
        <w:rPr>
          <w:rFonts w:hint="eastAsia" w:ascii="宋体" w:hAnsi="宋体" w:eastAsia="宋体" w:cs="宋体"/>
          <w:bCs/>
          <w:color w:val="auto"/>
          <w:szCs w:val="21"/>
          <w:highlight w:val="none"/>
        </w:rPr>
        <w:t>▲</w:t>
      </w:r>
      <w:r>
        <w:rPr>
          <w:rFonts w:hint="eastAsia" w:ascii="宋体" w:hAnsi="宋体" w:eastAsia="宋体" w:cs="宋体"/>
          <w:color w:val="auto"/>
          <w:kern w:val="0"/>
          <w:szCs w:val="21"/>
          <w:highlight w:val="none"/>
        </w:rPr>
        <w:t>①</w:t>
      </w:r>
      <w:r>
        <w:rPr>
          <w:rFonts w:ascii="宋体" w:hAnsi="宋体" w:eastAsia="宋体" w:cs="宋体"/>
          <w:color w:val="auto"/>
          <w:kern w:val="0"/>
          <w:szCs w:val="21"/>
          <w:highlight w:val="none"/>
        </w:rPr>
        <w:t>语音引导，规范化发泡试验每个节点，支持静息、诱发试验两种模式；</w:t>
      </w:r>
      <w:r>
        <w:rPr>
          <w:rFonts w:hint="eastAsia" w:ascii="宋体" w:hAnsi="宋体" w:eastAsia="宋体" w:cs="宋体"/>
          <w:b/>
          <w:bCs/>
          <w:color w:val="auto"/>
          <w:kern w:val="0"/>
          <w:szCs w:val="21"/>
          <w:highlight w:val="none"/>
          <w:lang w:eastAsia="zh-CN"/>
        </w:rPr>
        <w:t>（</w:t>
      </w:r>
      <w:r>
        <w:rPr>
          <w:b/>
          <w:bCs/>
          <w:color w:val="auto"/>
          <w:highlight w:val="none"/>
        </w:rPr>
        <w:t>提供投标产品彩页或相应技术参数的厂家使用说明书等作为技术证明文件</w:t>
      </w:r>
      <w:r>
        <w:rPr>
          <w:rFonts w:hint="eastAsia" w:ascii="宋体" w:hAnsi="宋体" w:eastAsia="宋体" w:cs="宋体"/>
          <w:b/>
          <w:bCs/>
          <w:color w:val="auto"/>
          <w:kern w:val="0"/>
          <w:szCs w:val="21"/>
          <w:highlight w:val="none"/>
          <w:lang w:eastAsia="zh-CN"/>
        </w:rPr>
        <w:t>）</w:t>
      </w:r>
    </w:p>
    <w:p w14:paraId="4DF9A99A">
      <w:pPr>
        <w:numPr>
          <w:ilvl w:val="0"/>
          <w:numId w:val="0"/>
        </w:numPr>
        <w:spacing w:after="156" w:afterLines="50" w:line="360" w:lineRule="auto"/>
        <w:ind w:leftChars="0"/>
        <w:jc w:val="left"/>
        <w:rPr>
          <w:rFonts w:ascii="宋体" w:hAnsi="宋体" w:eastAsia="宋体" w:cs="宋体"/>
          <w:b/>
          <w:bCs/>
          <w:color w:val="auto"/>
          <w:kern w:val="0"/>
          <w:szCs w:val="21"/>
          <w:highlight w:val="none"/>
        </w:rPr>
      </w:pPr>
      <w:r>
        <w:rPr>
          <w:rFonts w:hint="eastAsia" w:ascii="宋体" w:hAnsi="宋体" w:eastAsia="宋体" w:cs="宋体"/>
          <w:bCs/>
          <w:color w:val="auto"/>
          <w:szCs w:val="21"/>
          <w:highlight w:val="none"/>
        </w:rPr>
        <w:t>▲</w:t>
      </w:r>
      <w:r>
        <w:rPr>
          <w:rFonts w:hint="eastAsia" w:ascii="宋体" w:hAnsi="宋体" w:eastAsia="宋体" w:cs="宋体"/>
          <w:color w:val="auto"/>
          <w:kern w:val="0"/>
          <w:szCs w:val="21"/>
          <w:highlight w:val="none"/>
        </w:rPr>
        <w:t>②</w:t>
      </w:r>
      <w:r>
        <w:rPr>
          <w:rFonts w:ascii="宋体" w:hAnsi="宋体" w:eastAsia="宋体" w:cs="宋体"/>
          <w:color w:val="auto"/>
          <w:kern w:val="0"/>
          <w:szCs w:val="21"/>
          <w:highlight w:val="none"/>
        </w:rPr>
        <w:t>自动记录首栓、20/25S内栓子数量，出现栓子时自动计数、自动保存快照图片，根据试验结果可自动智能分级；</w:t>
      </w:r>
      <w:r>
        <w:rPr>
          <w:rFonts w:hint="eastAsia" w:ascii="宋体" w:hAnsi="宋体" w:eastAsia="宋体" w:cs="宋体"/>
          <w:b/>
          <w:bCs/>
          <w:color w:val="auto"/>
          <w:kern w:val="0"/>
          <w:szCs w:val="21"/>
          <w:highlight w:val="none"/>
          <w:lang w:eastAsia="zh-CN"/>
        </w:rPr>
        <w:t>（</w:t>
      </w:r>
      <w:r>
        <w:rPr>
          <w:b/>
          <w:bCs/>
          <w:color w:val="auto"/>
          <w:highlight w:val="none"/>
        </w:rPr>
        <w:t>提供投标产品彩页或相应技术参数的厂家使用说明书等作为技术证明文件</w:t>
      </w:r>
      <w:r>
        <w:rPr>
          <w:rFonts w:hint="eastAsia" w:ascii="宋体" w:hAnsi="宋体" w:eastAsia="宋体" w:cs="宋体"/>
          <w:b/>
          <w:bCs/>
          <w:color w:val="auto"/>
          <w:kern w:val="0"/>
          <w:szCs w:val="21"/>
          <w:highlight w:val="none"/>
          <w:lang w:eastAsia="zh-CN"/>
        </w:rPr>
        <w:t>）</w:t>
      </w:r>
    </w:p>
    <w:p w14:paraId="7BC01E31">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③</w:t>
      </w:r>
      <w:r>
        <w:rPr>
          <w:rFonts w:ascii="宋体" w:hAnsi="宋体" w:eastAsia="宋体" w:cs="宋体"/>
          <w:color w:val="auto"/>
          <w:kern w:val="0"/>
          <w:szCs w:val="21"/>
          <w:highlight w:val="none"/>
        </w:rPr>
        <w:t>发泡试验分级标准支持自定义。</w:t>
      </w:r>
    </w:p>
    <w:p w14:paraId="3FDE4CA7">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kern w:val="0"/>
          <w:szCs w:val="21"/>
          <w:highlight w:val="none"/>
          <w:lang w:val="en-US" w:eastAsia="zh-CN"/>
        </w:rPr>
        <w:t>0</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血管痉挛趋势图：同一患者多次检查结果自动生成血管痉挛趋势图，可动态评估患者血管痉挛发生、发展过程，提示干预、评估治疗效果等，同时血管痉挛趋势图可输出到报告</w:t>
      </w:r>
      <w:r>
        <w:rPr>
          <w:rFonts w:hint="eastAsia" w:ascii="宋体" w:hAnsi="宋体" w:eastAsia="宋体" w:cs="宋体"/>
          <w:color w:val="auto"/>
          <w:kern w:val="0"/>
          <w:szCs w:val="21"/>
          <w:highlight w:val="none"/>
        </w:rPr>
        <w:t>。</w:t>
      </w:r>
    </w:p>
    <w:p w14:paraId="46BD4ECD">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kern w:val="0"/>
          <w:szCs w:val="21"/>
          <w:highlight w:val="none"/>
          <w:lang w:val="en-US" w:eastAsia="zh-CN"/>
        </w:rPr>
        <w:t>1</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数据缓存回放功能：支持30S数据缓存回放功能，可选择回放30S内血流频谱进行保存。</w:t>
      </w:r>
    </w:p>
    <w:p w14:paraId="65476C90">
      <w:pPr>
        <w:numPr>
          <w:ilvl w:val="0"/>
          <w:numId w:val="0"/>
        </w:numPr>
        <w:spacing w:after="156" w:afterLines="50" w:line="360" w:lineRule="auto"/>
        <w:ind w:leftChars="0"/>
        <w:jc w:val="left"/>
        <w:rPr>
          <w:rFonts w:ascii="宋体" w:hAnsi="宋体" w:eastAsia="宋体" w:cs="宋体"/>
          <w:b/>
          <w:bCs/>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rPr>
        <w:t>）</w:t>
      </w:r>
      <w:r>
        <w:rPr>
          <w:rFonts w:hint="eastAsia" w:ascii="宋体" w:hAnsi="宋体" w:eastAsia="宋体" w:cs="宋体"/>
          <w:bCs/>
          <w:color w:val="auto"/>
          <w:szCs w:val="21"/>
          <w:highlight w:val="none"/>
        </w:rPr>
        <w:t>▲</w:t>
      </w:r>
      <w:r>
        <w:rPr>
          <w:rFonts w:ascii="宋体" w:hAnsi="宋体" w:eastAsia="宋体" w:cs="宋体"/>
          <w:color w:val="auto"/>
          <w:kern w:val="0"/>
          <w:szCs w:val="21"/>
          <w:highlight w:val="none"/>
        </w:rPr>
        <w:t>IWM POWER PEAK实时输出与显示：血红细胞强度加权平均值IWM、能量Power以及血流速度Peak连续曲线显示与输出。</w:t>
      </w:r>
      <w:r>
        <w:rPr>
          <w:rFonts w:hint="eastAsia" w:ascii="宋体" w:hAnsi="宋体" w:eastAsia="宋体" w:cs="宋体"/>
          <w:b/>
          <w:bCs/>
          <w:color w:val="auto"/>
          <w:kern w:val="0"/>
          <w:szCs w:val="21"/>
          <w:highlight w:val="none"/>
          <w:lang w:eastAsia="zh-CN"/>
        </w:rPr>
        <w:t>（</w:t>
      </w:r>
      <w:r>
        <w:rPr>
          <w:b/>
          <w:bCs/>
          <w:color w:val="auto"/>
          <w:highlight w:val="none"/>
        </w:rPr>
        <w:t>提供投标产品彩页或相应技术参数的厂家使用说明书等作为技术证明文件</w:t>
      </w:r>
      <w:r>
        <w:rPr>
          <w:rFonts w:hint="eastAsia" w:ascii="宋体" w:hAnsi="宋体" w:eastAsia="宋体" w:cs="宋体"/>
          <w:b/>
          <w:bCs/>
          <w:color w:val="auto"/>
          <w:kern w:val="0"/>
          <w:szCs w:val="21"/>
          <w:highlight w:val="none"/>
          <w:lang w:eastAsia="zh-CN"/>
        </w:rPr>
        <w:t>）</w:t>
      </w:r>
    </w:p>
    <w:p w14:paraId="1B102A99">
      <w:pPr>
        <w:numPr>
          <w:ilvl w:val="0"/>
          <w:numId w:val="0"/>
        </w:numPr>
        <w:spacing w:after="156" w:afterLines="50" w:line="360" w:lineRule="auto"/>
        <w:ind w:leftChars="0"/>
        <w:jc w:val="left"/>
        <w:rPr>
          <w:rFonts w:ascii="宋体" w:hAnsi="宋体" w:eastAsia="宋体" w:cs="宋体"/>
          <w:b/>
          <w:bCs/>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kern w:val="0"/>
          <w:szCs w:val="21"/>
          <w:highlight w:val="none"/>
          <w:lang w:val="en-US" w:eastAsia="zh-CN"/>
        </w:rPr>
        <w:t>3</w:t>
      </w:r>
      <w:r>
        <w:rPr>
          <w:rFonts w:hint="eastAsia" w:ascii="宋体" w:hAnsi="宋体" w:eastAsia="宋体" w:cs="宋体"/>
          <w:color w:val="auto"/>
          <w:kern w:val="0"/>
          <w:szCs w:val="21"/>
          <w:highlight w:val="none"/>
        </w:rPr>
        <w:t>）</w:t>
      </w:r>
      <w:r>
        <w:rPr>
          <w:rFonts w:hint="eastAsia" w:ascii="宋体" w:hAnsi="宋体" w:eastAsia="宋体" w:cs="宋体"/>
          <w:bCs/>
          <w:color w:val="auto"/>
          <w:szCs w:val="21"/>
          <w:highlight w:val="none"/>
        </w:rPr>
        <w:t>▲</w:t>
      </w:r>
      <w:r>
        <w:rPr>
          <w:rFonts w:ascii="宋体" w:hAnsi="宋体" w:eastAsia="宋体" w:cs="宋体"/>
          <w:color w:val="auto"/>
          <w:kern w:val="0"/>
          <w:szCs w:val="21"/>
          <w:highlight w:val="none"/>
        </w:rPr>
        <w:t>长程监护系统：支持全程16导监护曲线同步监测、支持事件标识、自动报警功能，监护曲线支持缩放、范围测量等，支持输出到报告。</w:t>
      </w:r>
      <w:r>
        <w:rPr>
          <w:rFonts w:hint="eastAsia" w:ascii="宋体" w:hAnsi="宋体" w:eastAsia="宋体" w:cs="宋体"/>
          <w:b/>
          <w:bCs/>
          <w:color w:val="auto"/>
          <w:kern w:val="0"/>
          <w:szCs w:val="21"/>
          <w:highlight w:val="none"/>
          <w:lang w:eastAsia="zh-CN"/>
        </w:rPr>
        <w:t>（</w:t>
      </w:r>
      <w:r>
        <w:rPr>
          <w:b/>
          <w:bCs/>
          <w:color w:val="auto"/>
          <w:highlight w:val="none"/>
        </w:rPr>
        <w:t>提供投标产品彩页或相应技术参数的厂家使用说明书等作为技术证明文件</w:t>
      </w:r>
      <w:r>
        <w:rPr>
          <w:rFonts w:hint="eastAsia" w:ascii="宋体" w:hAnsi="宋体" w:eastAsia="宋体" w:cs="宋体"/>
          <w:b/>
          <w:bCs/>
          <w:color w:val="auto"/>
          <w:kern w:val="0"/>
          <w:szCs w:val="21"/>
          <w:highlight w:val="none"/>
          <w:lang w:eastAsia="zh-CN"/>
        </w:rPr>
        <w:t>）</w:t>
      </w:r>
    </w:p>
    <w:p w14:paraId="199BCA00">
      <w:pPr>
        <w:spacing w:line="36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kern w:val="0"/>
          <w:szCs w:val="21"/>
          <w:highlight w:val="none"/>
          <w:lang w:val="en-US" w:eastAsia="zh-CN"/>
        </w:rPr>
        <w:t>4</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具备Sickle Cell 筛查模式，支持自定义Sickle Cell 筛查标准，可用于血镰病筛查。</w:t>
      </w:r>
    </w:p>
    <w:p w14:paraId="73766CB0">
      <w:pPr>
        <w:spacing w:line="440" w:lineRule="exact"/>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3、图文工作站系统要求：</w:t>
      </w:r>
    </w:p>
    <w:p w14:paraId="633E8FB4">
      <w:pPr>
        <w:numPr>
          <w:ilvl w:val="0"/>
          <w:numId w:val="0"/>
        </w:numPr>
        <w:spacing w:after="156" w:afterLines="50" w:line="360" w:lineRule="auto"/>
        <w:ind w:leftChars="0"/>
        <w:jc w:val="left"/>
        <w:rPr>
          <w:rFonts w:ascii="宋体" w:hAnsi="宋体" w:eastAsia="宋体" w:cs="宋体"/>
          <w:b/>
          <w:bCs/>
          <w:color w:val="auto"/>
          <w:kern w:val="0"/>
          <w:szCs w:val="21"/>
          <w:highlight w:val="none"/>
        </w:rPr>
      </w:pP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1</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▲具有专业化报告模板功能：支持</w:t>
      </w:r>
      <w:r>
        <w:rPr>
          <w:rFonts w:hint="eastAsia" w:ascii="宋体" w:hAnsi="宋体" w:eastAsia="宋体" w:cs="宋体"/>
          <w:color w:val="auto"/>
          <w:kern w:val="0"/>
          <w:szCs w:val="21"/>
          <w:highlight w:val="none"/>
          <w:lang w:val="en-US" w:eastAsia="zh-CN"/>
        </w:rPr>
        <w:t>≥</w:t>
      </w:r>
      <w:r>
        <w:rPr>
          <w:rFonts w:hint="eastAsia" w:ascii="宋体" w:hAnsi="宋体" w:eastAsia="宋体" w:cs="宋体"/>
          <w:color w:val="auto"/>
          <w:kern w:val="0"/>
          <w:szCs w:val="21"/>
          <w:highlight w:val="none"/>
        </w:rPr>
        <w:t>10种报告模板，包含卧立位报告、脑血管储备试验报告、微栓子监测报告、TCD发泡试验报告、术中/重症监护报告等；</w:t>
      </w:r>
      <w:r>
        <w:rPr>
          <w:rFonts w:hint="eastAsia" w:ascii="宋体" w:hAnsi="宋体" w:eastAsia="宋体" w:cs="宋体"/>
          <w:b/>
          <w:bCs/>
          <w:color w:val="auto"/>
          <w:kern w:val="0"/>
          <w:szCs w:val="21"/>
          <w:highlight w:val="none"/>
          <w:lang w:eastAsia="zh-CN"/>
        </w:rPr>
        <w:t>（</w:t>
      </w:r>
      <w:r>
        <w:rPr>
          <w:b/>
          <w:bCs/>
          <w:color w:val="auto"/>
          <w:highlight w:val="none"/>
        </w:rPr>
        <w:t>提供投标产品彩页或相应技术参数的厂家使用说明书等作为技术证明文件</w:t>
      </w:r>
      <w:r>
        <w:rPr>
          <w:rFonts w:hint="eastAsia" w:ascii="宋体" w:hAnsi="宋体" w:eastAsia="宋体" w:cs="宋体"/>
          <w:b/>
          <w:bCs/>
          <w:color w:val="auto"/>
          <w:kern w:val="0"/>
          <w:szCs w:val="21"/>
          <w:highlight w:val="none"/>
          <w:lang w:eastAsia="zh-CN"/>
        </w:rPr>
        <w:t>）</w:t>
      </w:r>
    </w:p>
    <w:p w14:paraId="23BC12E9">
      <w:pPr>
        <w:spacing w:line="440" w:lineRule="exac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支持 Willis环结构化报告，可直接在大脑Willis环图片上标记被检动脉位置、名称、血流参数等信息；</w:t>
      </w:r>
    </w:p>
    <w:p w14:paraId="1BAF0599">
      <w:pPr>
        <w:spacing w:line="440" w:lineRule="exac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3</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支持头颈一体化报告，支持超声数据与TCD数据汇总到一份检查报告单中进行报告输出。</w:t>
      </w:r>
    </w:p>
    <w:p w14:paraId="150670FF">
      <w:pPr>
        <w:spacing w:line="440" w:lineRule="exact"/>
        <w:rPr>
          <w:rFonts w:ascii="宋体" w:hAnsi="宋体" w:eastAsia="宋体" w:cs="宋体"/>
          <w:b/>
          <w:color w:val="auto"/>
          <w:szCs w:val="21"/>
          <w:highlight w:val="none"/>
        </w:rPr>
      </w:pPr>
      <w:r>
        <w:rPr>
          <w:rFonts w:hint="eastAsia" w:ascii="宋体" w:hAnsi="宋体" w:eastAsia="宋体" w:cs="宋体"/>
          <w:bCs/>
          <w:color w:val="auto"/>
          <w:szCs w:val="21"/>
          <w:highlight w:val="none"/>
        </w:rPr>
        <w:t>4、</w:t>
      </w:r>
      <w:r>
        <w:rPr>
          <w:rFonts w:hint="eastAsia" w:ascii="宋体" w:hAnsi="宋体" w:eastAsia="宋体" w:cs="宋体"/>
          <w:color w:val="auto"/>
          <w:kern w:val="0"/>
          <w:szCs w:val="21"/>
          <w:highlight w:val="none"/>
        </w:rPr>
        <w:t>设备使用年限≥8年。</w:t>
      </w:r>
    </w:p>
    <w:p w14:paraId="4F999A66">
      <w:pPr>
        <w:spacing w:line="440" w:lineRule="exact"/>
        <w:rPr>
          <w:rFonts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四、</w:t>
      </w:r>
      <w:r>
        <w:rPr>
          <w:rFonts w:hint="eastAsia" w:ascii="宋体" w:hAnsi="宋体" w:eastAsia="宋体" w:cs="宋体"/>
          <w:b/>
          <w:color w:val="auto"/>
          <w:szCs w:val="21"/>
          <w:highlight w:val="none"/>
        </w:rPr>
        <w:t>每套设备配置要求（标准套至少包含以下内容）</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2"/>
        <w:gridCol w:w="3657"/>
        <w:gridCol w:w="1915"/>
        <w:gridCol w:w="1197"/>
        <w:gridCol w:w="989"/>
      </w:tblGrid>
      <w:tr w14:paraId="0EFE3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62" w:type="dxa"/>
          </w:tcPr>
          <w:p w14:paraId="3961CA45">
            <w:pPr>
              <w:spacing w:line="44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3657" w:type="dxa"/>
          </w:tcPr>
          <w:p w14:paraId="2DE22D2F">
            <w:pPr>
              <w:spacing w:line="44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名称</w:t>
            </w:r>
          </w:p>
        </w:tc>
        <w:tc>
          <w:tcPr>
            <w:tcW w:w="1915" w:type="dxa"/>
          </w:tcPr>
          <w:p w14:paraId="6CFB7115">
            <w:pPr>
              <w:spacing w:line="44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要求</w:t>
            </w:r>
          </w:p>
        </w:tc>
        <w:tc>
          <w:tcPr>
            <w:tcW w:w="1197" w:type="dxa"/>
          </w:tcPr>
          <w:p w14:paraId="35143637">
            <w:pPr>
              <w:spacing w:line="44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数量</w:t>
            </w:r>
          </w:p>
        </w:tc>
        <w:tc>
          <w:tcPr>
            <w:tcW w:w="989" w:type="dxa"/>
          </w:tcPr>
          <w:p w14:paraId="10CFB1AC">
            <w:pPr>
              <w:spacing w:line="44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单位</w:t>
            </w:r>
          </w:p>
        </w:tc>
      </w:tr>
      <w:tr w14:paraId="419A7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3E62F028">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3657" w:type="dxa"/>
          </w:tcPr>
          <w:p w14:paraId="2E52B9C7">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便携式主机（含软件系统）</w:t>
            </w:r>
          </w:p>
        </w:tc>
        <w:tc>
          <w:tcPr>
            <w:tcW w:w="1915" w:type="dxa"/>
          </w:tcPr>
          <w:p w14:paraId="53AACBF4">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Windows 10或以上系统平台</w:t>
            </w:r>
          </w:p>
        </w:tc>
        <w:tc>
          <w:tcPr>
            <w:tcW w:w="1197" w:type="dxa"/>
          </w:tcPr>
          <w:p w14:paraId="53B523CC">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989" w:type="dxa"/>
          </w:tcPr>
          <w:p w14:paraId="7E6CB3F7">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个</w:t>
            </w:r>
          </w:p>
        </w:tc>
      </w:tr>
      <w:tr w14:paraId="72A1A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2CCCE677">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3657" w:type="dxa"/>
          </w:tcPr>
          <w:p w14:paraId="3E3576F5">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手持探头（1.6兆</w:t>
            </w:r>
            <w:r>
              <w:rPr>
                <w:rFonts w:hint="eastAsia" w:ascii="宋体" w:hAnsi="宋体" w:eastAsia="宋体" w:cs="宋体"/>
                <w:color w:val="auto"/>
                <w:szCs w:val="21"/>
                <w:highlight w:val="none"/>
                <w:lang w:val="en-US" w:eastAsia="zh-CN"/>
              </w:rPr>
              <w:t>或2.0兆</w:t>
            </w:r>
            <w:r>
              <w:rPr>
                <w:rFonts w:hint="eastAsia" w:ascii="宋体" w:hAnsi="宋体" w:eastAsia="宋体" w:cs="宋体"/>
                <w:color w:val="auto"/>
                <w:szCs w:val="21"/>
                <w:highlight w:val="none"/>
              </w:rPr>
              <w:t>）</w:t>
            </w:r>
          </w:p>
        </w:tc>
        <w:tc>
          <w:tcPr>
            <w:tcW w:w="1915" w:type="dxa"/>
          </w:tcPr>
          <w:p w14:paraId="77F27999">
            <w:pPr>
              <w:spacing w:line="440" w:lineRule="exact"/>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须单独分项报价</w:t>
            </w:r>
          </w:p>
        </w:tc>
        <w:tc>
          <w:tcPr>
            <w:tcW w:w="1197" w:type="dxa"/>
          </w:tcPr>
          <w:p w14:paraId="542F3D8E">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989" w:type="dxa"/>
          </w:tcPr>
          <w:p w14:paraId="6DCBE37B">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个</w:t>
            </w:r>
          </w:p>
        </w:tc>
      </w:tr>
      <w:tr w14:paraId="2F200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66D8AC2B">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3657" w:type="dxa"/>
          </w:tcPr>
          <w:p w14:paraId="2CAD3B1A">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手持探头（4.0兆）</w:t>
            </w:r>
          </w:p>
        </w:tc>
        <w:tc>
          <w:tcPr>
            <w:tcW w:w="1915" w:type="dxa"/>
          </w:tcPr>
          <w:p w14:paraId="5C77972F">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须单独分项报价</w:t>
            </w:r>
          </w:p>
        </w:tc>
        <w:tc>
          <w:tcPr>
            <w:tcW w:w="1197" w:type="dxa"/>
          </w:tcPr>
          <w:p w14:paraId="785C1221">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989" w:type="dxa"/>
          </w:tcPr>
          <w:p w14:paraId="489317AF">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个</w:t>
            </w:r>
          </w:p>
        </w:tc>
      </w:tr>
      <w:tr w14:paraId="3B88E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69126BEA">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657" w:type="dxa"/>
          </w:tcPr>
          <w:p w14:paraId="47B5A8E1">
            <w:pPr>
              <w:spacing w:line="44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监护探头</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1.6兆</w:t>
            </w:r>
            <w:r>
              <w:rPr>
                <w:rFonts w:hint="eastAsia" w:ascii="宋体" w:hAnsi="宋体" w:eastAsia="宋体" w:cs="宋体"/>
                <w:color w:val="auto"/>
                <w:szCs w:val="21"/>
                <w:highlight w:val="none"/>
                <w:lang w:val="en-US" w:eastAsia="zh-CN"/>
              </w:rPr>
              <w:t>或2.0兆</w:t>
            </w:r>
            <w:r>
              <w:rPr>
                <w:rFonts w:hint="eastAsia" w:ascii="宋体" w:hAnsi="宋体" w:eastAsia="宋体" w:cs="宋体"/>
                <w:color w:val="auto"/>
                <w:szCs w:val="21"/>
                <w:highlight w:val="none"/>
                <w:lang w:eastAsia="zh-CN"/>
              </w:rPr>
              <w:t>）</w:t>
            </w:r>
          </w:p>
        </w:tc>
        <w:tc>
          <w:tcPr>
            <w:tcW w:w="1915" w:type="dxa"/>
          </w:tcPr>
          <w:p w14:paraId="45586E8A">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须单独分项报价</w:t>
            </w:r>
          </w:p>
        </w:tc>
        <w:tc>
          <w:tcPr>
            <w:tcW w:w="1197" w:type="dxa"/>
          </w:tcPr>
          <w:p w14:paraId="70A00228">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989" w:type="dxa"/>
          </w:tcPr>
          <w:p w14:paraId="69D1B600">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个</w:t>
            </w:r>
          </w:p>
        </w:tc>
      </w:tr>
      <w:tr w14:paraId="0B6A5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5D0210A9">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3657" w:type="dxa"/>
          </w:tcPr>
          <w:p w14:paraId="05568138">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监护头架</w:t>
            </w:r>
          </w:p>
        </w:tc>
        <w:tc>
          <w:tcPr>
            <w:tcW w:w="1915" w:type="dxa"/>
          </w:tcPr>
          <w:p w14:paraId="4C0F4DD8">
            <w:pPr>
              <w:spacing w:line="440" w:lineRule="exact"/>
              <w:jc w:val="center"/>
              <w:rPr>
                <w:rFonts w:hint="eastAsia" w:ascii="宋体" w:hAnsi="宋体" w:eastAsia="宋体" w:cs="宋体"/>
                <w:color w:val="auto"/>
                <w:szCs w:val="21"/>
                <w:highlight w:val="none"/>
              </w:rPr>
            </w:pPr>
          </w:p>
        </w:tc>
        <w:tc>
          <w:tcPr>
            <w:tcW w:w="1197" w:type="dxa"/>
          </w:tcPr>
          <w:p w14:paraId="3321BA16">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989" w:type="dxa"/>
          </w:tcPr>
          <w:p w14:paraId="510A0D74">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个</w:t>
            </w:r>
          </w:p>
        </w:tc>
      </w:tr>
      <w:tr w14:paraId="1B173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3A051519">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657" w:type="dxa"/>
          </w:tcPr>
          <w:p w14:paraId="4AC0170E">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专业操控小键盘</w:t>
            </w:r>
          </w:p>
        </w:tc>
        <w:tc>
          <w:tcPr>
            <w:tcW w:w="1915" w:type="dxa"/>
          </w:tcPr>
          <w:p w14:paraId="3C4C29BF">
            <w:pPr>
              <w:spacing w:line="440" w:lineRule="exact"/>
              <w:jc w:val="center"/>
              <w:rPr>
                <w:rFonts w:hint="eastAsia" w:ascii="宋体" w:hAnsi="宋体" w:eastAsia="宋体" w:cs="宋体"/>
                <w:color w:val="auto"/>
                <w:szCs w:val="21"/>
                <w:highlight w:val="none"/>
              </w:rPr>
            </w:pPr>
          </w:p>
        </w:tc>
        <w:tc>
          <w:tcPr>
            <w:tcW w:w="1197" w:type="dxa"/>
          </w:tcPr>
          <w:p w14:paraId="52E63EEA">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989" w:type="dxa"/>
          </w:tcPr>
          <w:p w14:paraId="2FE4F894">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个</w:t>
            </w:r>
          </w:p>
        </w:tc>
      </w:tr>
      <w:tr w14:paraId="5DD2C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31103DC0">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3657" w:type="dxa"/>
          </w:tcPr>
          <w:p w14:paraId="1C21CCC8">
            <w:pPr>
              <w:spacing w:line="440" w:lineRule="exact"/>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彩色激光打印</w:t>
            </w:r>
            <w:r>
              <w:rPr>
                <w:rFonts w:hint="eastAsia" w:ascii="宋体" w:hAnsi="宋体" w:eastAsia="宋体" w:cs="宋体"/>
                <w:color w:val="auto"/>
                <w:szCs w:val="21"/>
                <w:highlight w:val="none"/>
                <w:lang w:val="en-US" w:eastAsia="zh-CN"/>
              </w:rPr>
              <w:t>设备</w:t>
            </w:r>
          </w:p>
        </w:tc>
        <w:tc>
          <w:tcPr>
            <w:tcW w:w="1915" w:type="dxa"/>
          </w:tcPr>
          <w:p w14:paraId="6070954E">
            <w:pPr>
              <w:spacing w:line="440" w:lineRule="exact"/>
              <w:jc w:val="center"/>
              <w:rPr>
                <w:rFonts w:hint="eastAsia" w:ascii="宋体" w:hAnsi="宋体" w:eastAsia="宋体" w:cs="宋体"/>
                <w:color w:val="auto"/>
                <w:szCs w:val="21"/>
                <w:highlight w:val="none"/>
              </w:rPr>
            </w:pPr>
          </w:p>
        </w:tc>
        <w:tc>
          <w:tcPr>
            <w:tcW w:w="1197" w:type="dxa"/>
          </w:tcPr>
          <w:p w14:paraId="662FD837">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989" w:type="dxa"/>
          </w:tcPr>
          <w:p w14:paraId="66588238">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台</w:t>
            </w:r>
          </w:p>
        </w:tc>
      </w:tr>
      <w:tr w14:paraId="52EB0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73B46A27">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3657" w:type="dxa"/>
          </w:tcPr>
          <w:p w14:paraId="3E88ABCD">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专用台车</w:t>
            </w:r>
          </w:p>
        </w:tc>
        <w:tc>
          <w:tcPr>
            <w:tcW w:w="1915" w:type="dxa"/>
          </w:tcPr>
          <w:p w14:paraId="21FD6356">
            <w:pPr>
              <w:spacing w:line="440" w:lineRule="exact"/>
              <w:jc w:val="center"/>
              <w:rPr>
                <w:rFonts w:hint="eastAsia" w:ascii="宋体" w:hAnsi="宋体" w:eastAsia="宋体" w:cs="宋体"/>
                <w:color w:val="auto"/>
                <w:szCs w:val="21"/>
                <w:highlight w:val="none"/>
              </w:rPr>
            </w:pPr>
          </w:p>
        </w:tc>
        <w:tc>
          <w:tcPr>
            <w:tcW w:w="1197" w:type="dxa"/>
          </w:tcPr>
          <w:p w14:paraId="388D3A15">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989" w:type="dxa"/>
          </w:tcPr>
          <w:p w14:paraId="3EAF8206">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台</w:t>
            </w:r>
          </w:p>
        </w:tc>
      </w:tr>
      <w:tr w14:paraId="0BB3E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286B7E45">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3657" w:type="dxa"/>
          </w:tcPr>
          <w:p w14:paraId="09D90941">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超声图文工作站系统</w:t>
            </w:r>
          </w:p>
        </w:tc>
        <w:tc>
          <w:tcPr>
            <w:tcW w:w="1915" w:type="dxa"/>
          </w:tcPr>
          <w:p w14:paraId="0B43BABB">
            <w:pPr>
              <w:spacing w:line="440" w:lineRule="exact"/>
              <w:jc w:val="center"/>
              <w:rPr>
                <w:rFonts w:hint="eastAsia" w:ascii="宋体" w:hAnsi="宋体" w:eastAsia="宋体" w:cs="宋体"/>
                <w:color w:val="auto"/>
                <w:szCs w:val="21"/>
                <w:highlight w:val="none"/>
              </w:rPr>
            </w:pPr>
          </w:p>
        </w:tc>
        <w:tc>
          <w:tcPr>
            <w:tcW w:w="1197" w:type="dxa"/>
          </w:tcPr>
          <w:p w14:paraId="64D64490">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989" w:type="dxa"/>
          </w:tcPr>
          <w:p w14:paraId="360C3918">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套</w:t>
            </w:r>
          </w:p>
        </w:tc>
      </w:tr>
      <w:tr w14:paraId="5B9AC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67C03FDC">
            <w:pPr>
              <w:spacing w:line="44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3657" w:type="dxa"/>
            <w:shd w:val="clear" w:color="auto" w:fill="auto"/>
          </w:tcPr>
          <w:p w14:paraId="2EC481E3">
            <w:pPr>
              <w:spacing w:line="440" w:lineRule="exact"/>
              <w:jc w:val="center"/>
              <w:rPr>
                <w:rFonts w:ascii="宋体" w:hAnsi="宋体" w:eastAsia="宋体" w:cs="宋体"/>
                <w:b/>
                <w:color w:val="auto"/>
                <w:szCs w:val="21"/>
                <w:highlight w:val="none"/>
              </w:rPr>
            </w:pPr>
            <w:r>
              <w:rPr>
                <w:rFonts w:hint="eastAsia" w:ascii="宋体" w:hAnsi="宋体" w:eastAsia="宋体" w:cs="宋体"/>
                <w:color w:val="auto"/>
                <w:szCs w:val="21"/>
                <w:highlight w:val="none"/>
              </w:rPr>
              <w:t>中文说明书、中文维修手册、中文操作流程卡（另电子版1份）；</w:t>
            </w:r>
          </w:p>
        </w:tc>
        <w:tc>
          <w:tcPr>
            <w:tcW w:w="1915" w:type="dxa"/>
            <w:shd w:val="clear" w:color="auto" w:fill="auto"/>
          </w:tcPr>
          <w:p w14:paraId="3DE24D49">
            <w:pPr>
              <w:spacing w:line="440" w:lineRule="exact"/>
              <w:jc w:val="center"/>
              <w:rPr>
                <w:rFonts w:ascii="宋体" w:hAnsi="宋体" w:eastAsia="宋体" w:cs="宋体"/>
                <w:color w:val="auto"/>
                <w:kern w:val="0"/>
                <w:szCs w:val="21"/>
                <w:highlight w:val="none"/>
              </w:rPr>
            </w:pPr>
          </w:p>
        </w:tc>
        <w:tc>
          <w:tcPr>
            <w:tcW w:w="1197" w:type="dxa"/>
            <w:shd w:val="clear" w:color="auto" w:fill="auto"/>
          </w:tcPr>
          <w:p w14:paraId="6F0BFB8F">
            <w:pPr>
              <w:spacing w:line="440" w:lineRule="exact"/>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989" w:type="dxa"/>
            <w:shd w:val="clear" w:color="auto" w:fill="auto"/>
          </w:tcPr>
          <w:p w14:paraId="2CDFD25A">
            <w:pPr>
              <w:spacing w:line="440" w:lineRule="exact"/>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份</w:t>
            </w:r>
          </w:p>
        </w:tc>
      </w:tr>
      <w:tr w14:paraId="4F506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6DDBA578">
            <w:pPr>
              <w:spacing w:line="44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11</w:t>
            </w:r>
          </w:p>
        </w:tc>
        <w:tc>
          <w:tcPr>
            <w:tcW w:w="3657" w:type="dxa"/>
            <w:shd w:val="clear" w:color="auto" w:fill="auto"/>
          </w:tcPr>
          <w:p w14:paraId="696B8F74">
            <w:pPr>
              <w:spacing w:line="440" w:lineRule="exact"/>
              <w:jc w:val="center"/>
              <w:rPr>
                <w:rFonts w:ascii="宋体" w:hAnsi="宋体" w:eastAsia="宋体" w:cs="宋体"/>
                <w:b/>
                <w:color w:val="auto"/>
                <w:szCs w:val="21"/>
                <w:highlight w:val="none"/>
              </w:rPr>
            </w:pPr>
            <w:r>
              <w:rPr>
                <w:rFonts w:hint="eastAsia" w:ascii="宋体" w:hAnsi="宋体" w:eastAsia="宋体" w:cs="宋体"/>
                <w:color w:val="auto"/>
                <w:szCs w:val="21"/>
                <w:highlight w:val="none"/>
              </w:rPr>
              <w:t>配齐与主机相匹配的附件设备，如连接管、连线、架子、特殊插座插头和工具等</w:t>
            </w:r>
          </w:p>
        </w:tc>
        <w:tc>
          <w:tcPr>
            <w:tcW w:w="1915" w:type="dxa"/>
            <w:shd w:val="clear" w:color="auto" w:fill="auto"/>
          </w:tcPr>
          <w:p w14:paraId="68B48529">
            <w:pPr>
              <w:spacing w:line="440" w:lineRule="exact"/>
              <w:jc w:val="center"/>
              <w:rPr>
                <w:rFonts w:ascii="宋体" w:hAnsi="宋体" w:eastAsia="宋体" w:cs="宋体"/>
                <w:color w:val="auto"/>
                <w:kern w:val="0"/>
                <w:szCs w:val="21"/>
                <w:highlight w:val="none"/>
              </w:rPr>
            </w:pPr>
          </w:p>
        </w:tc>
        <w:tc>
          <w:tcPr>
            <w:tcW w:w="1197" w:type="dxa"/>
            <w:shd w:val="clear" w:color="auto" w:fill="auto"/>
          </w:tcPr>
          <w:p w14:paraId="24D14BEE">
            <w:pPr>
              <w:spacing w:line="440" w:lineRule="exact"/>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989" w:type="dxa"/>
            <w:shd w:val="clear" w:color="auto" w:fill="auto"/>
          </w:tcPr>
          <w:p w14:paraId="09A7DE9B">
            <w:pPr>
              <w:spacing w:line="440" w:lineRule="exact"/>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套</w:t>
            </w:r>
          </w:p>
        </w:tc>
      </w:tr>
    </w:tbl>
    <w:p w14:paraId="719A72F7">
      <w:pPr>
        <w:spacing w:line="440" w:lineRule="exact"/>
        <w:ind w:firstLine="420" w:firstLineChars="0"/>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上述配置为实现</w:t>
      </w:r>
      <w:r>
        <w:rPr>
          <w:rFonts w:ascii="宋体" w:hAnsi="宋体" w:eastAsia="宋体" w:cs="宋体"/>
          <w:color w:val="auto"/>
          <w:szCs w:val="21"/>
          <w:highlight w:val="none"/>
        </w:rPr>
        <w:t>超声经颅多普勒血流分析仪</w:t>
      </w:r>
      <w:r>
        <w:rPr>
          <w:rFonts w:hint="eastAsia" w:ascii="宋体" w:hAnsi="宋体" w:eastAsia="宋体" w:cs="宋体"/>
          <w:color w:val="auto"/>
          <w:szCs w:val="21"/>
          <w:highlight w:val="none"/>
          <w:lang w:val="en-US" w:eastAsia="zh-CN"/>
        </w:rPr>
        <w:t>检测上述参数功能、检测报告的生成和上传至病历系统功能而设定，若所投设备不能完成上述功能，则需自行增加同一品牌配置（所需费用包含在中标金额中）；若所投设备主机自带的软件系统能达到所有要求的报告生成和上传病历系统功能、图文工作站系统功能，则按原厂配置投标响应（所需费用包含在中标金额中）。</w:t>
      </w:r>
    </w:p>
    <w:p w14:paraId="171BC990">
      <w:pPr>
        <w:widowControl w:val="0"/>
        <w:numPr>
          <w:ilvl w:val="0"/>
          <w:numId w:val="0"/>
        </w:numPr>
        <w:spacing w:line="440" w:lineRule="exact"/>
        <w:ind w:leftChars="0"/>
        <w:jc w:val="left"/>
        <w:rPr>
          <w:rFonts w:hint="eastAsia" w:ascii="宋体" w:hAnsi="宋体" w:eastAsia="宋体" w:cs="宋体"/>
          <w:color w:val="auto"/>
          <w:sz w:val="21"/>
          <w:highlight w:val="none"/>
        </w:rPr>
      </w:pPr>
    </w:p>
    <w:p w14:paraId="286497C7">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五、</w:t>
      </w:r>
      <w:r>
        <w:rPr>
          <w:rFonts w:hint="eastAsia" w:ascii="宋体" w:hAnsi="宋体" w:eastAsia="宋体" w:cs="宋体"/>
          <w:b/>
          <w:color w:val="auto"/>
          <w:sz w:val="21"/>
          <w:szCs w:val="21"/>
          <w:highlight w:val="none"/>
        </w:rPr>
        <w:t>商务要求：</w:t>
      </w:r>
    </w:p>
    <w:tbl>
      <w:tblPr>
        <w:tblStyle w:val="1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774"/>
        <w:gridCol w:w="6532"/>
      </w:tblGrid>
      <w:tr w14:paraId="4AAF68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74" w:type="dxa"/>
          </w:tcPr>
          <w:p w14:paraId="3794CD2A">
            <w:pPr>
              <w:pStyle w:val="21"/>
              <w:rPr>
                <w:color w:val="auto"/>
                <w:highlight w:val="none"/>
              </w:rPr>
            </w:pPr>
            <w:r>
              <w:rPr>
                <w:color w:val="auto"/>
                <w:highlight w:val="none"/>
              </w:rPr>
              <w:t>标的提供的时间</w:t>
            </w:r>
          </w:p>
        </w:tc>
        <w:tc>
          <w:tcPr>
            <w:tcW w:w="6532" w:type="dxa"/>
          </w:tcPr>
          <w:p w14:paraId="3F63D70C">
            <w:pPr>
              <w:pStyle w:val="21"/>
              <w:rPr>
                <w:color w:val="auto"/>
                <w:highlight w:val="none"/>
              </w:rPr>
            </w:pP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应当在中标通知书发出之日起30</w:t>
            </w:r>
            <w:r>
              <w:rPr>
                <w:rFonts w:hint="eastAsia" w:ascii="宋体" w:hAnsi="宋体" w:eastAsia="宋体" w:cs="宋体"/>
                <w:color w:val="auto"/>
                <w:sz w:val="21"/>
                <w:szCs w:val="21"/>
                <w:highlight w:val="none"/>
                <w:lang w:val="en-US" w:eastAsia="zh-CN"/>
              </w:rPr>
              <w:t>个自然</w:t>
            </w:r>
            <w:r>
              <w:rPr>
                <w:rFonts w:hint="eastAsia" w:ascii="宋体" w:hAnsi="宋体" w:eastAsia="宋体" w:cs="宋体"/>
                <w:color w:val="auto"/>
                <w:sz w:val="21"/>
                <w:szCs w:val="21"/>
                <w:highlight w:val="none"/>
              </w:rPr>
              <w:t>日内按招标文件及中标人的投标文件确定的事项与采购人签订合同，签订合同后</w:t>
            </w:r>
            <w:r>
              <w:rPr>
                <w:rFonts w:hint="eastAsia" w:ascii="宋体" w:hAnsi="宋体" w:eastAsia="宋体" w:cs="宋体"/>
                <w:color w:val="auto"/>
                <w:sz w:val="21"/>
                <w:szCs w:val="21"/>
                <w:highlight w:val="none"/>
                <w:u w:val="single"/>
              </w:rPr>
              <w:t xml:space="preserve">  30  </w:t>
            </w:r>
            <w:r>
              <w:rPr>
                <w:rFonts w:hint="eastAsia" w:ascii="宋体" w:hAnsi="宋体" w:eastAsia="宋体" w:cs="宋体"/>
                <w:color w:val="auto"/>
                <w:sz w:val="21"/>
                <w:szCs w:val="21"/>
                <w:highlight w:val="none"/>
                <w:lang w:val="en-US" w:eastAsia="zh-CN"/>
              </w:rPr>
              <w:t>个自然</w:t>
            </w:r>
            <w:r>
              <w:rPr>
                <w:rFonts w:hint="eastAsia" w:ascii="宋体" w:hAnsi="宋体" w:eastAsia="宋体" w:cs="宋体"/>
                <w:color w:val="auto"/>
                <w:sz w:val="21"/>
                <w:szCs w:val="21"/>
                <w:highlight w:val="none"/>
              </w:rPr>
              <w:t>日内完成设备的安装调试。合同设备交付时</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应提供合同设备真实有效的生产日期，且保证合同设备的生产日期距交付时的时间差</w:t>
            </w:r>
            <w:r>
              <w:rPr>
                <w:rFonts w:hint="eastAsia" w:ascii="宋体" w:hAnsi="宋体" w:eastAsia="宋体" w:cs="宋体"/>
                <w:color w:val="auto"/>
                <w:sz w:val="21"/>
                <w:szCs w:val="21"/>
                <w:highlight w:val="none"/>
                <w:lang w:val="en-US" w:eastAsia="zh-CN"/>
              </w:rPr>
              <w:t>进口设备</w:t>
            </w:r>
            <w:r>
              <w:rPr>
                <w:rFonts w:hint="eastAsia" w:ascii="宋体" w:hAnsi="宋体" w:eastAsia="宋体" w:cs="宋体"/>
                <w:color w:val="auto"/>
                <w:sz w:val="21"/>
                <w:szCs w:val="21"/>
                <w:highlight w:val="none"/>
              </w:rPr>
              <w:t>不超过</w:t>
            </w:r>
            <w:r>
              <w:rPr>
                <w:rFonts w:hint="eastAsia" w:ascii="宋体" w:hAnsi="宋体" w:eastAsia="宋体" w:cs="宋体"/>
                <w:color w:val="auto"/>
                <w:sz w:val="21"/>
                <w:szCs w:val="21"/>
                <w:highlight w:val="none"/>
                <w:u w:val="single"/>
              </w:rPr>
              <w:t xml:space="preserve">  12个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本国产品设备不超过3个月</w:t>
            </w:r>
            <w:r>
              <w:rPr>
                <w:rFonts w:hint="eastAsia" w:ascii="宋体" w:hAnsi="宋体" w:eastAsia="宋体" w:cs="宋体"/>
                <w:color w:val="auto"/>
                <w:sz w:val="21"/>
                <w:szCs w:val="21"/>
                <w:highlight w:val="none"/>
              </w:rPr>
              <w:t>。</w:t>
            </w:r>
          </w:p>
        </w:tc>
      </w:tr>
      <w:tr w14:paraId="252A17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74" w:type="dxa"/>
          </w:tcPr>
          <w:p w14:paraId="6C8CD657">
            <w:pPr>
              <w:pStyle w:val="21"/>
              <w:rPr>
                <w:color w:val="auto"/>
                <w:highlight w:val="none"/>
              </w:rPr>
            </w:pPr>
            <w:r>
              <w:rPr>
                <w:color w:val="auto"/>
                <w:highlight w:val="none"/>
              </w:rPr>
              <w:t>标的提供的地点</w:t>
            </w:r>
          </w:p>
        </w:tc>
        <w:tc>
          <w:tcPr>
            <w:tcW w:w="6532" w:type="dxa"/>
          </w:tcPr>
          <w:p w14:paraId="05C23EB1">
            <w:pPr>
              <w:pStyle w:val="21"/>
              <w:rPr>
                <w:color w:val="auto"/>
                <w:highlight w:val="none"/>
              </w:rPr>
            </w:pPr>
            <w:r>
              <w:rPr>
                <w:color w:val="auto"/>
                <w:highlight w:val="none"/>
              </w:rPr>
              <w:t>采购人指定地点。</w:t>
            </w:r>
          </w:p>
        </w:tc>
      </w:tr>
      <w:tr w14:paraId="4E0C23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74" w:type="dxa"/>
          </w:tcPr>
          <w:p w14:paraId="387F0ACE">
            <w:pPr>
              <w:pStyle w:val="2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付款方式</w:t>
            </w:r>
          </w:p>
        </w:tc>
        <w:tc>
          <w:tcPr>
            <w:tcW w:w="6532" w:type="dxa"/>
          </w:tcPr>
          <w:p w14:paraId="72BB9F46">
            <w:pPr>
              <w:pStyle w:val="21"/>
              <w:rPr>
                <w:rFonts w:hint="eastAsia" w:ascii="宋体" w:hAnsi="宋体" w:eastAsia="宋体" w:cs="宋体"/>
                <w:color w:val="auto"/>
                <w:sz w:val="21"/>
                <w:szCs w:val="21"/>
                <w:highlight w:val="none"/>
                <w:lang w:val="en-US" w:eastAsia="zh-Hans"/>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Hans"/>
              </w:rPr>
              <w:t>本合同的每笔款项以人民币转账方式支付。</w:t>
            </w:r>
          </w:p>
          <w:p w14:paraId="47FC48F6">
            <w:pPr>
              <w:pStyle w:val="21"/>
              <w:rPr>
                <w:rFonts w:hint="eastAsia" w:ascii="宋体" w:hAnsi="宋体" w:eastAsia="宋体" w:cs="宋体"/>
                <w:color w:val="auto"/>
                <w:sz w:val="21"/>
                <w:szCs w:val="21"/>
                <w:highlight w:val="none"/>
                <w:lang w:val="en-US" w:eastAsia="zh-Hans"/>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Hans"/>
              </w:rPr>
              <w:t>合同签订后，中标人按合同协议时间提供货物或服务完成后，经采购人规定的验收人员书面确认验收合格，中标人即开具有效的增值税普通发票，采购人确认发票无误后，在收到发票之日起 30日内，支付合同总金额的95%；合同总金额的5%，作为第二期款项，在 质保期满后一次性无息支付。</w:t>
            </w:r>
          </w:p>
          <w:p w14:paraId="3B2DC8B7">
            <w:pPr>
              <w:pStyle w:val="21"/>
              <w:rPr>
                <w:rFonts w:hint="eastAsia" w:ascii="宋体" w:hAnsi="宋体" w:eastAsia="宋体" w:cs="宋体"/>
                <w:color w:val="auto"/>
                <w:sz w:val="21"/>
                <w:szCs w:val="21"/>
                <w:highlight w:val="none"/>
              </w:rPr>
            </w:pPr>
          </w:p>
        </w:tc>
      </w:tr>
      <w:tr w14:paraId="68F1D2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74" w:type="dxa"/>
          </w:tcPr>
          <w:p w14:paraId="10A8D72C">
            <w:pPr>
              <w:pStyle w:val="21"/>
              <w:rPr>
                <w:color w:val="auto"/>
                <w:highlight w:val="none"/>
              </w:rPr>
            </w:pPr>
            <w:r>
              <w:rPr>
                <w:color w:val="auto"/>
                <w:highlight w:val="none"/>
              </w:rPr>
              <w:t>验收要求</w:t>
            </w:r>
          </w:p>
        </w:tc>
        <w:tc>
          <w:tcPr>
            <w:tcW w:w="6532" w:type="dxa"/>
          </w:tcPr>
          <w:p w14:paraId="7C95E956">
            <w:pPr>
              <w:pStyle w:val="21"/>
              <w:rPr>
                <w:color w:val="auto"/>
                <w:highlight w:val="none"/>
              </w:rPr>
            </w:pPr>
            <w:r>
              <w:rPr>
                <w:rFonts w:hint="eastAsia"/>
                <w:color w:val="auto"/>
                <w:highlight w:val="none"/>
              </w:rPr>
              <w:t>按《小榄镇公立医院政府采购和验收办法》</w:t>
            </w:r>
            <w:r>
              <w:rPr>
                <w:rFonts w:hint="eastAsia"/>
                <w:color w:val="auto"/>
                <w:highlight w:val="none"/>
                <w:lang w:val="en-US" w:eastAsia="zh-CN"/>
              </w:rPr>
              <w:t>和《中山市小榄人民医院医疗设备验收管理制度》</w:t>
            </w:r>
            <w:r>
              <w:rPr>
                <w:rFonts w:hint="eastAsia"/>
                <w:color w:val="auto"/>
                <w:highlight w:val="none"/>
              </w:rPr>
              <w:t>。</w:t>
            </w:r>
          </w:p>
        </w:tc>
      </w:tr>
      <w:tr w14:paraId="2F1AB0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74" w:type="dxa"/>
          </w:tcPr>
          <w:p w14:paraId="32A2137E">
            <w:pPr>
              <w:pStyle w:val="21"/>
              <w:rPr>
                <w:color w:val="auto"/>
                <w:highlight w:val="none"/>
              </w:rPr>
            </w:pPr>
            <w:r>
              <w:rPr>
                <w:color w:val="auto"/>
                <w:highlight w:val="none"/>
              </w:rPr>
              <w:t>履约保证金</w:t>
            </w:r>
          </w:p>
        </w:tc>
        <w:tc>
          <w:tcPr>
            <w:tcW w:w="6532" w:type="dxa"/>
          </w:tcPr>
          <w:p w14:paraId="0B243354">
            <w:pPr>
              <w:pStyle w:val="21"/>
              <w:rPr>
                <w:color w:val="auto"/>
                <w:highlight w:val="none"/>
              </w:rPr>
            </w:pPr>
            <w:r>
              <w:rPr>
                <w:color w:val="auto"/>
                <w:highlight w:val="none"/>
              </w:rPr>
              <w:t>不收取</w:t>
            </w:r>
          </w:p>
        </w:tc>
      </w:tr>
      <w:tr w14:paraId="19C783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74" w:type="dxa"/>
          </w:tcPr>
          <w:p w14:paraId="1B3D4D19">
            <w:pPr>
              <w:pStyle w:val="21"/>
              <w:rPr>
                <w:rFonts w:hint="default" w:eastAsiaTheme="minorEastAsia"/>
                <w:color w:val="auto"/>
                <w:highlight w:val="none"/>
                <w:lang w:val="en-US" w:eastAsia="zh-CN"/>
              </w:rPr>
            </w:pPr>
            <w:r>
              <w:rPr>
                <w:color w:val="auto"/>
                <w:highlight w:val="none"/>
              </w:rPr>
              <w:t>其他</w:t>
            </w:r>
            <w:r>
              <w:rPr>
                <w:rFonts w:hint="eastAsia"/>
                <w:color w:val="auto"/>
                <w:highlight w:val="none"/>
                <w:lang w:val="en-US" w:eastAsia="zh-CN"/>
              </w:rPr>
              <w:t>商务要求</w:t>
            </w:r>
          </w:p>
        </w:tc>
        <w:tc>
          <w:tcPr>
            <w:tcW w:w="6532" w:type="dxa"/>
          </w:tcPr>
          <w:p w14:paraId="2F9B26FA">
            <w:pPr>
              <w:pStyle w:val="21"/>
              <w:numPr>
                <w:ilvl w:val="0"/>
                <w:numId w:val="5"/>
              </w:numPr>
              <w:rPr>
                <w:rFonts w:hint="eastAsia"/>
                <w:color w:val="auto"/>
                <w:highlight w:val="none"/>
                <w:lang w:val="en-US" w:eastAsia="zh-CN"/>
              </w:rPr>
            </w:pPr>
            <w:r>
              <w:rPr>
                <w:rFonts w:hint="eastAsia"/>
                <w:color w:val="auto"/>
                <w:highlight w:val="none"/>
                <w:lang w:val="en-US" w:eastAsia="zh-CN"/>
              </w:rPr>
              <w:t>中标人须保证中标后所提供的设备为原装、全新合格的产品。</w:t>
            </w:r>
          </w:p>
          <w:p w14:paraId="17232391">
            <w:pPr>
              <w:pStyle w:val="21"/>
              <w:numPr>
                <w:ilvl w:val="0"/>
                <w:numId w:val="5"/>
              </w:numPr>
              <w:rPr>
                <w:rFonts w:hint="default"/>
                <w:color w:val="auto"/>
                <w:highlight w:val="none"/>
                <w:lang w:val="en-US" w:eastAsia="zh-CN"/>
              </w:rPr>
            </w:pPr>
            <w:r>
              <w:rPr>
                <w:rFonts w:hint="default"/>
                <w:color w:val="auto"/>
                <w:highlight w:val="none"/>
                <w:lang w:val="en-US" w:eastAsia="zh-CN"/>
              </w:rPr>
              <w:t>中标人负责派技术人员到现场进行安装调试，直至验收合格，安装调试所需费用应包含在投标总报价内；同时提供培训服务，必须保证需求科室操作人员融会贯通，培训所需费用全部包含在总报价内。</w:t>
            </w:r>
          </w:p>
          <w:p w14:paraId="01C7D4DC">
            <w:pPr>
              <w:pStyle w:val="21"/>
              <w:numPr>
                <w:ilvl w:val="0"/>
                <w:numId w:val="5"/>
              </w:numPr>
              <w:rPr>
                <w:rFonts w:hint="default"/>
                <w:b/>
                <w:bCs/>
                <w:color w:val="auto"/>
                <w:highlight w:val="none"/>
                <w:lang w:val="en-US" w:eastAsia="zh-CN"/>
              </w:rPr>
            </w:pPr>
            <w:r>
              <w:rPr>
                <w:rFonts w:hint="default"/>
                <w:b/>
                <w:bCs/>
                <w:color w:val="auto"/>
                <w:highlight w:val="none"/>
                <w:lang w:val="en-US" w:eastAsia="zh-CN"/>
              </w:rPr>
              <w:t>★</w:t>
            </w:r>
            <w:r>
              <w:rPr>
                <w:rFonts w:hint="default"/>
                <w:b/>
                <w:bCs/>
                <w:color w:val="auto"/>
                <w:sz w:val="21"/>
                <w:szCs w:val="21"/>
                <w:highlight w:val="none"/>
                <w:lang w:val="en-US" w:eastAsia="zh-CN"/>
              </w:rPr>
              <w:t>投标人须在投标文件提供该项目完整的授权书。</w:t>
            </w:r>
          </w:p>
          <w:p w14:paraId="16E4BEB4">
            <w:pPr>
              <w:pStyle w:val="21"/>
              <w:numPr>
                <w:ilvl w:val="0"/>
                <w:numId w:val="5"/>
              </w:numPr>
              <w:rPr>
                <w:rFonts w:hint="default"/>
                <w:color w:val="auto"/>
                <w:highlight w:val="none"/>
                <w:lang w:val="en-US" w:eastAsia="zh-CN"/>
              </w:rPr>
            </w:pPr>
            <w:r>
              <w:rPr>
                <w:rFonts w:hint="default"/>
                <w:color w:val="auto"/>
                <w:highlight w:val="none"/>
                <w:lang w:val="en-US" w:eastAsia="zh-CN"/>
              </w:rPr>
              <w:t>投标人所投设备若属于计量仪器的，设备到货安装后需通过具有国家部门颁发专业检测资质证书的第三方计量检测单位检测并提供合格报告，所需费用包含在投标价内，采购人不再另行支付。</w:t>
            </w:r>
          </w:p>
          <w:p w14:paraId="5FCD368F">
            <w:pPr>
              <w:pStyle w:val="21"/>
              <w:numPr>
                <w:ilvl w:val="0"/>
                <w:numId w:val="5"/>
              </w:numPr>
              <w:rPr>
                <w:rFonts w:hint="default"/>
                <w:color w:val="auto"/>
                <w:highlight w:val="none"/>
                <w:lang w:val="en-US" w:eastAsia="zh-CN"/>
              </w:rPr>
            </w:pPr>
            <w:r>
              <w:rPr>
                <w:rFonts w:hint="default"/>
                <w:color w:val="auto"/>
                <w:highlight w:val="none"/>
                <w:lang w:val="en-US" w:eastAsia="zh-CN"/>
              </w:rPr>
              <w:t>中标人必须在中国境内有售后服务机构，并附有售后服务能力说明。</w:t>
            </w:r>
          </w:p>
          <w:p w14:paraId="120F5ED5">
            <w:pPr>
              <w:pStyle w:val="21"/>
              <w:numPr>
                <w:ilvl w:val="0"/>
                <w:numId w:val="5"/>
              </w:numPr>
              <w:rPr>
                <w:rFonts w:hint="default" w:asciiTheme="minorHAnsi" w:hAnsiTheme="minorHAnsi" w:eastAsiaTheme="minorEastAsia" w:cstheme="minorBidi"/>
                <w:b/>
                <w:bCs/>
                <w:color w:val="auto"/>
                <w:sz w:val="20"/>
                <w:szCs w:val="20"/>
                <w:highlight w:val="none"/>
                <w:lang w:eastAsia="zh-CN"/>
              </w:rPr>
            </w:pPr>
            <w:r>
              <w:rPr>
                <w:rFonts w:hint="default" w:asciiTheme="minorHAnsi" w:hAnsiTheme="minorHAnsi" w:eastAsiaTheme="minorEastAsia" w:cstheme="minorBidi"/>
                <w:b/>
                <w:bCs/>
                <w:color w:val="auto"/>
                <w:sz w:val="20"/>
                <w:szCs w:val="20"/>
                <w:highlight w:val="none"/>
                <w:lang w:eastAsia="zh-CN"/>
              </w:rPr>
              <w:t>中标人须提供设备原厂质保（设备原厂质量保修范围和</w:t>
            </w:r>
            <w:r>
              <w:rPr>
                <w:rFonts w:hint="default" w:asciiTheme="minorHAnsi" w:hAnsiTheme="minorHAnsi" w:eastAsiaTheme="minorEastAsia" w:cstheme="minorBidi"/>
                <w:b/>
                <w:bCs/>
                <w:color w:val="auto"/>
                <w:sz w:val="20"/>
                <w:szCs w:val="20"/>
                <w:highlight w:val="none"/>
                <w:lang w:val="en-US" w:eastAsia="zh-CN"/>
              </w:rPr>
              <w:t>质保期</w:t>
            </w:r>
            <w:r>
              <w:rPr>
                <w:rFonts w:hint="default" w:asciiTheme="minorHAnsi" w:hAnsiTheme="minorHAnsi" w:eastAsiaTheme="minorEastAsia" w:cstheme="minorBidi"/>
                <w:b/>
                <w:bCs/>
                <w:color w:val="auto"/>
                <w:sz w:val="20"/>
                <w:szCs w:val="20"/>
                <w:highlight w:val="none"/>
                <w:lang w:eastAsia="zh-CN"/>
              </w:rPr>
              <w:t>）至少为</w:t>
            </w:r>
            <w:r>
              <w:rPr>
                <w:rFonts w:hint="default" w:asciiTheme="minorHAnsi" w:hAnsiTheme="minorHAnsi" w:eastAsiaTheme="minorEastAsia" w:cstheme="minorBidi"/>
                <w:b/>
                <w:bCs/>
                <w:color w:val="auto"/>
                <w:sz w:val="20"/>
                <w:szCs w:val="20"/>
                <w:highlight w:val="none"/>
                <w:u w:val="single"/>
                <w:lang w:eastAsia="zh-CN"/>
              </w:rPr>
              <w:t xml:space="preserve">  </w:t>
            </w:r>
            <w:r>
              <w:rPr>
                <w:rFonts w:hint="eastAsia" w:cstheme="minorBidi"/>
                <w:b/>
                <w:bCs/>
                <w:color w:val="auto"/>
                <w:sz w:val="20"/>
                <w:szCs w:val="20"/>
                <w:highlight w:val="none"/>
                <w:u w:val="single"/>
                <w:lang w:val="en-US" w:eastAsia="zh-CN"/>
              </w:rPr>
              <w:t xml:space="preserve"> 2</w:t>
            </w:r>
            <w:r>
              <w:rPr>
                <w:rFonts w:hint="default" w:asciiTheme="minorHAnsi" w:hAnsiTheme="minorHAnsi" w:eastAsiaTheme="minorEastAsia" w:cstheme="minorBidi"/>
                <w:b/>
                <w:bCs/>
                <w:color w:val="auto"/>
                <w:sz w:val="20"/>
                <w:szCs w:val="20"/>
                <w:highlight w:val="none"/>
                <w:lang w:eastAsia="zh-CN"/>
              </w:rPr>
              <w:t>年</w:t>
            </w:r>
            <w:r>
              <w:rPr>
                <w:color w:val="auto"/>
                <w:highlight w:val="none"/>
              </w:rPr>
              <w:t>(</w:t>
            </w:r>
            <w:r>
              <w:rPr>
                <w:rFonts w:hint="eastAsia"/>
                <w:color w:val="auto"/>
                <w:highlight w:val="none"/>
                <w:lang w:eastAsia="zh-CN"/>
              </w:rPr>
              <w:t>（</w:t>
            </w:r>
            <w:r>
              <w:rPr>
                <w:color w:val="auto"/>
                <w:highlight w:val="none"/>
              </w:rPr>
              <w:t>从验收合格签字之日起)</w:t>
            </w:r>
            <w:r>
              <w:rPr>
                <w:rFonts w:hint="default" w:asciiTheme="minorHAnsi" w:hAnsiTheme="minorHAnsi" w:eastAsiaTheme="minorEastAsia" w:cstheme="minorBidi"/>
                <w:b/>
                <w:bCs/>
                <w:color w:val="auto"/>
                <w:sz w:val="20"/>
                <w:szCs w:val="20"/>
                <w:highlight w:val="none"/>
                <w:lang w:eastAsia="zh-CN"/>
              </w:rPr>
              <w:t>。</w:t>
            </w:r>
          </w:p>
          <w:p w14:paraId="1EE19299">
            <w:pPr>
              <w:pStyle w:val="21"/>
              <w:numPr>
                <w:ilvl w:val="0"/>
                <w:numId w:val="5"/>
              </w:numPr>
              <w:rPr>
                <w:rFonts w:hint="default"/>
                <w:color w:val="auto"/>
                <w:highlight w:val="none"/>
                <w:lang w:val="en-US" w:eastAsia="zh-CN"/>
              </w:rPr>
            </w:pPr>
            <w:r>
              <w:rPr>
                <w:rFonts w:hint="default"/>
                <w:color w:val="auto"/>
                <w:highlight w:val="none"/>
                <w:lang w:val="en-US" w:eastAsia="zh-CN"/>
              </w:rPr>
              <w:t>在质保期内，中标人在接到用户的维修通知，响应时间为0.5小时内，工程师到达现场时间为4小时内，排除故障时限为到达现场后8小时内。</w:t>
            </w:r>
          </w:p>
          <w:p w14:paraId="6EB16625">
            <w:pPr>
              <w:pStyle w:val="21"/>
              <w:numPr>
                <w:ilvl w:val="0"/>
                <w:numId w:val="5"/>
              </w:numPr>
              <w:rPr>
                <w:rFonts w:hint="default"/>
                <w:color w:val="auto"/>
                <w:highlight w:val="none"/>
                <w:lang w:val="en-US" w:eastAsia="zh-CN"/>
              </w:rPr>
            </w:pPr>
            <w:r>
              <w:rPr>
                <w:rFonts w:hint="default"/>
                <w:color w:val="auto"/>
                <w:highlight w:val="none"/>
                <w:lang w:val="en-US" w:eastAsia="zh-CN"/>
              </w:rPr>
              <w:t>质保期内</w:t>
            </w:r>
            <w:r>
              <w:rPr>
                <w:color w:val="auto"/>
                <w:highlight w:val="none"/>
              </w:rPr>
              <w:t>，设备如因故障维修超过2天，厂家需要按1：2延长保修期（具体时间，按天数算）。</w:t>
            </w:r>
          </w:p>
          <w:p w14:paraId="703682C5">
            <w:pPr>
              <w:pStyle w:val="21"/>
              <w:numPr>
                <w:ilvl w:val="0"/>
                <w:numId w:val="5"/>
              </w:numPr>
              <w:rPr>
                <w:rFonts w:hint="default"/>
                <w:color w:val="auto"/>
                <w:highlight w:val="none"/>
                <w:lang w:val="en-US" w:eastAsia="zh-CN"/>
              </w:rPr>
            </w:pPr>
            <w:bookmarkStart w:id="0" w:name="_GoBack"/>
            <w:r>
              <w:rPr>
                <w:rFonts w:hint="default"/>
                <w:color w:val="auto"/>
                <w:highlight w:val="none"/>
                <w:lang w:val="en-US" w:eastAsia="zh-CN"/>
              </w:rPr>
              <w:t>如果产品故障在检修12小时后仍无法排除，中标人应在24小时内提供不低于故障产品规格型号档次的备用产品供采购人使用，直至故障产品修复。</w:t>
            </w:r>
          </w:p>
          <w:bookmarkEnd w:id="0"/>
          <w:p w14:paraId="482999C8">
            <w:pPr>
              <w:pStyle w:val="21"/>
              <w:numPr>
                <w:ilvl w:val="0"/>
                <w:numId w:val="0"/>
              </w:numPr>
              <w:rPr>
                <w:rFonts w:hint="default"/>
                <w:color w:val="auto"/>
                <w:highlight w:val="none"/>
                <w:lang w:val="en-US" w:eastAsia="zh-CN"/>
              </w:rPr>
            </w:pPr>
          </w:p>
        </w:tc>
      </w:tr>
    </w:tbl>
    <w:p w14:paraId="339B0ADA">
      <w:pPr>
        <w:pStyle w:val="3"/>
        <w:rPr>
          <w:rFonts w:hint="eastAsia" w:ascii="宋体" w:hAnsi="宋体" w:eastAsia="宋体" w:cs="宋体"/>
          <w:color w:val="auto"/>
          <w:sz w:val="21"/>
          <w:szCs w:val="21"/>
          <w:highlight w:val="none"/>
        </w:rPr>
      </w:pPr>
    </w:p>
    <w:p w14:paraId="14A616B1">
      <w:pPr>
        <w:spacing w:line="440" w:lineRule="exact"/>
        <w:rPr>
          <w:rFonts w:hint="eastAsia" w:ascii="宋体" w:hAnsi="宋体" w:eastAsia="宋体" w:cs="宋体"/>
          <w:color w:val="auto"/>
          <w:sz w:val="21"/>
          <w:szCs w:val="21"/>
          <w:highlight w:val="none"/>
        </w:rPr>
      </w:pPr>
    </w:p>
    <w:p w14:paraId="7EDF3ECE">
      <w:pPr>
        <w:spacing w:line="440" w:lineRule="exact"/>
        <w:ind w:firstLine="480" w:firstLineChars="200"/>
        <w:rPr>
          <w:rFonts w:ascii="仿宋" w:hAnsi="仿宋" w:eastAsia="仿宋" w:cs="仿宋"/>
          <w:color w:val="auto"/>
          <w:sz w:val="24"/>
          <w:highlight w:val="none"/>
        </w:rPr>
      </w:pPr>
    </w:p>
    <w:p w14:paraId="415EC3F1">
      <w:pPr>
        <w:rPr>
          <w:rFonts w:ascii="仿宋" w:hAnsi="仿宋" w:eastAsia="仿宋" w:cs="仿宋"/>
          <w:color w:val="auto"/>
          <w:sz w:val="24"/>
          <w:highlight w:val="none"/>
          <w:lang w:val="zh-CN"/>
        </w:rPr>
      </w:pPr>
    </w:p>
    <w:sectPr>
      <w:headerReference r:id="rId3" w:type="default"/>
      <w:footerReference r:id="rId4" w:type="default"/>
      <w:pgSz w:w="11906" w:h="16838"/>
      <w:pgMar w:top="1440" w:right="1800" w:bottom="1440" w:left="1800" w:header="851" w:footer="425"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C622F">
    <w:pPr>
      <w:pStyle w:val="6"/>
      <w:rPr>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F0BF8A">
                          <w:pPr>
                            <w:pStyle w:val="6"/>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9F0BF8A">
                    <w:pPr>
                      <w:pStyle w:val="6"/>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10</w:t>
                    </w:r>
                    <w:r>
                      <w:fldChar w:fldCharType="end"/>
                    </w:r>
                  </w:p>
                </w:txbxContent>
              </v:textbox>
            </v:shape>
          </w:pict>
        </mc:Fallback>
      </mc:AlternateContent>
    </w:r>
  </w:p>
  <w:sdt>
    <w:sdtPr>
      <w:rPr>
        <w:rFonts w:hint="default"/>
        <w:lang w:val="en-US"/>
      </w:rPr>
      <w:id w:val="16030351"/>
    </w:sdtPr>
    <w:sdtEndPr>
      <w:rPr>
        <w:rFonts w:hint="default"/>
        <w:lang w:val="en-US"/>
      </w:rPr>
    </w:sdtEndPr>
    <w:sdtContent>
      <w:p w14:paraId="5130A9F5">
        <w:pPr>
          <w:pStyle w:val="6"/>
        </w:pPr>
        <w:r>
          <w:rPr>
            <w:rFonts w:hint="eastAsia"/>
            <w:lang w:val="en-US" w:eastAsia="zh-CN"/>
          </w:rPr>
          <w:t>需求科室</w:t>
        </w:r>
        <w:r>
          <w:rPr>
            <w:rFonts w:hint="eastAsia"/>
          </w:rPr>
          <w:t xml:space="preserve">：                                </w:t>
        </w:r>
        <w:r>
          <w:rPr>
            <w:rFonts w:hint="eastAsia"/>
            <w:lang w:val="en-US" w:eastAsia="zh-CN"/>
          </w:rPr>
          <w:t xml:space="preserve">  医学装备科</w:t>
        </w:r>
        <w:r>
          <w:rPr>
            <w:rFonts w:hint="eastAsia"/>
          </w:rPr>
          <w:t>：</w:t>
        </w:r>
      </w:p>
      <w:p w14:paraId="5574CA4A">
        <w:pPr>
          <w:pStyle w:val="6"/>
        </w:pPr>
      </w:p>
      <w:p w14:paraId="4114F3F0">
        <w:pPr>
          <w:pStyle w:val="6"/>
        </w:pPr>
      </w:p>
    </w:sdtContent>
  </w:sdt>
  <w:p w14:paraId="38E17460"/>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9931A">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3AC567"/>
    <w:multiLevelType w:val="singleLevel"/>
    <w:tmpl w:val="CB3AC567"/>
    <w:lvl w:ilvl="0" w:tentative="0">
      <w:start w:val="1"/>
      <w:numFmt w:val="chineseCounting"/>
      <w:suff w:val="nothing"/>
      <w:lvlText w:val="（%1）"/>
      <w:lvlJc w:val="left"/>
      <w:pPr>
        <w:ind w:left="0" w:firstLine="420"/>
      </w:pPr>
      <w:rPr>
        <w:rFonts w:hint="eastAsia"/>
      </w:rPr>
    </w:lvl>
  </w:abstractNum>
  <w:abstractNum w:abstractNumId="1">
    <w:nsid w:val="F91C019F"/>
    <w:multiLevelType w:val="singleLevel"/>
    <w:tmpl w:val="F91C019F"/>
    <w:lvl w:ilvl="0" w:tentative="0">
      <w:start w:val="16"/>
      <w:numFmt w:val="decimal"/>
      <w:suff w:val="nothing"/>
      <w:lvlText w:val="（%1）"/>
      <w:lvlJc w:val="left"/>
    </w:lvl>
  </w:abstractNum>
  <w:abstractNum w:abstractNumId="2">
    <w:nsid w:val="FE740304"/>
    <w:multiLevelType w:val="singleLevel"/>
    <w:tmpl w:val="FE740304"/>
    <w:lvl w:ilvl="0" w:tentative="0">
      <w:start w:val="1"/>
      <w:numFmt w:val="decimal"/>
      <w:lvlText w:val="%1."/>
      <w:lvlJc w:val="left"/>
      <w:pPr>
        <w:tabs>
          <w:tab w:val="left" w:pos="312"/>
        </w:tabs>
      </w:pPr>
    </w:lvl>
  </w:abstractNum>
  <w:abstractNum w:abstractNumId="3">
    <w:nsid w:val="1E7E8738"/>
    <w:multiLevelType w:val="singleLevel"/>
    <w:tmpl w:val="1E7E8738"/>
    <w:lvl w:ilvl="0" w:tentative="0">
      <w:start w:val="1"/>
      <w:numFmt w:val="chineseCounting"/>
      <w:suff w:val="nothing"/>
      <w:lvlText w:val="%1、"/>
      <w:lvlJc w:val="left"/>
      <w:rPr>
        <w:rFonts w:hint="eastAsia"/>
      </w:rPr>
    </w:lvl>
  </w:abstractNum>
  <w:abstractNum w:abstractNumId="4">
    <w:nsid w:val="49300EE6"/>
    <w:multiLevelType w:val="singleLevel"/>
    <w:tmpl w:val="49300EE6"/>
    <w:lvl w:ilvl="0" w:tentative="0">
      <w:start w:val="1"/>
      <w:numFmt w:val="decimal"/>
      <w:lvlText w:val="%1."/>
      <w:lvlJc w:val="left"/>
      <w:pPr>
        <w:tabs>
          <w:tab w:val="left" w:pos="312"/>
        </w:tabs>
      </w:p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wZWM1NTIxZjZkMTFkYmM1ZDhjYWQ1ZjllOTYzZjUifQ=="/>
  </w:docVars>
  <w:rsids>
    <w:rsidRoot w:val="027725AF"/>
    <w:rsid w:val="00000267"/>
    <w:rsid w:val="00000AF6"/>
    <w:rsid w:val="00016B72"/>
    <w:rsid w:val="00036444"/>
    <w:rsid w:val="00065257"/>
    <w:rsid w:val="000C5864"/>
    <w:rsid w:val="00136269"/>
    <w:rsid w:val="00152E6E"/>
    <w:rsid w:val="001564F2"/>
    <w:rsid w:val="00164D4A"/>
    <w:rsid w:val="001D1D4A"/>
    <w:rsid w:val="001F6B01"/>
    <w:rsid w:val="00215636"/>
    <w:rsid w:val="0022457A"/>
    <w:rsid w:val="00227ED6"/>
    <w:rsid w:val="00234D13"/>
    <w:rsid w:val="002616DE"/>
    <w:rsid w:val="00293A7C"/>
    <w:rsid w:val="002B5F04"/>
    <w:rsid w:val="002E2203"/>
    <w:rsid w:val="002F4E01"/>
    <w:rsid w:val="00341440"/>
    <w:rsid w:val="00342D38"/>
    <w:rsid w:val="00345474"/>
    <w:rsid w:val="003662C2"/>
    <w:rsid w:val="0037094F"/>
    <w:rsid w:val="003A7C0C"/>
    <w:rsid w:val="003F6DDB"/>
    <w:rsid w:val="00411292"/>
    <w:rsid w:val="004312C9"/>
    <w:rsid w:val="00440D87"/>
    <w:rsid w:val="00467A71"/>
    <w:rsid w:val="004A1404"/>
    <w:rsid w:val="004C251B"/>
    <w:rsid w:val="005002B7"/>
    <w:rsid w:val="00507EB2"/>
    <w:rsid w:val="0052211A"/>
    <w:rsid w:val="005472B7"/>
    <w:rsid w:val="00553084"/>
    <w:rsid w:val="0055425D"/>
    <w:rsid w:val="00587AFC"/>
    <w:rsid w:val="005A38AB"/>
    <w:rsid w:val="005D041B"/>
    <w:rsid w:val="005D4C82"/>
    <w:rsid w:val="00607917"/>
    <w:rsid w:val="00643222"/>
    <w:rsid w:val="00646CFF"/>
    <w:rsid w:val="00695736"/>
    <w:rsid w:val="006A0103"/>
    <w:rsid w:val="007943B1"/>
    <w:rsid w:val="007A320E"/>
    <w:rsid w:val="007A3E4E"/>
    <w:rsid w:val="007B6779"/>
    <w:rsid w:val="007D756B"/>
    <w:rsid w:val="007E3690"/>
    <w:rsid w:val="007E613A"/>
    <w:rsid w:val="007F2B11"/>
    <w:rsid w:val="007F33E6"/>
    <w:rsid w:val="008639CD"/>
    <w:rsid w:val="00876B88"/>
    <w:rsid w:val="008A5819"/>
    <w:rsid w:val="008A6F6D"/>
    <w:rsid w:val="008F4E7C"/>
    <w:rsid w:val="008F6ACD"/>
    <w:rsid w:val="00950093"/>
    <w:rsid w:val="009852DA"/>
    <w:rsid w:val="009B3DE4"/>
    <w:rsid w:val="009B5110"/>
    <w:rsid w:val="009C06B8"/>
    <w:rsid w:val="009C60B9"/>
    <w:rsid w:val="009F5D10"/>
    <w:rsid w:val="00AB5743"/>
    <w:rsid w:val="00AC3F2C"/>
    <w:rsid w:val="00B10D67"/>
    <w:rsid w:val="00B22E91"/>
    <w:rsid w:val="00B72C76"/>
    <w:rsid w:val="00B77F33"/>
    <w:rsid w:val="00BA0DB4"/>
    <w:rsid w:val="00BC3D3B"/>
    <w:rsid w:val="00BC522A"/>
    <w:rsid w:val="00BE1E32"/>
    <w:rsid w:val="00C23FE8"/>
    <w:rsid w:val="00C5781C"/>
    <w:rsid w:val="00C61C7C"/>
    <w:rsid w:val="00C97C1D"/>
    <w:rsid w:val="00CD392D"/>
    <w:rsid w:val="00CF6139"/>
    <w:rsid w:val="00D00163"/>
    <w:rsid w:val="00D076B0"/>
    <w:rsid w:val="00D46D87"/>
    <w:rsid w:val="00D47646"/>
    <w:rsid w:val="00D932D0"/>
    <w:rsid w:val="00DC1A43"/>
    <w:rsid w:val="00E35651"/>
    <w:rsid w:val="00E60436"/>
    <w:rsid w:val="00E71C5B"/>
    <w:rsid w:val="00EA68FA"/>
    <w:rsid w:val="00EC3435"/>
    <w:rsid w:val="00F066CA"/>
    <w:rsid w:val="00F42A70"/>
    <w:rsid w:val="00F75603"/>
    <w:rsid w:val="00F801B8"/>
    <w:rsid w:val="00F82B4B"/>
    <w:rsid w:val="00FA3C7F"/>
    <w:rsid w:val="00FF4826"/>
    <w:rsid w:val="01C3282F"/>
    <w:rsid w:val="01E70628"/>
    <w:rsid w:val="01F01DC8"/>
    <w:rsid w:val="01F15150"/>
    <w:rsid w:val="027725AF"/>
    <w:rsid w:val="02F75AEA"/>
    <w:rsid w:val="034F59FA"/>
    <w:rsid w:val="04762137"/>
    <w:rsid w:val="04C74194"/>
    <w:rsid w:val="04FD27DA"/>
    <w:rsid w:val="059C6E94"/>
    <w:rsid w:val="066D19F4"/>
    <w:rsid w:val="06766A2D"/>
    <w:rsid w:val="07181D94"/>
    <w:rsid w:val="09244FCF"/>
    <w:rsid w:val="09342015"/>
    <w:rsid w:val="0AC018CC"/>
    <w:rsid w:val="0C8A2C23"/>
    <w:rsid w:val="0CE34588"/>
    <w:rsid w:val="0D215512"/>
    <w:rsid w:val="0EA4509A"/>
    <w:rsid w:val="0FC76707"/>
    <w:rsid w:val="10DB6F33"/>
    <w:rsid w:val="12142A6E"/>
    <w:rsid w:val="126775F5"/>
    <w:rsid w:val="13D749A0"/>
    <w:rsid w:val="140524A5"/>
    <w:rsid w:val="14F438F2"/>
    <w:rsid w:val="154075F9"/>
    <w:rsid w:val="16044AB9"/>
    <w:rsid w:val="16797F90"/>
    <w:rsid w:val="1759391E"/>
    <w:rsid w:val="17A84A31"/>
    <w:rsid w:val="183B0A00"/>
    <w:rsid w:val="18AC198D"/>
    <w:rsid w:val="19816B2D"/>
    <w:rsid w:val="1A362D0A"/>
    <w:rsid w:val="1A9A1AE2"/>
    <w:rsid w:val="1AF75928"/>
    <w:rsid w:val="1B717BA4"/>
    <w:rsid w:val="1B8010EA"/>
    <w:rsid w:val="1BFB6677"/>
    <w:rsid w:val="1D0600A4"/>
    <w:rsid w:val="1DB403E5"/>
    <w:rsid w:val="1E1B7A04"/>
    <w:rsid w:val="1F0C2891"/>
    <w:rsid w:val="1FC75A91"/>
    <w:rsid w:val="1FF004A0"/>
    <w:rsid w:val="1FFD3962"/>
    <w:rsid w:val="20062CE2"/>
    <w:rsid w:val="208F75A5"/>
    <w:rsid w:val="21F75571"/>
    <w:rsid w:val="22D1416C"/>
    <w:rsid w:val="22DE2A29"/>
    <w:rsid w:val="22F369D5"/>
    <w:rsid w:val="235E0D4B"/>
    <w:rsid w:val="25234B0D"/>
    <w:rsid w:val="26805BDD"/>
    <w:rsid w:val="26AC3567"/>
    <w:rsid w:val="27094723"/>
    <w:rsid w:val="27315D1D"/>
    <w:rsid w:val="290304F0"/>
    <w:rsid w:val="296B41BF"/>
    <w:rsid w:val="2A4D57CE"/>
    <w:rsid w:val="2A710EAE"/>
    <w:rsid w:val="2A8C45AE"/>
    <w:rsid w:val="2AD24501"/>
    <w:rsid w:val="2ADA6C70"/>
    <w:rsid w:val="2B17564E"/>
    <w:rsid w:val="2B9A59A4"/>
    <w:rsid w:val="2C8522FE"/>
    <w:rsid w:val="2D887C39"/>
    <w:rsid w:val="2D8A0602"/>
    <w:rsid w:val="2D993838"/>
    <w:rsid w:val="2DDE06CC"/>
    <w:rsid w:val="2E110DC4"/>
    <w:rsid w:val="2FEB49B8"/>
    <w:rsid w:val="32352156"/>
    <w:rsid w:val="33712CFE"/>
    <w:rsid w:val="33895773"/>
    <w:rsid w:val="34A16F71"/>
    <w:rsid w:val="34CA07C9"/>
    <w:rsid w:val="34EE5187"/>
    <w:rsid w:val="356C12D3"/>
    <w:rsid w:val="361954A6"/>
    <w:rsid w:val="366C6972"/>
    <w:rsid w:val="37470BE1"/>
    <w:rsid w:val="374B7618"/>
    <w:rsid w:val="37623CD1"/>
    <w:rsid w:val="37BC5AD7"/>
    <w:rsid w:val="37F57274"/>
    <w:rsid w:val="3A173499"/>
    <w:rsid w:val="3B4D4259"/>
    <w:rsid w:val="3C5B695A"/>
    <w:rsid w:val="3C740147"/>
    <w:rsid w:val="3CF4035A"/>
    <w:rsid w:val="3E9B4363"/>
    <w:rsid w:val="3ECC7609"/>
    <w:rsid w:val="3EEE625E"/>
    <w:rsid w:val="3F10659F"/>
    <w:rsid w:val="3FBE5140"/>
    <w:rsid w:val="407A652F"/>
    <w:rsid w:val="413E764B"/>
    <w:rsid w:val="422A7BDF"/>
    <w:rsid w:val="42425927"/>
    <w:rsid w:val="443A5766"/>
    <w:rsid w:val="44746547"/>
    <w:rsid w:val="47180DE7"/>
    <w:rsid w:val="47A85461"/>
    <w:rsid w:val="481D611E"/>
    <w:rsid w:val="48832567"/>
    <w:rsid w:val="491A265E"/>
    <w:rsid w:val="49DF02BD"/>
    <w:rsid w:val="4A7D55BF"/>
    <w:rsid w:val="4BF76F64"/>
    <w:rsid w:val="4C407FE3"/>
    <w:rsid w:val="4C8A5E0F"/>
    <w:rsid w:val="4D64659D"/>
    <w:rsid w:val="4D8B6615"/>
    <w:rsid w:val="4DB91DB8"/>
    <w:rsid w:val="4E970F6A"/>
    <w:rsid w:val="4EBD0A92"/>
    <w:rsid w:val="4ECB7D95"/>
    <w:rsid w:val="4FF64D3D"/>
    <w:rsid w:val="503258E5"/>
    <w:rsid w:val="50E772C9"/>
    <w:rsid w:val="54205BD9"/>
    <w:rsid w:val="545F584C"/>
    <w:rsid w:val="55724ED0"/>
    <w:rsid w:val="579F1125"/>
    <w:rsid w:val="58920151"/>
    <w:rsid w:val="589C6B48"/>
    <w:rsid w:val="58CF6EB2"/>
    <w:rsid w:val="5A3921D0"/>
    <w:rsid w:val="5AA63556"/>
    <w:rsid w:val="5DC71851"/>
    <w:rsid w:val="5DD61D65"/>
    <w:rsid w:val="5ED83F06"/>
    <w:rsid w:val="60E35E5E"/>
    <w:rsid w:val="61B44101"/>
    <w:rsid w:val="61D27B22"/>
    <w:rsid w:val="61EE6EC0"/>
    <w:rsid w:val="621F0E23"/>
    <w:rsid w:val="64143426"/>
    <w:rsid w:val="656A70AF"/>
    <w:rsid w:val="667C458F"/>
    <w:rsid w:val="66AA15BF"/>
    <w:rsid w:val="68AB2361"/>
    <w:rsid w:val="68D80181"/>
    <w:rsid w:val="69340CF8"/>
    <w:rsid w:val="69C53AC8"/>
    <w:rsid w:val="6ABA2BBB"/>
    <w:rsid w:val="6B511614"/>
    <w:rsid w:val="6B715CB5"/>
    <w:rsid w:val="6BD2675F"/>
    <w:rsid w:val="6C171CF3"/>
    <w:rsid w:val="6CDF1345"/>
    <w:rsid w:val="6DDF526D"/>
    <w:rsid w:val="6DE2733E"/>
    <w:rsid w:val="6E023B35"/>
    <w:rsid w:val="6F086931"/>
    <w:rsid w:val="6F2A17D8"/>
    <w:rsid w:val="70476FB4"/>
    <w:rsid w:val="70E10D54"/>
    <w:rsid w:val="71F3606C"/>
    <w:rsid w:val="72564FB8"/>
    <w:rsid w:val="72FD4F97"/>
    <w:rsid w:val="73555514"/>
    <w:rsid w:val="73BA5B65"/>
    <w:rsid w:val="73E5664A"/>
    <w:rsid w:val="744B3E55"/>
    <w:rsid w:val="75596A9F"/>
    <w:rsid w:val="76096330"/>
    <w:rsid w:val="767E18CB"/>
    <w:rsid w:val="7A9C1D02"/>
    <w:rsid w:val="7ADB1CA6"/>
    <w:rsid w:val="7AFA710B"/>
    <w:rsid w:val="7B6A133F"/>
    <w:rsid w:val="7BDA70B6"/>
    <w:rsid w:val="7C115C9E"/>
    <w:rsid w:val="7DA5793B"/>
    <w:rsid w:val="7E2C2E60"/>
    <w:rsid w:val="7E795E35"/>
    <w:rsid w:val="7EA131CA"/>
    <w:rsid w:val="7EA220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qFormat/>
    <w:uiPriority w:val="0"/>
    <w:pPr>
      <w:widowControl/>
      <w:jc w:val="left"/>
    </w:pPr>
    <w:rPr>
      <w:kern w:val="0"/>
      <w:szCs w:val="20"/>
    </w:rPr>
  </w:style>
  <w:style w:type="paragraph" w:styleId="3">
    <w:name w:val="Body Text"/>
    <w:basedOn w:val="1"/>
    <w:qFormat/>
    <w:uiPriority w:val="0"/>
    <w:pPr>
      <w:spacing w:after="120"/>
    </w:pPr>
  </w:style>
  <w:style w:type="paragraph" w:styleId="4">
    <w:name w:val="toc 5"/>
    <w:basedOn w:val="1"/>
    <w:next w:val="1"/>
    <w:qFormat/>
    <w:uiPriority w:val="0"/>
    <w:pPr>
      <w:ind w:left="1680" w:leftChars="800"/>
    </w:pPr>
  </w:style>
  <w:style w:type="paragraph" w:styleId="5">
    <w:name w:val="Balloon Text"/>
    <w:basedOn w:val="1"/>
    <w:link w:val="17"/>
    <w:qFormat/>
    <w:uiPriority w:val="0"/>
    <w:rPr>
      <w:sz w:val="18"/>
      <w:szCs w:val="18"/>
    </w:rPr>
  </w:style>
  <w:style w:type="paragraph" w:styleId="6">
    <w:name w:val="footer"/>
    <w:basedOn w:val="1"/>
    <w:link w:val="19"/>
    <w:qFormat/>
    <w:uiPriority w:val="99"/>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annotation subject"/>
    <w:basedOn w:val="2"/>
    <w:next w:val="2"/>
    <w:link w:val="16"/>
    <w:qFormat/>
    <w:uiPriority w:val="0"/>
    <w:pPr>
      <w:widowControl w:val="0"/>
    </w:pPr>
    <w:rPr>
      <w:b/>
      <w:bCs/>
      <w:kern w:val="2"/>
      <w:szCs w:val="24"/>
    </w:rPr>
  </w:style>
  <w:style w:type="paragraph" w:styleId="9">
    <w:name w:val="Body Text First Indent"/>
    <w:basedOn w:val="3"/>
    <w:next w:val="1"/>
    <w:qFormat/>
    <w:uiPriority w:val="0"/>
    <w:pPr>
      <w:spacing w:after="0" w:line="360" w:lineRule="auto"/>
      <w:ind w:firstLine="425"/>
    </w:pPr>
    <w:rPr>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annotation reference"/>
    <w:basedOn w:val="12"/>
    <w:qFormat/>
    <w:uiPriority w:val="0"/>
    <w:rPr>
      <w:sz w:val="21"/>
      <w:szCs w:val="21"/>
    </w:rPr>
  </w:style>
  <w:style w:type="paragraph" w:styleId="14">
    <w:name w:val="List Paragraph"/>
    <w:basedOn w:val="1"/>
    <w:unhideWhenUsed/>
    <w:qFormat/>
    <w:uiPriority w:val="99"/>
    <w:pPr>
      <w:ind w:firstLine="420" w:firstLineChars="200"/>
    </w:pPr>
  </w:style>
  <w:style w:type="character" w:customStyle="1" w:styleId="15">
    <w:name w:val="批注文字 Char"/>
    <w:basedOn w:val="12"/>
    <w:link w:val="2"/>
    <w:qFormat/>
    <w:uiPriority w:val="0"/>
    <w:rPr>
      <w:rFonts w:asciiTheme="minorHAnsi" w:hAnsiTheme="minorHAnsi" w:eastAsiaTheme="minorEastAsia" w:cstheme="minorBidi"/>
      <w:sz w:val="21"/>
    </w:rPr>
  </w:style>
  <w:style w:type="character" w:customStyle="1" w:styleId="16">
    <w:name w:val="批注主题 Char"/>
    <w:basedOn w:val="15"/>
    <w:link w:val="8"/>
    <w:qFormat/>
    <w:uiPriority w:val="0"/>
  </w:style>
  <w:style w:type="character" w:customStyle="1" w:styleId="17">
    <w:name w:val="批注框文本 Char"/>
    <w:basedOn w:val="12"/>
    <w:link w:val="5"/>
    <w:qFormat/>
    <w:uiPriority w:val="0"/>
    <w:rPr>
      <w:rFonts w:asciiTheme="minorHAnsi" w:hAnsiTheme="minorHAnsi" w:eastAsiaTheme="minorEastAsia" w:cstheme="minorBidi"/>
      <w:kern w:val="2"/>
      <w:sz w:val="18"/>
      <w:szCs w:val="18"/>
    </w:rPr>
  </w:style>
  <w:style w:type="paragraph" w:customStyle="1" w:styleId="18">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19">
    <w:name w:val="页脚 Char"/>
    <w:basedOn w:val="12"/>
    <w:link w:val="6"/>
    <w:qFormat/>
    <w:uiPriority w:val="99"/>
    <w:rPr>
      <w:rFonts w:asciiTheme="minorHAnsi" w:hAnsiTheme="minorHAnsi" w:eastAsiaTheme="minorEastAsia" w:cstheme="minorBidi"/>
      <w:kern w:val="2"/>
      <w:sz w:val="18"/>
      <w:szCs w:val="24"/>
    </w:rPr>
  </w:style>
  <w:style w:type="character" w:customStyle="1" w:styleId="20">
    <w:name w:val="fontstyle01"/>
    <w:basedOn w:val="12"/>
    <w:qFormat/>
    <w:uiPriority w:val="0"/>
    <w:rPr>
      <w:rFonts w:ascii="宋体" w:hAnsi="宋体" w:eastAsia="宋体" w:cs="宋体"/>
      <w:color w:val="000000"/>
      <w:sz w:val="18"/>
      <w:szCs w:val="18"/>
    </w:rPr>
  </w:style>
  <w:style w:type="paragraph" w:customStyle="1" w:styleId="21">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7</Pages>
  <Words>4583</Words>
  <Characters>5003</Characters>
  <Lines>2</Lines>
  <Paragraphs>6</Paragraphs>
  <TotalTime>1</TotalTime>
  <ScaleCrop>false</ScaleCrop>
  <LinksUpToDate>false</LinksUpToDate>
  <CharactersWithSpaces>5046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2020-11-05T08:46:00Z</dcterms:created>
  <dc:creator>ye</dc:creator>
  <cp:lastModifiedBy>ZCB</cp:lastModifiedBy>
  <cp:lastPrinted>2021-08-11T08:36:00Z</cp:lastPrinted>
  <dcterms:modified xsi:type="dcterms:W3CDTF">2026-07-28T07:58:10Z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06EB9A1B59B94DB0A6466C84E506D194_13</vt:lpwstr>
  </property>
  <property fmtid="{D5CDD505-2E9C-101B-9397-08002B2CF9AE}" pid="4" name="KSOTemplateDocerSaveRecord">
    <vt:lpwstr>eyJoZGlkIjoiMmRhYTY3OGVhYWZmZmExY2IyMTMyNWE4MjA4ZWM1YmUiLCJ1c2VySWQiOiI3MDE0MTUyMzAifQ==</vt:lpwstr>
  </property>
</Properties>
</file>