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112FB9">
      <w:pPr>
        <w:spacing w:line="360" w:lineRule="atLeast"/>
        <w:jc w:val="center"/>
        <w:rPr>
          <w:rFonts w:hint="eastAsia" w:ascii="宋体" w:hAnsi="宋体" w:cs="宋体"/>
          <w:sz w:val="32"/>
          <w:szCs w:val="32"/>
        </w:rPr>
      </w:pPr>
    </w:p>
    <w:p w14:paraId="2160751F">
      <w:pPr>
        <w:spacing w:line="360" w:lineRule="atLeast"/>
        <w:jc w:val="center"/>
        <w:rPr>
          <w:rFonts w:hint="eastAsia" w:ascii="宋体" w:hAnsi="宋体" w:cs="宋体"/>
          <w:sz w:val="32"/>
          <w:szCs w:val="32"/>
        </w:rPr>
      </w:pPr>
    </w:p>
    <w:p w14:paraId="0C79E07C">
      <w:pPr>
        <w:spacing w:line="360" w:lineRule="atLeast"/>
        <w:jc w:val="center"/>
        <w:rPr>
          <w:rFonts w:hint="eastAsia" w:ascii="宋体" w:hAnsi="宋体" w:cs="宋体"/>
          <w:b/>
          <w:sz w:val="32"/>
          <w:szCs w:val="32"/>
        </w:rPr>
      </w:pPr>
      <w:r>
        <w:rPr>
          <w:rFonts w:hint="eastAsia" w:ascii="宋体" w:hAnsi="宋体" w:cs="宋体"/>
          <w:b/>
          <w:sz w:val="36"/>
          <w:szCs w:val="36"/>
        </w:rPr>
        <w:t>惠州交投能源投资有限公司节能技改项目货物采购（第一批）</w:t>
      </w:r>
    </w:p>
    <w:p w14:paraId="3AA5ADB1">
      <w:pPr>
        <w:spacing w:line="360" w:lineRule="atLeast"/>
        <w:rPr>
          <w:rFonts w:hint="eastAsia" w:ascii="宋体" w:hAnsi="宋体" w:cs="宋体"/>
          <w:b/>
          <w:sz w:val="32"/>
          <w:szCs w:val="32"/>
        </w:rPr>
      </w:pPr>
    </w:p>
    <w:p w14:paraId="71393E33">
      <w:pPr>
        <w:spacing w:line="360" w:lineRule="atLeast"/>
        <w:jc w:val="center"/>
        <w:rPr>
          <w:rFonts w:hint="eastAsia" w:ascii="宋体" w:hAnsi="宋体" w:cs="宋体"/>
          <w:b/>
          <w:sz w:val="36"/>
          <w:szCs w:val="36"/>
        </w:rPr>
      </w:pPr>
      <w:r>
        <w:rPr>
          <w:rFonts w:hint="eastAsia" w:ascii="宋体" w:hAnsi="宋体" w:cs="宋体"/>
          <w:b/>
          <w:sz w:val="36"/>
          <w:szCs w:val="36"/>
        </w:rPr>
        <w:t xml:space="preserve">招标代理机构编号：04-06-04A-2025-D-F-E31782 </w:t>
      </w:r>
    </w:p>
    <w:p w14:paraId="1E1C4902">
      <w:pPr>
        <w:pStyle w:val="16"/>
        <w:rPr>
          <w:rFonts w:hint="eastAsia"/>
        </w:rPr>
      </w:pPr>
    </w:p>
    <w:p w14:paraId="0105456F">
      <w:pPr>
        <w:spacing w:line="360" w:lineRule="atLeast"/>
        <w:jc w:val="center"/>
        <w:rPr>
          <w:rFonts w:hint="eastAsia" w:ascii="宋体" w:hAnsi="宋体" w:cs="宋体"/>
          <w:b/>
          <w:sz w:val="44"/>
          <w:szCs w:val="44"/>
        </w:rPr>
      </w:pPr>
      <w:r>
        <w:rPr>
          <w:rFonts w:hint="eastAsia" w:ascii="宋体" w:hAnsi="宋体" w:cs="宋体"/>
          <w:b/>
          <w:sz w:val="44"/>
          <w:szCs w:val="44"/>
        </w:rPr>
        <w:t>招 标 文 件</w:t>
      </w:r>
    </w:p>
    <w:p w14:paraId="2B4DA353">
      <w:pPr>
        <w:pStyle w:val="16"/>
        <w:rPr>
          <w:rFonts w:hint="eastAsia"/>
        </w:rPr>
      </w:pPr>
    </w:p>
    <w:p w14:paraId="4245568A">
      <w:pPr>
        <w:spacing w:line="360" w:lineRule="atLeast"/>
        <w:jc w:val="center"/>
        <w:rPr>
          <w:rFonts w:hint="eastAsia" w:ascii="宋体" w:hAnsi="宋体" w:cs="宋体"/>
          <w:b/>
          <w:sz w:val="32"/>
          <w:szCs w:val="32"/>
        </w:rPr>
      </w:pPr>
    </w:p>
    <w:p w14:paraId="7915D435">
      <w:pPr>
        <w:spacing w:line="360" w:lineRule="atLeast"/>
        <w:jc w:val="center"/>
        <w:rPr>
          <w:rFonts w:hint="eastAsia" w:ascii="宋体" w:hAnsi="宋体" w:cs="宋体"/>
          <w:b/>
          <w:sz w:val="32"/>
          <w:szCs w:val="32"/>
        </w:rPr>
      </w:pPr>
    </w:p>
    <w:p w14:paraId="557AE605">
      <w:pPr>
        <w:spacing w:line="600" w:lineRule="exact"/>
        <w:jc w:val="center"/>
        <w:rPr>
          <w:rFonts w:hint="eastAsia" w:ascii="宋体" w:hAnsi="宋体"/>
          <w:b/>
          <w:sz w:val="30"/>
          <w:szCs w:val="30"/>
        </w:rPr>
      </w:pPr>
      <w:r>
        <w:rPr>
          <w:rFonts w:hint="eastAsia" w:ascii="宋体" w:hAnsi="宋体"/>
          <w:b/>
          <w:sz w:val="30"/>
          <w:szCs w:val="30"/>
        </w:rPr>
        <w:t>招标人：惠州交投能源投资有限公司</w:t>
      </w:r>
    </w:p>
    <w:p w14:paraId="66D735E4">
      <w:pPr>
        <w:spacing w:line="600" w:lineRule="exact"/>
        <w:jc w:val="center"/>
        <w:rPr>
          <w:rFonts w:hint="eastAsia" w:ascii="宋体" w:hAnsi="宋体"/>
          <w:b/>
          <w:sz w:val="30"/>
          <w:szCs w:val="30"/>
        </w:rPr>
      </w:pPr>
      <w:r>
        <w:rPr>
          <w:rFonts w:hint="eastAsia" w:ascii="宋体" w:hAnsi="宋体"/>
          <w:b/>
          <w:sz w:val="30"/>
          <w:szCs w:val="30"/>
        </w:rPr>
        <w:t>招标代理机构：公诚管理咨询有限公司</w:t>
      </w:r>
    </w:p>
    <w:p w14:paraId="693B5121">
      <w:pPr>
        <w:spacing w:line="360" w:lineRule="atLeast"/>
        <w:jc w:val="center"/>
        <w:rPr>
          <w:rFonts w:hint="eastAsia" w:ascii="宋体" w:hAnsi="宋体" w:cs="宋体"/>
          <w:b/>
          <w:sz w:val="30"/>
          <w:szCs w:val="30"/>
        </w:rPr>
      </w:pPr>
    </w:p>
    <w:p w14:paraId="23A44F02">
      <w:pPr>
        <w:spacing w:line="360" w:lineRule="atLeast"/>
        <w:jc w:val="center"/>
        <w:rPr>
          <w:rFonts w:hint="eastAsia" w:ascii="宋体" w:hAnsi="宋体" w:cs="宋体"/>
          <w:b/>
          <w:sz w:val="30"/>
          <w:szCs w:val="30"/>
        </w:rPr>
      </w:pPr>
      <w:r>
        <w:rPr>
          <w:rFonts w:ascii="宋体" w:hAnsi="宋体" w:cs="宋体"/>
          <w:b/>
          <w:sz w:val="30"/>
          <w:szCs w:val="30"/>
        </w:rPr>
        <w:t>20</w:t>
      </w:r>
      <w:r>
        <w:rPr>
          <w:rFonts w:hint="eastAsia" w:ascii="宋体" w:hAnsi="宋体" w:cs="宋体"/>
          <w:b/>
          <w:sz w:val="30"/>
          <w:szCs w:val="30"/>
        </w:rPr>
        <w:t>25年</w:t>
      </w:r>
      <w:r>
        <w:rPr>
          <w:rFonts w:ascii="宋体" w:hAnsi="宋体" w:cs="宋体"/>
          <w:b/>
          <w:sz w:val="30"/>
          <w:szCs w:val="30"/>
        </w:rPr>
        <w:t>11</w:t>
      </w:r>
      <w:r>
        <w:rPr>
          <w:rFonts w:hint="eastAsia" w:ascii="宋体" w:hAnsi="宋体" w:cs="宋体"/>
          <w:b/>
          <w:sz w:val="30"/>
          <w:szCs w:val="30"/>
        </w:rPr>
        <w:t>月</w:t>
      </w:r>
    </w:p>
    <w:p w14:paraId="7177C868">
      <w:pPr>
        <w:spacing w:line="360" w:lineRule="atLeast"/>
        <w:jc w:val="center"/>
        <w:rPr>
          <w:rFonts w:hint="eastAsia" w:ascii="宋体" w:hAnsi="宋体" w:cs="宋体"/>
          <w:sz w:val="24"/>
        </w:rPr>
        <w:sectPr>
          <w:footerReference r:id="rId5" w:type="default"/>
          <w:type w:val="continuous"/>
          <w:pgSz w:w="11906" w:h="16838"/>
          <w:pgMar w:top="1440" w:right="1080" w:bottom="1440" w:left="1080" w:header="851" w:footer="992" w:gutter="0"/>
          <w:pgBorders>
            <w:top w:val="none" w:sz="0" w:space="0"/>
            <w:left w:val="none" w:sz="0" w:space="0"/>
            <w:bottom w:val="none" w:sz="0" w:space="0"/>
            <w:right w:val="none" w:sz="0" w:space="0"/>
          </w:pgBorders>
          <w:cols w:space="720" w:num="1"/>
          <w:docGrid w:type="linesAndChars" w:linePitch="380" w:charSpace="0"/>
        </w:sectPr>
      </w:pPr>
    </w:p>
    <w:p w14:paraId="1B501EF7">
      <w:pPr>
        <w:widowControl/>
        <w:spacing w:after="0" w:line="240" w:lineRule="auto"/>
        <w:jc w:val="center"/>
        <w:rPr>
          <w:rFonts w:hint="eastAsia" w:ascii="宋体" w:hAnsi="宋体" w:cs="宋体"/>
          <w:b/>
          <w:sz w:val="24"/>
        </w:rPr>
      </w:pPr>
      <w:r>
        <w:rPr>
          <w:rFonts w:ascii="宋体" w:hAnsi="宋体" w:cs="宋体"/>
          <w:b/>
          <w:sz w:val="24"/>
        </w:rPr>
        <w:br w:type="page"/>
      </w:r>
      <w:r>
        <w:rPr>
          <w:rFonts w:hint="eastAsia" w:ascii="宋体" w:hAnsi="宋体" w:cs="宋体"/>
          <w:b/>
          <w:sz w:val="24"/>
        </w:rPr>
        <w:t>目</w:t>
      </w:r>
      <w:r>
        <w:rPr>
          <w:rFonts w:ascii="宋体" w:hAnsi="宋体" w:cs="宋体"/>
          <w:b/>
          <w:sz w:val="24"/>
        </w:rPr>
        <w:t xml:space="preserve">  </w:t>
      </w:r>
      <w:r>
        <w:rPr>
          <w:rFonts w:hint="eastAsia" w:ascii="宋体" w:hAnsi="宋体" w:cs="宋体"/>
          <w:b/>
          <w:sz w:val="24"/>
        </w:rPr>
        <w:t>录</w:t>
      </w:r>
    </w:p>
    <w:p w14:paraId="6BC0B3D5">
      <w:pPr>
        <w:pStyle w:val="30"/>
        <w:rPr>
          <w:rFonts w:asciiTheme="minorHAnsi" w:hAnsiTheme="minorHAnsi" w:eastAsiaTheme="minorEastAsia" w:cstheme="minorBidi"/>
          <w:sz w:val="22"/>
          <w14:ligatures w14:val="standardContextual"/>
        </w:rPr>
      </w:pPr>
      <w:r>
        <w:rPr>
          <w:rFonts w:ascii="宋体" w:hAnsi="宋体"/>
          <w:bCs/>
        </w:rPr>
        <w:fldChar w:fldCharType="begin"/>
      </w:r>
      <w:r>
        <w:rPr>
          <w:rFonts w:ascii="宋体" w:hAnsi="宋体"/>
          <w:bCs/>
        </w:rPr>
        <w:instrText xml:space="preserve"> TOC \o "1-2" \h \z \u </w:instrText>
      </w:r>
      <w:r>
        <w:rPr>
          <w:rFonts w:ascii="宋体" w:hAnsi="宋体"/>
          <w:bCs/>
        </w:rPr>
        <w:fldChar w:fldCharType="separate"/>
      </w:r>
      <w:r>
        <w:fldChar w:fldCharType="begin"/>
      </w:r>
      <w:r>
        <w:instrText xml:space="preserve"> HYPERLINK \l "_Toc214432830" </w:instrText>
      </w:r>
      <w:r>
        <w:fldChar w:fldCharType="separate"/>
      </w:r>
      <w:r>
        <w:rPr>
          <w:rStyle w:val="50"/>
          <w:rFonts w:hint="eastAsia" w:ascii="宋体" w:hAnsi="宋体" w:cs="宋体"/>
          <w:b/>
          <w:kern w:val="0"/>
        </w:rPr>
        <w:t>第一章 招标公告</w:t>
      </w:r>
      <w:r>
        <w:rPr>
          <w:rFonts w:hint="eastAsia"/>
        </w:rPr>
        <w:tab/>
      </w:r>
      <w:r>
        <w:rPr>
          <w:rFonts w:hint="eastAsia"/>
        </w:rPr>
        <w:fldChar w:fldCharType="begin"/>
      </w:r>
      <w:r>
        <w:rPr>
          <w:rFonts w:hint="eastAsia"/>
        </w:rPr>
        <w:instrText xml:space="preserve"> </w:instrText>
      </w:r>
      <w:r>
        <w:instrText xml:space="preserve">PAGEREF _Toc214432830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5ABFE4DE">
      <w:pPr>
        <w:pStyle w:val="30"/>
        <w:rPr>
          <w:rFonts w:asciiTheme="minorHAnsi" w:hAnsiTheme="minorHAnsi" w:eastAsiaTheme="minorEastAsia" w:cstheme="minorBidi"/>
          <w:sz w:val="22"/>
          <w14:ligatures w14:val="standardContextual"/>
        </w:rPr>
      </w:pPr>
      <w:r>
        <w:fldChar w:fldCharType="begin"/>
      </w:r>
      <w:r>
        <w:instrText xml:space="preserve"> HYPERLINK \l "_Toc214432831" </w:instrText>
      </w:r>
      <w:r>
        <w:fldChar w:fldCharType="separate"/>
      </w:r>
      <w:r>
        <w:rPr>
          <w:rStyle w:val="50"/>
          <w:rFonts w:hint="eastAsia" w:ascii="宋体" w:hAnsi="宋体" w:cs="宋体"/>
          <w:b/>
          <w:kern w:val="0"/>
        </w:rPr>
        <w:t>第二章 投标人须知</w:t>
      </w:r>
      <w:r>
        <w:rPr>
          <w:rFonts w:hint="eastAsia"/>
        </w:rPr>
        <w:tab/>
      </w:r>
      <w:r>
        <w:rPr>
          <w:rFonts w:hint="eastAsia"/>
        </w:rPr>
        <w:fldChar w:fldCharType="begin"/>
      </w:r>
      <w:r>
        <w:rPr>
          <w:rFonts w:hint="eastAsia"/>
        </w:rPr>
        <w:instrText xml:space="preserve"> </w:instrText>
      </w:r>
      <w:r>
        <w:instrText xml:space="preserve">PAGEREF _Toc214432831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0EBC0779">
      <w:pPr>
        <w:pStyle w:val="36"/>
        <w:rPr>
          <w:rFonts w:asciiTheme="minorHAnsi" w:hAnsiTheme="minorHAnsi" w:eastAsiaTheme="minorEastAsia" w:cstheme="minorBidi"/>
          <w:sz w:val="22"/>
          <w14:ligatures w14:val="standardContextual"/>
        </w:rPr>
      </w:pPr>
      <w:r>
        <w:fldChar w:fldCharType="begin"/>
      </w:r>
      <w:r>
        <w:instrText xml:space="preserve"> HYPERLINK \l "_Toc214432832" </w:instrText>
      </w:r>
      <w:r>
        <w:fldChar w:fldCharType="separate"/>
      </w:r>
      <w:r>
        <w:rPr>
          <w:rStyle w:val="50"/>
          <w:rFonts w:hint="eastAsia"/>
        </w:rPr>
        <w:t>投标人须知前附表</w:t>
      </w:r>
      <w:r>
        <w:rPr>
          <w:rFonts w:hint="eastAsia"/>
        </w:rPr>
        <w:tab/>
      </w:r>
      <w:r>
        <w:rPr>
          <w:rFonts w:hint="eastAsia"/>
        </w:rPr>
        <w:fldChar w:fldCharType="begin"/>
      </w:r>
      <w:r>
        <w:rPr>
          <w:rFonts w:hint="eastAsia"/>
        </w:rPr>
        <w:instrText xml:space="preserve"> </w:instrText>
      </w:r>
      <w:r>
        <w:instrText xml:space="preserve">PAGEREF _Toc214432832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5E7752DF">
      <w:pPr>
        <w:pStyle w:val="36"/>
        <w:rPr>
          <w:rFonts w:asciiTheme="minorHAnsi" w:hAnsiTheme="minorHAnsi" w:eastAsiaTheme="minorEastAsia" w:cstheme="minorBidi"/>
          <w:sz w:val="22"/>
          <w14:ligatures w14:val="standardContextual"/>
        </w:rPr>
      </w:pPr>
      <w:r>
        <w:fldChar w:fldCharType="begin"/>
      </w:r>
      <w:r>
        <w:instrText xml:space="preserve"> HYPERLINK \l "_Toc214432833" </w:instrText>
      </w:r>
      <w:r>
        <w:fldChar w:fldCharType="separate"/>
      </w:r>
      <w:r>
        <w:rPr>
          <w:rStyle w:val="50"/>
          <w:rFonts w:hint="eastAsia" w:ascii="宋体" w:hAnsi="宋体"/>
        </w:rPr>
        <w:t>1 . 总则</w:t>
      </w:r>
      <w:r>
        <w:rPr>
          <w:rFonts w:hint="eastAsia"/>
        </w:rPr>
        <w:tab/>
      </w:r>
      <w:r>
        <w:rPr>
          <w:rFonts w:hint="eastAsia"/>
        </w:rPr>
        <w:fldChar w:fldCharType="begin"/>
      </w:r>
      <w:r>
        <w:rPr>
          <w:rFonts w:hint="eastAsia"/>
        </w:rPr>
        <w:instrText xml:space="preserve"> </w:instrText>
      </w:r>
      <w:r>
        <w:instrText xml:space="preserve">PAGEREF _Toc214432833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2B30B68">
      <w:pPr>
        <w:pStyle w:val="36"/>
        <w:rPr>
          <w:rFonts w:asciiTheme="minorHAnsi" w:hAnsiTheme="minorHAnsi" w:eastAsiaTheme="minorEastAsia" w:cstheme="minorBidi"/>
          <w:sz w:val="22"/>
          <w14:ligatures w14:val="standardContextual"/>
        </w:rPr>
      </w:pPr>
      <w:r>
        <w:fldChar w:fldCharType="begin"/>
      </w:r>
      <w:r>
        <w:instrText xml:space="preserve"> HYPERLINK \l "_Toc214432834" </w:instrText>
      </w:r>
      <w:r>
        <w:fldChar w:fldCharType="separate"/>
      </w:r>
      <w:r>
        <w:rPr>
          <w:rStyle w:val="50"/>
          <w:rFonts w:hint="eastAsia" w:ascii="宋体" w:hAnsi="宋体"/>
        </w:rPr>
        <w:t>2．招标文件</w:t>
      </w:r>
      <w:r>
        <w:rPr>
          <w:rFonts w:hint="eastAsia"/>
        </w:rPr>
        <w:tab/>
      </w:r>
      <w:r>
        <w:rPr>
          <w:rFonts w:hint="eastAsia"/>
        </w:rPr>
        <w:fldChar w:fldCharType="begin"/>
      </w:r>
      <w:r>
        <w:rPr>
          <w:rFonts w:hint="eastAsia"/>
        </w:rPr>
        <w:instrText xml:space="preserve"> </w:instrText>
      </w:r>
      <w:r>
        <w:instrText xml:space="preserve">PAGEREF _Toc214432834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9C958D1">
      <w:pPr>
        <w:pStyle w:val="36"/>
        <w:rPr>
          <w:rFonts w:asciiTheme="minorHAnsi" w:hAnsiTheme="minorHAnsi" w:eastAsiaTheme="minorEastAsia" w:cstheme="minorBidi"/>
          <w:sz w:val="22"/>
          <w14:ligatures w14:val="standardContextual"/>
        </w:rPr>
      </w:pPr>
      <w:r>
        <w:fldChar w:fldCharType="begin"/>
      </w:r>
      <w:r>
        <w:instrText xml:space="preserve"> HYPERLINK \l "_Toc214432835" </w:instrText>
      </w:r>
      <w:r>
        <w:fldChar w:fldCharType="separate"/>
      </w:r>
      <w:r>
        <w:rPr>
          <w:rStyle w:val="50"/>
          <w:rFonts w:hint="eastAsia" w:ascii="宋体" w:hAnsi="宋体"/>
        </w:rPr>
        <w:t>3．投标文件</w:t>
      </w:r>
      <w:r>
        <w:rPr>
          <w:rFonts w:hint="eastAsia"/>
        </w:rPr>
        <w:tab/>
      </w:r>
      <w:r>
        <w:rPr>
          <w:rFonts w:hint="eastAsia"/>
        </w:rPr>
        <w:fldChar w:fldCharType="begin"/>
      </w:r>
      <w:r>
        <w:rPr>
          <w:rFonts w:hint="eastAsia"/>
        </w:rPr>
        <w:instrText xml:space="preserve"> </w:instrText>
      </w:r>
      <w:r>
        <w:instrText xml:space="preserve">PAGEREF _Toc214432835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4C612111">
      <w:pPr>
        <w:pStyle w:val="36"/>
        <w:rPr>
          <w:rFonts w:asciiTheme="minorHAnsi" w:hAnsiTheme="minorHAnsi" w:eastAsiaTheme="minorEastAsia" w:cstheme="minorBidi"/>
          <w:sz w:val="22"/>
          <w14:ligatures w14:val="standardContextual"/>
        </w:rPr>
      </w:pPr>
      <w:r>
        <w:fldChar w:fldCharType="begin"/>
      </w:r>
      <w:r>
        <w:instrText xml:space="preserve"> HYPERLINK \l "_Toc214432836" </w:instrText>
      </w:r>
      <w:r>
        <w:fldChar w:fldCharType="separate"/>
      </w:r>
      <w:r>
        <w:rPr>
          <w:rStyle w:val="50"/>
          <w:rFonts w:hint="eastAsia" w:ascii="宋体" w:hAnsi="宋体"/>
        </w:rPr>
        <w:t>5．开标</w:t>
      </w:r>
      <w:r>
        <w:rPr>
          <w:rFonts w:hint="eastAsia"/>
        </w:rPr>
        <w:tab/>
      </w:r>
      <w:r>
        <w:rPr>
          <w:rFonts w:hint="eastAsia"/>
        </w:rPr>
        <w:fldChar w:fldCharType="begin"/>
      </w:r>
      <w:r>
        <w:rPr>
          <w:rFonts w:hint="eastAsia"/>
        </w:rPr>
        <w:instrText xml:space="preserve"> </w:instrText>
      </w:r>
      <w:r>
        <w:instrText xml:space="preserve">PAGEREF _Toc214432836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453E6C88">
      <w:pPr>
        <w:pStyle w:val="36"/>
        <w:rPr>
          <w:rFonts w:asciiTheme="minorHAnsi" w:hAnsiTheme="minorHAnsi" w:eastAsiaTheme="minorEastAsia" w:cstheme="minorBidi"/>
          <w:sz w:val="22"/>
          <w14:ligatures w14:val="standardContextual"/>
        </w:rPr>
      </w:pPr>
      <w:r>
        <w:fldChar w:fldCharType="begin"/>
      </w:r>
      <w:r>
        <w:instrText xml:space="preserve"> HYPERLINK \l "_Toc214432837" </w:instrText>
      </w:r>
      <w:r>
        <w:fldChar w:fldCharType="separate"/>
      </w:r>
      <w:r>
        <w:rPr>
          <w:rStyle w:val="50"/>
          <w:rFonts w:hint="eastAsia" w:ascii="宋体" w:hAnsi="宋体"/>
        </w:rPr>
        <w:t>6．评审</w:t>
      </w:r>
      <w:r>
        <w:rPr>
          <w:rFonts w:hint="eastAsia"/>
        </w:rPr>
        <w:tab/>
      </w:r>
      <w:r>
        <w:rPr>
          <w:rFonts w:hint="eastAsia"/>
        </w:rPr>
        <w:fldChar w:fldCharType="begin"/>
      </w:r>
      <w:r>
        <w:rPr>
          <w:rFonts w:hint="eastAsia"/>
        </w:rPr>
        <w:instrText xml:space="preserve"> </w:instrText>
      </w:r>
      <w:r>
        <w:instrText xml:space="preserve">PAGEREF _Toc214432837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06D671B4">
      <w:pPr>
        <w:pStyle w:val="36"/>
        <w:rPr>
          <w:rFonts w:asciiTheme="minorHAnsi" w:hAnsiTheme="minorHAnsi" w:eastAsiaTheme="minorEastAsia" w:cstheme="minorBidi"/>
          <w:sz w:val="22"/>
          <w14:ligatures w14:val="standardContextual"/>
        </w:rPr>
      </w:pPr>
      <w:r>
        <w:fldChar w:fldCharType="begin"/>
      </w:r>
      <w:r>
        <w:instrText xml:space="preserve"> HYPERLINK \l "_Toc214432838" </w:instrText>
      </w:r>
      <w:r>
        <w:fldChar w:fldCharType="separate"/>
      </w:r>
      <w:r>
        <w:rPr>
          <w:rStyle w:val="50"/>
          <w:rFonts w:hint="eastAsia" w:ascii="宋体" w:hAnsi="宋体"/>
        </w:rPr>
        <w:t>7．成交</w:t>
      </w:r>
      <w:r>
        <w:rPr>
          <w:rFonts w:hint="eastAsia"/>
        </w:rPr>
        <w:tab/>
      </w:r>
      <w:r>
        <w:rPr>
          <w:rFonts w:hint="eastAsia"/>
        </w:rPr>
        <w:fldChar w:fldCharType="begin"/>
      </w:r>
      <w:r>
        <w:rPr>
          <w:rFonts w:hint="eastAsia"/>
        </w:rPr>
        <w:instrText xml:space="preserve"> </w:instrText>
      </w:r>
      <w:r>
        <w:instrText xml:space="preserve">PAGEREF _Toc214432838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6BD4C720">
      <w:pPr>
        <w:pStyle w:val="36"/>
        <w:rPr>
          <w:rFonts w:asciiTheme="minorHAnsi" w:hAnsiTheme="minorHAnsi" w:eastAsiaTheme="minorEastAsia" w:cstheme="minorBidi"/>
          <w:sz w:val="22"/>
          <w14:ligatures w14:val="standardContextual"/>
        </w:rPr>
      </w:pPr>
      <w:r>
        <w:fldChar w:fldCharType="begin"/>
      </w:r>
      <w:r>
        <w:instrText xml:space="preserve"> HYPERLINK \l "_Toc214432839" </w:instrText>
      </w:r>
      <w:r>
        <w:fldChar w:fldCharType="separate"/>
      </w:r>
      <w:r>
        <w:rPr>
          <w:rStyle w:val="50"/>
          <w:rFonts w:hint="eastAsia" w:ascii="宋体" w:hAnsi="宋体"/>
        </w:rPr>
        <w:t>8．合同签订</w:t>
      </w:r>
      <w:r>
        <w:rPr>
          <w:rFonts w:hint="eastAsia"/>
        </w:rPr>
        <w:tab/>
      </w:r>
      <w:r>
        <w:rPr>
          <w:rFonts w:hint="eastAsia"/>
        </w:rPr>
        <w:fldChar w:fldCharType="begin"/>
      </w:r>
      <w:r>
        <w:rPr>
          <w:rFonts w:hint="eastAsia"/>
        </w:rPr>
        <w:instrText xml:space="preserve"> </w:instrText>
      </w:r>
      <w:r>
        <w:instrText xml:space="preserve">PAGEREF _Toc214432839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5CE8146E">
      <w:pPr>
        <w:pStyle w:val="36"/>
        <w:rPr>
          <w:rFonts w:asciiTheme="minorHAnsi" w:hAnsiTheme="minorHAnsi" w:eastAsiaTheme="minorEastAsia" w:cstheme="minorBidi"/>
          <w:sz w:val="22"/>
          <w14:ligatures w14:val="standardContextual"/>
        </w:rPr>
      </w:pPr>
      <w:r>
        <w:fldChar w:fldCharType="begin"/>
      </w:r>
      <w:r>
        <w:instrText xml:space="preserve"> HYPERLINK \l "_Toc214432840" </w:instrText>
      </w:r>
      <w:r>
        <w:fldChar w:fldCharType="separate"/>
      </w:r>
      <w:r>
        <w:rPr>
          <w:rStyle w:val="50"/>
          <w:rFonts w:hint="eastAsia" w:ascii="宋体" w:hAnsi="宋体"/>
        </w:rPr>
        <w:t>9．招标代理服务费</w:t>
      </w:r>
      <w:r>
        <w:rPr>
          <w:rFonts w:hint="eastAsia"/>
        </w:rPr>
        <w:tab/>
      </w:r>
      <w:r>
        <w:rPr>
          <w:rFonts w:hint="eastAsia"/>
        </w:rPr>
        <w:fldChar w:fldCharType="begin"/>
      </w:r>
      <w:r>
        <w:rPr>
          <w:rFonts w:hint="eastAsia"/>
        </w:rPr>
        <w:instrText xml:space="preserve"> </w:instrText>
      </w:r>
      <w:r>
        <w:instrText xml:space="preserve">PAGEREF _Toc214432840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4E6498E6">
      <w:pPr>
        <w:pStyle w:val="36"/>
        <w:rPr>
          <w:rFonts w:asciiTheme="minorHAnsi" w:hAnsiTheme="minorHAnsi" w:eastAsiaTheme="minorEastAsia" w:cstheme="minorBidi"/>
          <w:sz w:val="22"/>
          <w14:ligatures w14:val="standardContextual"/>
        </w:rPr>
      </w:pPr>
      <w:r>
        <w:fldChar w:fldCharType="begin"/>
      </w:r>
      <w:r>
        <w:instrText xml:space="preserve"> HYPERLINK \l "_Toc214432841" </w:instrText>
      </w:r>
      <w:r>
        <w:fldChar w:fldCharType="separate"/>
      </w:r>
      <w:r>
        <w:rPr>
          <w:rStyle w:val="50"/>
          <w:rFonts w:hint="eastAsia" w:ascii="宋体" w:hAnsi="宋体"/>
        </w:rPr>
        <w:t>10．纪律和监督</w:t>
      </w:r>
      <w:r>
        <w:rPr>
          <w:rFonts w:hint="eastAsia"/>
        </w:rPr>
        <w:tab/>
      </w:r>
      <w:r>
        <w:rPr>
          <w:rFonts w:hint="eastAsia"/>
        </w:rPr>
        <w:fldChar w:fldCharType="begin"/>
      </w:r>
      <w:r>
        <w:rPr>
          <w:rFonts w:hint="eastAsia"/>
        </w:rPr>
        <w:instrText xml:space="preserve"> </w:instrText>
      </w:r>
      <w:r>
        <w:instrText xml:space="preserve">PAGEREF _Toc214432841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044AA0B3">
      <w:pPr>
        <w:pStyle w:val="36"/>
        <w:rPr>
          <w:rFonts w:asciiTheme="minorHAnsi" w:hAnsiTheme="minorHAnsi" w:eastAsiaTheme="minorEastAsia" w:cstheme="minorBidi"/>
          <w:sz w:val="22"/>
          <w14:ligatures w14:val="standardContextual"/>
        </w:rPr>
      </w:pPr>
      <w:r>
        <w:fldChar w:fldCharType="begin"/>
      </w:r>
      <w:r>
        <w:instrText xml:space="preserve"> HYPERLINK \l "_Toc214432842" </w:instrText>
      </w:r>
      <w:r>
        <w:fldChar w:fldCharType="separate"/>
      </w:r>
      <w:r>
        <w:rPr>
          <w:rStyle w:val="50"/>
          <w:rFonts w:hint="eastAsia" w:ascii="宋体" w:hAnsi="宋体"/>
        </w:rPr>
        <w:t>11．需要补充的其他内容</w:t>
      </w:r>
      <w:r>
        <w:rPr>
          <w:rFonts w:hint="eastAsia"/>
        </w:rPr>
        <w:tab/>
      </w:r>
      <w:r>
        <w:rPr>
          <w:rFonts w:hint="eastAsia"/>
        </w:rPr>
        <w:fldChar w:fldCharType="begin"/>
      </w:r>
      <w:r>
        <w:rPr>
          <w:rFonts w:hint="eastAsia"/>
        </w:rPr>
        <w:instrText xml:space="preserve"> </w:instrText>
      </w:r>
      <w:r>
        <w:instrText xml:space="preserve">PAGEREF _Toc214432842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3E03B125">
      <w:pPr>
        <w:pStyle w:val="30"/>
        <w:rPr>
          <w:rFonts w:asciiTheme="minorHAnsi" w:hAnsiTheme="minorHAnsi" w:eastAsiaTheme="minorEastAsia" w:cstheme="minorBidi"/>
          <w:sz w:val="22"/>
          <w14:ligatures w14:val="standardContextual"/>
        </w:rPr>
      </w:pPr>
      <w:r>
        <w:fldChar w:fldCharType="begin"/>
      </w:r>
      <w:r>
        <w:instrText xml:space="preserve"> HYPERLINK \l "_Toc214432843" </w:instrText>
      </w:r>
      <w:r>
        <w:fldChar w:fldCharType="separate"/>
      </w:r>
      <w:r>
        <w:rPr>
          <w:rStyle w:val="50"/>
          <w:rFonts w:hint="eastAsia" w:ascii="宋体" w:hAnsi="宋体" w:cs="宋体"/>
          <w:b/>
          <w:kern w:val="0"/>
        </w:rPr>
        <w:t>第三章 评审办法（综合评估法）</w:t>
      </w:r>
      <w:r>
        <w:rPr>
          <w:rFonts w:hint="eastAsia"/>
        </w:rPr>
        <w:tab/>
      </w:r>
      <w:r>
        <w:rPr>
          <w:rFonts w:hint="eastAsia"/>
        </w:rPr>
        <w:fldChar w:fldCharType="begin"/>
      </w:r>
      <w:r>
        <w:rPr>
          <w:rFonts w:hint="eastAsia"/>
        </w:rPr>
        <w:instrText xml:space="preserve"> </w:instrText>
      </w:r>
      <w:r>
        <w:instrText xml:space="preserve">PAGEREF _Toc214432843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2EAFA22C">
      <w:pPr>
        <w:pStyle w:val="36"/>
        <w:rPr>
          <w:rFonts w:asciiTheme="minorHAnsi" w:hAnsiTheme="minorHAnsi" w:eastAsiaTheme="minorEastAsia" w:cstheme="minorBidi"/>
          <w:sz w:val="22"/>
          <w14:ligatures w14:val="standardContextual"/>
        </w:rPr>
      </w:pPr>
      <w:r>
        <w:fldChar w:fldCharType="begin"/>
      </w:r>
      <w:r>
        <w:instrText xml:space="preserve"> HYPERLINK \l "_Toc214432844" </w:instrText>
      </w:r>
      <w:r>
        <w:fldChar w:fldCharType="separate"/>
      </w:r>
      <w:r>
        <w:rPr>
          <w:rStyle w:val="50"/>
          <w:rFonts w:hint="eastAsia"/>
        </w:rPr>
        <w:t>评审办法前附表</w:t>
      </w:r>
      <w:r>
        <w:rPr>
          <w:rFonts w:hint="eastAsia"/>
        </w:rPr>
        <w:tab/>
      </w:r>
      <w:r>
        <w:rPr>
          <w:rFonts w:hint="eastAsia"/>
        </w:rPr>
        <w:fldChar w:fldCharType="begin"/>
      </w:r>
      <w:r>
        <w:rPr>
          <w:rFonts w:hint="eastAsia"/>
        </w:rPr>
        <w:instrText xml:space="preserve"> </w:instrText>
      </w:r>
      <w:r>
        <w:instrText xml:space="preserve">PAGEREF _Toc214432844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22ED41A3">
      <w:pPr>
        <w:pStyle w:val="36"/>
        <w:rPr>
          <w:rFonts w:asciiTheme="minorHAnsi" w:hAnsiTheme="minorHAnsi" w:eastAsiaTheme="minorEastAsia" w:cstheme="minorBidi"/>
          <w:sz w:val="22"/>
          <w14:ligatures w14:val="standardContextual"/>
        </w:rPr>
      </w:pPr>
      <w:r>
        <w:fldChar w:fldCharType="begin"/>
      </w:r>
      <w:r>
        <w:instrText xml:space="preserve"> HYPERLINK \l "_Toc214432845" </w:instrText>
      </w:r>
      <w:r>
        <w:fldChar w:fldCharType="separate"/>
      </w:r>
      <w:r>
        <w:rPr>
          <w:rStyle w:val="50"/>
          <w:rFonts w:hint="eastAsia"/>
        </w:rPr>
        <w:t>1.</w:t>
      </w:r>
      <w:r>
        <w:rPr>
          <w:rFonts w:hint="eastAsia" w:asciiTheme="minorHAnsi" w:hAnsiTheme="minorHAnsi" w:eastAsiaTheme="minorEastAsia" w:cstheme="minorBidi"/>
          <w:sz w:val="22"/>
          <w14:ligatures w14:val="standardContextual"/>
        </w:rPr>
        <w:tab/>
      </w:r>
      <w:r>
        <w:rPr>
          <w:rStyle w:val="50"/>
          <w:rFonts w:hint="eastAsia" w:cstheme="minorEastAsia"/>
        </w:rPr>
        <w:t>评审方法</w:t>
      </w:r>
      <w:r>
        <w:rPr>
          <w:rFonts w:hint="eastAsia"/>
        </w:rPr>
        <w:tab/>
      </w:r>
      <w:r>
        <w:rPr>
          <w:rFonts w:hint="eastAsia"/>
        </w:rPr>
        <w:fldChar w:fldCharType="begin"/>
      </w:r>
      <w:r>
        <w:rPr>
          <w:rFonts w:hint="eastAsia"/>
        </w:rPr>
        <w:instrText xml:space="preserve"> </w:instrText>
      </w:r>
      <w:r>
        <w:instrText xml:space="preserve">PAGEREF _Toc214432845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02FBC0EB">
      <w:pPr>
        <w:pStyle w:val="36"/>
        <w:rPr>
          <w:rFonts w:asciiTheme="minorHAnsi" w:hAnsiTheme="minorHAnsi" w:eastAsiaTheme="minorEastAsia" w:cstheme="minorBidi"/>
          <w:sz w:val="22"/>
          <w14:ligatures w14:val="standardContextual"/>
        </w:rPr>
      </w:pPr>
      <w:r>
        <w:fldChar w:fldCharType="begin"/>
      </w:r>
      <w:r>
        <w:instrText xml:space="preserve"> HYPERLINK \l "_Toc214432846" </w:instrText>
      </w:r>
      <w:r>
        <w:fldChar w:fldCharType="separate"/>
      </w:r>
      <w:r>
        <w:rPr>
          <w:rStyle w:val="50"/>
          <w:rFonts w:hint="eastAsia"/>
        </w:rPr>
        <w:t>2.</w:t>
      </w:r>
      <w:r>
        <w:rPr>
          <w:rFonts w:hint="eastAsia" w:asciiTheme="minorHAnsi" w:hAnsiTheme="minorHAnsi" w:eastAsiaTheme="minorEastAsia" w:cstheme="minorBidi"/>
          <w:sz w:val="22"/>
          <w14:ligatures w14:val="standardContextual"/>
        </w:rPr>
        <w:tab/>
      </w:r>
      <w:r>
        <w:rPr>
          <w:rStyle w:val="50"/>
          <w:rFonts w:hint="eastAsia" w:cstheme="minorEastAsia"/>
        </w:rPr>
        <w:t>评审标准</w:t>
      </w:r>
      <w:r>
        <w:rPr>
          <w:rFonts w:hint="eastAsia"/>
        </w:rPr>
        <w:tab/>
      </w:r>
      <w:r>
        <w:rPr>
          <w:rFonts w:hint="eastAsia"/>
        </w:rPr>
        <w:fldChar w:fldCharType="begin"/>
      </w:r>
      <w:r>
        <w:rPr>
          <w:rFonts w:hint="eastAsia"/>
        </w:rPr>
        <w:instrText xml:space="preserve"> </w:instrText>
      </w:r>
      <w:r>
        <w:instrText xml:space="preserve">PAGEREF _Toc214432846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0F249B6A">
      <w:pPr>
        <w:pStyle w:val="36"/>
        <w:rPr>
          <w:rFonts w:asciiTheme="minorHAnsi" w:hAnsiTheme="minorHAnsi" w:eastAsiaTheme="minorEastAsia" w:cstheme="minorBidi"/>
          <w:sz w:val="22"/>
          <w14:ligatures w14:val="standardContextual"/>
        </w:rPr>
      </w:pPr>
      <w:r>
        <w:fldChar w:fldCharType="begin"/>
      </w:r>
      <w:r>
        <w:instrText xml:space="preserve"> HYPERLINK \l "_Toc214432847" </w:instrText>
      </w:r>
      <w:r>
        <w:fldChar w:fldCharType="separate"/>
      </w:r>
      <w:r>
        <w:rPr>
          <w:rStyle w:val="50"/>
          <w:rFonts w:hint="eastAsia"/>
        </w:rPr>
        <w:t>3.</w:t>
      </w:r>
      <w:r>
        <w:rPr>
          <w:rFonts w:hint="eastAsia" w:asciiTheme="minorHAnsi" w:hAnsiTheme="minorHAnsi" w:eastAsiaTheme="minorEastAsia" w:cstheme="minorBidi"/>
          <w:sz w:val="22"/>
          <w14:ligatures w14:val="standardContextual"/>
        </w:rPr>
        <w:tab/>
      </w:r>
      <w:r>
        <w:rPr>
          <w:rStyle w:val="50"/>
          <w:rFonts w:hint="eastAsia" w:cstheme="minorEastAsia"/>
        </w:rPr>
        <w:t>评审程序</w:t>
      </w:r>
      <w:r>
        <w:rPr>
          <w:rFonts w:hint="eastAsia"/>
        </w:rPr>
        <w:tab/>
      </w:r>
      <w:r>
        <w:rPr>
          <w:rFonts w:hint="eastAsia"/>
        </w:rPr>
        <w:fldChar w:fldCharType="begin"/>
      </w:r>
      <w:r>
        <w:rPr>
          <w:rFonts w:hint="eastAsia"/>
        </w:rPr>
        <w:instrText xml:space="preserve"> </w:instrText>
      </w:r>
      <w:r>
        <w:instrText xml:space="preserve">PAGEREF _Toc214432847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0A6AF327">
      <w:pPr>
        <w:pStyle w:val="30"/>
        <w:rPr>
          <w:rFonts w:asciiTheme="minorHAnsi" w:hAnsiTheme="minorHAnsi" w:eastAsiaTheme="minorEastAsia" w:cstheme="minorBidi"/>
          <w:sz w:val="22"/>
          <w14:ligatures w14:val="standardContextual"/>
        </w:rPr>
      </w:pPr>
      <w:r>
        <w:fldChar w:fldCharType="begin"/>
      </w:r>
      <w:r>
        <w:instrText xml:space="preserve"> HYPERLINK \l "_Toc214432848" </w:instrText>
      </w:r>
      <w:r>
        <w:fldChar w:fldCharType="separate"/>
      </w:r>
      <w:r>
        <w:rPr>
          <w:rStyle w:val="50"/>
          <w:rFonts w:hint="eastAsia" w:ascii="宋体" w:hAnsi="宋体" w:cs="宋体"/>
          <w:b/>
          <w:kern w:val="0"/>
        </w:rPr>
        <w:t>第四章合同条款</w:t>
      </w:r>
      <w:r>
        <w:rPr>
          <w:rFonts w:hint="eastAsia"/>
        </w:rPr>
        <w:tab/>
      </w:r>
      <w:r>
        <w:rPr>
          <w:rFonts w:hint="eastAsia"/>
        </w:rPr>
        <w:fldChar w:fldCharType="begin"/>
      </w:r>
      <w:r>
        <w:rPr>
          <w:rFonts w:hint="eastAsia"/>
        </w:rPr>
        <w:instrText xml:space="preserve"> </w:instrText>
      </w:r>
      <w:r>
        <w:instrText xml:space="preserve">PAGEREF _Toc214432848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14:paraId="43FEC7C7">
      <w:pPr>
        <w:pStyle w:val="30"/>
        <w:rPr>
          <w:rFonts w:asciiTheme="minorHAnsi" w:hAnsiTheme="minorHAnsi" w:eastAsiaTheme="minorEastAsia" w:cstheme="minorBidi"/>
          <w:sz w:val="22"/>
          <w14:ligatures w14:val="standardContextual"/>
        </w:rPr>
      </w:pPr>
      <w:r>
        <w:fldChar w:fldCharType="begin"/>
      </w:r>
      <w:r>
        <w:instrText xml:space="preserve"> HYPERLINK \l "_Toc214432849" </w:instrText>
      </w:r>
      <w:r>
        <w:fldChar w:fldCharType="separate"/>
      </w:r>
      <w:r>
        <w:rPr>
          <w:rStyle w:val="50"/>
          <w:rFonts w:hint="eastAsia" w:ascii="宋体" w:hAnsi="宋体" w:cs="宋体"/>
          <w:b/>
          <w:kern w:val="0"/>
        </w:rPr>
        <w:t>第五章 项目需求书</w:t>
      </w:r>
      <w:r>
        <w:rPr>
          <w:rFonts w:hint="eastAsia"/>
        </w:rPr>
        <w:tab/>
      </w:r>
      <w:r>
        <w:rPr>
          <w:rFonts w:hint="eastAsia"/>
        </w:rPr>
        <w:fldChar w:fldCharType="begin"/>
      </w:r>
      <w:r>
        <w:rPr>
          <w:rFonts w:hint="eastAsia"/>
        </w:rPr>
        <w:instrText xml:space="preserve"> </w:instrText>
      </w:r>
      <w:r>
        <w:instrText xml:space="preserve">PAGEREF _Toc214432849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2043085E">
      <w:pPr>
        <w:pStyle w:val="30"/>
        <w:rPr>
          <w:rFonts w:asciiTheme="minorHAnsi" w:hAnsiTheme="minorHAnsi" w:eastAsiaTheme="minorEastAsia" w:cstheme="minorBidi"/>
          <w:sz w:val="22"/>
          <w14:ligatures w14:val="standardContextual"/>
        </w:rPr>
      </w:pPr>
      <w:r>
        <w:fldChar w:fldCharType="begin"/>
      </w:r>
      <w:r>
        <w:instrText xml:space="preserve"> HYPERLINK \l "_Toc214432850" </w:instrText>
      </w:r>
      <w:r>
        <w:fldChar w:fldCharType="separate"/>
      </w:r>
      <w:r>
        <w:rPr>
          <w:rStyle w:val="50"/>
          <w:rFonts w:hint="eastAsia" w:ascii="宋体" w:hAnsi="宋体" w:cs="宋体"/>
          <w:b/>
          <w:kern w:val="0"/>
        </w:rPr>
        <w:t>第六章  投标文件格式</w:t>
      </w:r>
      <w:r>
        <w:rPr>
          <w:rFonts w:hint="eastAsia"/>
        </w:rPr>
        <w:tab/>
      </w:r>
      <w:r>
        <w:rPr>
          <w:rFonts w:hint="eastAsia"/>
        </w:rPr>
        <w:fldChar w:fldCharType="begin"/>
      </w:r>
      <w:r>
        <w:rPr>
          <w:rFonts w:hint="eastAsia"/>
        </w:rPr>
        <w:instrText xml:space="preserve"> </w:instrText>
      </w:r>
      <w:r>
        <w:instrText xml:space="preserve">PAGEREF _Toc214432850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46A4C747">
      <w:pPr>
        <w:pStyle w:val="36"/>
        <w:rPr>
          <w:rFonts w:asciiTheme="minorHAnsi" w:hAnsiTheme="minorHAnsi" w:eastAsiaTheme="minorEastAsia" w:cstheme="minorBidi"/>
          <w:sz w:val="22"/>
          <w14:ligatures w14:val="standardContextual"/>
        </w:rPr>
      </w:pPr>
      <w:r>
        <w:fldChar w:fldCharType="begin"/>
      </w:r>
      <w:r>
        <w:instrText xml:space="preserve"> HYPERLINK \l "_Toc214432851" </w:instrText>
      </w:r>
      <w:r>
        <w:fldChar w:fldCharType="separate"/>
      </w:r>
      <w:r>
        <w:rPr>
          <w:rStyle w:val="50"/>
          <w:rFonts w:hint="eastAsia" w:ascii="宋体" w:hAnsi="宋体"/>
        </w:rPr>
        <w:t>一、</w:t>
      </w:r>
      <w:r>
        <w:rPr>
          <w:rFonts w:hint="eastAsia" w:asciiTheme="minorHAnsi" w:hAnsiTheme="minorHAnsi" w:eastAsiaTheme="minorEastAsia" w:cstheme="minorBidi"/>
          <w:sz w:val="22"/>
          <w14:ligatures w14:val="standardContextual"/>
        </w:rPr>
        <w:tab/>
      </w:r>
      <w:r>
        <w:rPr>
          <w:rStyle w:val="50"/>
          <w:rFonts w:hint="eastAsia" w:ascii="宋体" w:hAnsi="宋体"/>
        </w:rPr>
        <w:t>投标文件封面</w:t>
      </w:r>
      <w:r>
        <w:rPr>
          <w:rFonts w:hint="eastAsia"/>
        </w:rPr>
        <w:tab/>
      </w:r>
      <w:r>
        <w:rPr>
          <w:rFonts w:hint="eastAsia"/>
        </w:rPr>
        <w:fldChar w:fldCharType="begin"/>
      </w:r>
      <w:r>
        <w:rPr>
          <w:rFonts w:hint="eastAsia"/>
        </w:rPr>
        <w:instrText xml:space="preserve"> </w:instrText>
      </w:r>
      <w:r>
        <w:instrText xml:space="preserve">PAGEREF _Toc214432851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3A7DD36C">
      <w:pPr>
        <w:pStyle w:val="36"/>
        <w:rPr>
          <w:rFonts w:asciiTheme="minorHAnsi" w:hAnsiTheme="minorHAnsi" w:eastAsiaTheme="minorEastAsia" w:cstheme="minorBidi"/>
          <w:sz w:val="22"/>
          <w14:ligatures w14:val="standardContextual"/>
        </w:rPr>
      </w:pPr>
      <w:r>
        <w:fldChar w:fldCharType="begin"/>
      </w:r>
      <w:r>
        <w:instrText xml:space="preserve"> HYPERLINK \l "_Toc214432852" </w:instrText>
      </w:r>
      <w:r>
        <w:fldChar w:fldCharType="separate"/>
      </w:r>
      <w:r>
        <w:rPr>
          <w:rStyle w:val="50"/>
          <w:rFonts w:hint="eastAsia" w:ascii="宋体" w:hAnsi="宋体"/>
        </w:rPr>
        <w:t>二、</w:t>
      </w:r>
      <w:r>
        <w:rPr>
          <w:rFonts w:hint="eastAsia" w:asciiTheme="minorHAnsi" w:hAnsiTheme="minorHAnsi" w:eastAsiaTheme="minorEastAsia" w:cstheme="minorBidi"/>
          <w:sz w:val="22"/>
          <w14:ligatures w14:val="standardContextual"/>
        </w:rPr>
        <w:tab/>
      </w:r>
      <w:r>
        <w:rPr>
          <w:rStyle w:val="50"/>
          <w:rFonts w:hint="eastAsia" w:ascii="宋体" w:hAnsi="宋体"/>
        </w:rPr>
        <w:t>评审索引表</w:t>
      </w:r>
      <w:r>
        <w:rPr>
          <w:rFonts w:hint="eastAsia"/>
        </w:rPr>
        <w:tab/>
      </w:r>
      <w:r>
        <w:rPr>
          <w:rFonts w:hint="eastAsia"/>
        </w:rPr>
        <w:fldChar w:fldCharType="begin"/>
      </w:r>
      <w:r>
        <w:rPr>
          <w:rFonts w:hint="eastAsia"/>
        </w:rPr>
        <w:instrText xml:space="preserve"> </w:instrText>
      </w:r>
      <w:r>
        <w:instrText xml:space="preserve">PAGEREF _Toc214432852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0824ADE7">
      <w:pPr>
        <w:pStyle w:val="36"/>
        <w:rPr>
          <w:rFonts w:asciiTheme="minorHAnsi" w:hAnsiTheme="minorHAnsi" w:eastAsiaTheme="minorEastAsia" w:cstheme="minorBidi"/>
          <w:sz w:val="22"/>
          <w14:ligatures w14:val="standardContextual"/>
        </w:rPr>
      </w:pPr>
      <w:r>
        <w:fldChar w:fldCharType="begin"/>
      </w:r>
      <w:r>
        <w:instrText xml:space="preserve"> HYPERLINK \l "_Toc214432853" </w:instrText>
      </w:r>
      <w:r>
        <w:fldChar w:fldCharType="separate"/>
      </w:r>
      <w:r>
        <w:rPr>
          <w:rStyle w:val="50"/>
          <w:rFonts w:hint="eastAsia" w:ascii="宋体" w:hAnsi="宋体"/>
        </w:rPr>
        <w:t>三、投标函格式（投标人需据实修改）</w:t>
      </w:r>
      <w:r>
        <w:rPr>
          <w:rFonts w:hint="eastAsia"/>
        </w:rPr>
        <w:tab/>
      </w:r>
      <w:r>
        <w:rPr>
          <w:rFonts w:hint="eastAsia"/>
        </w:rPr>
        <w:fldChar w:fldCharType="begin"/>
      </w:r>
      <w:r>
        <w:rPr>
          <w:rFonts w:hint="eastAsia"/>
        </w:rPr>
        <w:instrText xml:space="preserve"> </w:instrText>
      </w:r>
      <w:r>
        <w:instrText xml:space="preserve">PAGEREF _Toc214432853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02303E54">
      <w:pPr>
        <w:pStyle w:val="36"/>
        <w:rPr>
          <w:rFonts w:asciiTheme="minorHAnsi" w:hAnsiTheme="minorHAnsi" w:eastAsiaTheme="minorEastAsia" w:cstheme="minorBidi"/>
          <w:sz w:val="22"/>
          <w14:ligatures w14:val="standardContextual"/>
        </w:rPr>
      </w:pPr>
      <w:r>
        <w:fldChar w:fldCharType="begin"/>
      </w:r>
      <w:r>
        <w:instrText xml:space="preserve"> HYPERLINK \l "_Toc214432854" </w:instrText>
      </w:r>
      <w:r>
        <w:fldChar w:fldCharType="separate"/>
      </w:r>
      <w:r>
        <w:rPr>
          <w:rStyle w:val="50"/>
          <w:rFonts w:hint="eastAsia" w:ascii="宋体" w:hAnsi="宋体"/>
        </w:rPr>
        <w:t>四、法定代表人身份证明</w:t>
      </w:r>
      <w:r>
        <w:rPr>
          <w:rFonts w:hint="eastAsia"/>
        </w:rPr>
        <w:tab/>
      </w:r>
      <w:r>
        <w:rPr>
          <w:rFonts w:hint="eastAsia"/>
        </w:rPr>
        <w:fldChar w:fldCharType="begin"/>
      </w:r>
      <w:r>
        <w:rPr>
          <w:rFonts w:hint="eastAsia"/>
        </w:rPr>
        <w:instrText xml:space="preserve"> </w:instrText>
      </w:r>
      <w:r>
        <w:instrText xml:space="preserve">PAGEREF _Toc214432854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14:paraId="0FD3D3F7">
      <w:pPr>
        <w:pStyle w:val="36"/>
        <w:rPr>
          <w:rFonts w:asciiTheme="minorHAnsi" w:hAnsiTheme="minorHAnsi" w:eastAsiaTheme="minorEastAsia" w:cstheme="minorBidi"/>
          <w:sz w:val="22"/>
          <w14:ligatures w14:val="standardContextual"/>
        </w:rPr>
      </w:pPr>
      <w:r>
        <w:fldChar w:fldCharType="begin"/>
      </w:r>
      <w:r>
        <w:instrText xml:space="preserve"> HYPERLINK \l "_Toc214432855" </w:instrText>
      </w:r>
      <w:r>
        <w:fldChar w:fldCharType="separate"/>
      </w:r>
      <w:r>
        <w:rPr>
          <w:rStyle w:val="50"/>
          <w:rFonts w:hint="eastAsia" w:ascii="宋体" w:hAnsi="宋体"/>
        </w:rPr>
        <w:t>五、法定代表人授权委托书</w:t>
      </w:r>
      <w:r>
        <w:rPr>
          <w:rFonts w:hint="eastAsia"/>
        </w:rPr>
        <w:tab/>
      </w:r>
      <w:r>
        <w:rPr>
          <w:rFonts w:hint="eastAsia"/>
        </w:rPr>
        <w:fldChar w:fldCharType="begin"/>
      </w:r>
      <w:r>
        <w:rPr>
          <w:rFonts w:hint="eastAsia"/>
        </w:rPr>
        <w:instrText xml:space="preserve"> </w:instrText>
      </w:r>
      <w:r>
        <w:instrText xml:space="preserve">PAGEREF _Toc214432855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4C776E18">
      <w:pPr>
        <w:pStyle w:val="36"/>
        <w:rPr>
          <w:rFonts w:asciiTheme="minorHAnsi" w:hAnsiTheme="minorHAnsi" w:eastAsiaTheme="minorEastAsia" w:cstheme="minorBidi"/>
          <w:sz w:val="22"/>
          <w14:ligatures w14:val="standardContextual"/>
        </w:rPr>
      </w:pPr>
      <w:r>
        <w:fldChar w:fldCharType="begin"/>
      </w:r>
      <w:r>
        <w:instrText xml:space="preserve"> HYPERLINK \l "_Toc214432856" </w:instrText>
      </w:r>
      <w:r>
        <w:fldChar w:fldCharType="separate"/>
      </w:r>
      <w:r>
        <w:rPr>
          <w:rStyle w:val="50"/>
          <w:rFonts w:hint="eastAsia" w:ascii="宋体" w:hAnsi="宋体"/>
        </w:rPr>
        <w:t>六、联合体协议书（如有）</w:t>
      </w:r>
      <w:r>
        <w:rPr>
          <w:rFonts w:hint="eastAsia"/>
        </w:rPr>
        <w:tab/>
      </w:r>
      <w:r>
        <w:rPr>
          <w:rFonts w:hint="eastAsia"/>
        </w:rPr>
        <w:fldChar w:fldCharType="begin"/>
      </w:r>
      <w:r>
        <w:rPr>
          <w:rFonts w:hint="eastAsia"/>
        </w:rPr>
        <w:instrText xml:space="preserve"> </w:instrText>
      </w:r>
      <w:r>
        <w:instrText xml:space="preserve">PAGEREF _Toc214432856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1CC76484">
      <w:pPr>
        <w:pStyle w:val="36"/>
        <w:rPr>
          <w:rFonts w:asciiTheme="minorHAnsi" w:hAnsiTheme="minorHAnsi" w:eastAsiaTheme="minorEastAsia" w:cstheme="minorBidi"/>
          <w:sz w:val="22"/>
          <w14:ligatures w14:val="standardContextual"/>
        </w:rPr>
      </w:pPr>
      <w:r>
        <w:fldChar w:fldCharType="begin"/>
      </w:r>
      <w:r>
        <w:instrText xml:space="preserve"> HYPERLINK \l "_Toc214432857" </w:instrText>
      </w:r>
      <w:r>
        <w:fldChar w:fldCharType="separate"/>
      </w:r>
      <w:r>
        <w:rPr>
          <w:rStyle w:val="50"/>
          <w:rFonts w:hint="eastAsia" w:ascii="宋体" w:hAnsi="宋体"/>
        </w:rPr>
        <w:t>七、资格审查资料</w:t>
      </w:r>
      <w:r>
        <w:rPr>
          <w:rFonts w:hint="eastAsia"/>
        </w:rPr>
        <w:tab/>
      </w:r>
      <w:r>
        <w:rPr>
          <w:rFonts w:hint="eastAsia"/>
        </w:rPr>
        <w:fldChar w:fldCharType="begin"/>
      </w:r>
      <w:r>
        <w:rPr>
          <w:rFonts w:hint="eastAsia"/>
        </w:rPr>
        <w:instrText xml:space="preserve"> </w:instrText>
      </w:r>
      <w:r>
        <w:instrText xml:space="preserve">PAGEREF _Toc214432857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2867CE9B">
      <w:pPr>
        <w:pStyle w:val="36"/>
        <w:rPr>
          <w:rFonts w:asciiTheme="minorHAnsi" w:hAnsiTheme="minorHAnsi" w:eastAsiaTheme="minorEastAsia" w:cstheme="minorBidi"/>
          <w:sz w:val="22"/>
          <w14:ligatures w14:val="standardContextual"/>
        </w:rPr>
      </w:pPr>
      <w:r>
        <w:fldChar w:fldCharType="begin"/>
      </w:r>
      <w:r>
        <w:instrText xml:space="preserve"> HYPERLINK \l "_Toc214432858" </w:instrText>
      </w:r>
      <w:r>
        <w:fldChar w:fldCharType="separate"/>
      </w:r>
      <w:r>
        <w:rPr>
          <w:rStyle w:val="50"/>
          <w:rFonts w:hint="eastAsia" w:ascii="宋体" w:hAnsi="宋体"/>
        </w:rPr>
        <w:t>八、业绩情况表</w:t>
      </w:r>
      <w:r>
        <w:rPr>
          <w:rFonts w:hint="eastAsia"/>
        </w:rPr>
        <w:tab/>
      </w:r>
      <w:r>
        <w:rPr>
          <w:rFonts w:hint="eastAsia"/>
        </w:rPr>
        <w:fldChar w:fldCharType="begin"/>
      </w:r>
      <w:r>
        <w:rPr>
          <w:rFonts w:hint="eastAsia"/>
        </w:rPr>
        <w:instrText xml:space="preserve"> </w:instrText>
      </w:r>
      <w:r>
        <w:instrText xml:space="preserve">PAGEREF _Toc214432858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316DE20E">
      <w:pPr>
        <w:pStyle w:val="36"/>
        <w:rPr>
          <w:rFonts w:asciiTheme="minorHAnsi" w:hAnsiTheme="minorHAnsi" w:eastAsiaTheme="minorEastAsia" w:cstheme="minorBidi"/>
          <w:sz w:val="22"/>
          <w14:ligatures w14:val="standardContextual"/>
        </w:rPr>
      </w:pPr>
      <w:r>
        <w:fldChar w:fldCharType="begin"/>
      </w:r>
      <w:r>
        <w:instrText xml:space="preserve"> HYPERLINK \l "_Toc214432859" </w:instrText>
      </w:r>
      <w:r>
        <w:fldChar w:fldCharType="separate"/>
      </w:r>
      <w:r>
        <w:rPr>
          <w:rStyle w:val="50"/>
          <w:rFonts w:hint="eastAsia" w:ascii="宋体" w:hAnsi="宋体"/>
        </w:rPr>
        <w:t>九、财务状况表</w:t>
      </w:r>
      <w:r>
        <w:rPr>
          <w:rFonts w:hint="eastAsia"/>
        </w:rPr>
        <w:tab/>
      </w:r>
      <w:r>
        <w:rPr>
          <w:rFonts w:hint="eastAsia"/>
        </w:rPr>
        <w:fldChar w:fldCharType="begin"/>
      </w:r>
      <w:r>
        <w:rPr>
          <w:rFonts w:hint="eastAsia"/>
        </w:rPr>
        <w:instrText xml:space="preserve"> </w:instrText>
      </w:r>
      <w:r>
        <w:instrText xml:space="preserve">PAGEREF _Toc214432859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5F861371">
      <w:pPr>
        <w:pStyle w:val="36"/>
        <w:rPr>
          <w:rFonts w:asciiTheme="minorHAnsi" w:hAnsiTheme="minorHAnsi" w:eastAsiaTheme="minorEastAsia" w:cstheme="minorBidi"/>
          <w:sz w:val="22"/>
          <w14:ligatures w14:val="standardContextual"/>
        </w:rPr>
      </w:pPr>
      <w:r>
        <w:fldChar w:fldCharType="begin"/>
      </w:r>
      <w:r>
        <w:instrText xml:space="preserve"> HYPERLINK \l "_Toc214432860" </w:instrText>
      </w:r>
      <w:r>
        <w:fldChar w:fldCharType="separate"/>
      </w:r>
      <w:r>
        <w:rPr>
          <w:rStyle w:val="50"/>
          <w:rFonts w:hint="eastAsia" w:ascii="宋体" w:hAnsi="宋体"/>
        </w:rPr>
        <w:t>十、投标人不得存在情形的情况说明</w:t>
      </w:r>
      <w:r>
        <w:rPr>
          <w:rFonts w:hint="eastAsia"/>
        </w:rPr>
        <w:tab/>
      </w:r>
      <w:r>
        <w:rPr>
          <w:rFonts w:hint="eastAsia"/>
        </w:rPr>
        <w:fldChar w:fldCharType="begin"/>
      </w:r>
      <w:r>
        <w:rPr>
          <w:rFonts w:hint="eastAsia"/>
        </w:rPr>
        <w:instrText xml:space="preserve"> </w:instrText>
      </w:r>
      <w:r>
        <w:instrText xml:space="preserve">PAGEREF _Toc214432860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35A4C685">
      <w:pPr>
        <w:pStyle w:val="36"/>
        <w:rPr>
          <w:rFonts w:asciiTheme="minorHAnsi" w:hAnsiTheme="minorHAnsi" w:eastAsiaTheme="minorEastAsia" w:cstheme="minorBidi"/>
          <w:sz w:val="22"/>
          <w14:ligatures w14:val="standardContextual"/>
        </w:rPr>
      </w:pPr>
      <w:r>
        <w:fldChar w:fldCharType="begin"/>
      </w:r>
      <w:r>
        <w:instrText xml:space="preserve"> HYPERLINK \l "_Toc214432861" </w:instrText>
      </w:r>
      <w:r>
        <w:fldChar w:fldCharType="separate"/>
      </w:r>
      <w:r>
        <w:rPr>
          <w:rStyle w:val="50"/>
          <w:rFonts w:hint="eastAsia" w:ascii="宋体" w:hAnsi="宋体"/>
        </w:rPr>
        <w:t>十一、技术方案</w:t>
      </w:r>
      <w:r>
        <w:rPr>
          <w:rFonts w:hint="eastAsia"/>
        </w:rPr>
        <w:tab/>
      </w:r>
      <w:r>
        <w:rPr>
          <w:rFonts w:hint="eastAsia"/>
        </w:rPr>
        <w:fldChar w:fldCharType="begin"/>
      </w:r>
      <w:r>
        <w:rPr>
          <w:rFonts w:hint="eastAsia"/>
        </w:rPr>
        <w:instrText xml:space="preserve"> </w:instrText>
      </w:r>
      <w:r>
        <w:instrText xml:space="preserve">PAGEREF _Toc214432861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0D60A872">
      <w:pPr>
        <w:pStyle w:val="36"/>
        <w:rPr>
          <w:rFonts w:asciiTheme="minorHAnsi" w:hAnsiTheme="minorHAnsi" w:eastAsiaTheme="minorEastAsia" w:cstheme="minorBidi"/>
          <w:sz w:val="22"/>
          <w14:ligatures w14:val="standardContextual"/>
        </w:rPr>
      </w:pPr>
      <w:r>
        <w:fldChar w:fldCharType="begin"/>
      </w:r>
      <w:r>
        <w:instrText xml:space="preserve"> HYPERLINK \l "_Toc214432862" </w:instrText>
      </w:r>
      <w:r>
        <w:fldChar w:fldCharType="separate"/>
      </w:r>
      <w:r>
        <w:rPr>
          <w:rStyle w:val="50"/>
          <w:rFonts w:hint="eastAsia" w:ascii="宋体" w:hAnsi="宋体"/>
        </w:rPr>
        <w:t>十二、合同条款及格式应答偏离表</w:t>
      </w:r>
      <w:r>
        <w:rPr>
          <w:rFonts w:hint="eastAsia"/>
        </w:rPr>
        <w:tab/>
      </w:r>
      <w:r>
        <w:rPr>
          <w:rFonts w:hint="eastAsia"/>
        </w:rPr>
        <w:fldChar w:fldCharType="begin"/>
      </w:r>
      <w:r>
        <w:rPr>
          <w:rFonts w:hint="eastAsia"/>
        </w:rPr>
        <w:instrText xml:space="preserve"> </w:instrText>
      </w:r>
      <w:r>
        <w:instrText xml:space="preserve">PAGEREF _Toc214432862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14:paraId="502AE5DE">
      <w:pPr>
        <w:pStyle w:val="36"/>
        <w:rPr>
          <w:rFonts w:asciiTheme="minorHAnsi" w:hAnsiTheme="minorHAnsi" w:eastAsiaTheme="minorEastAsia" w:cstheme="minorBidi"/>
          <w:sz w:val="22"/>
          <w14:ligatures w14:val="standardContextual"/>
        </w:rPr>
      </w:pPr>
      <w:r>
        <w:fldChar w:fldCharType="begin"/>
      </w:r>
      <w:r>
        <w:instrText xml:space="preserve"> HYPERLINK \l "_Toc214432863" </w:instrText>
      </w:r>
      <w:r>
        <w:fldChar w:fldCharType="separate"/>
      </w:r>
      <w:r>
        <w:rPr>
          <w:rStyle w:val="50"/>
          <w:rFonts w:hint="eastAsia" w:ascii="宋体" w:hAnsi="宋体"/>
        </w:rPr>
        <w:t>十三、技术条款应答偏离表</w:t>
      </w:r>
      <w:r>
        <w:rPr>
          <w:rFonts w:hint="eastAsia"/>
        </w:rPr>
        <w:tab/>
      </w:r>
      <w:r>
        <w:rPr>
          <w:rFonts w:hint="eastAsia"/>
        </w:rPr>
        <w:fldChar w:fldCharType="begin"/>
      </w:r>
      <w:r>
        <w:rPr>
          <w:rFonts w:hint="eastAsia"/>
        </w:rPr>
        <w:instrText xml:space="preserve"> </w:instrText>
      </w:r>
      <w:r>
        <w:instrText xml:space="preserve">PAGEREF _Toc214432863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18C1684B">
      <w:pPr>
        <w:pStyle w:val="36"/>
        <w:rPr>
          <w:rFonts w:asciiTheme="minorHAnsi" w:hAnsiTheme="minorHAnsi" w:eastAsiaTheme="minorEastAsia" w:cstheme="minorBidi"/>
          <w:sz w:val="22"/>
          <w14:ligatures w14:val="standardContextual"/>
        </w:rPr>
      </w:pPr>
      <w:r>
        <w:fldChar w:fldCharType="begin"/>
      </w:r>
      <w:r>
        <w:instrText xml:space="preserve"> HYPERLINK \l "_Toc214432864" </w:instrText>
      </w:r>
      <w:r>
        <w:fldChar w:fldCharType="separate"/>
      </w:r>
      <w:r>
        <w:rPr>
          <w:rStyle w:val="50"/>
          <w:rFonts w:hint="eastAsia" w:ascii="宋体" w:hAnsi="宋体"/>
        </w:rPr>
        <w:t>十四、技术服务部分基本资料（如有）</w:t>
      </w:r>
      <w:r>
        <w:rPr>
          <w:rFonts w:hint="eastAsia"/>
        </w:rPr>
        <w:tab/>
      </w:r>
      <w:r>
        <w:rPr>
          <w:rFonts w:hint="eastAsia"/>
        </w:rPr>
        <w:fldChar w:fldCharType="begin"/>
      </w:r>
      <w:r>
        <w:rPr>
          <w:rFonts w:hint="eastAsia"/>
        </w:rPr>
        <w:instrText xml:space="preserve"> </w:instrText>
      </w:r>
      <w:r>
        <w:instrText xml:space="preserve">PAGEREF _Toc214432864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14:paraId="4ECAB546">
      <w:pPr>
        <w:pStyle w:val="36"/>
        <w:rPr>
          <w:rFonts w:asciiTheme="minorHAnsi" w:hAnsiTheme="minorHAnsi" w:eastAsiaTheme="minorEastAsia" w:cstheme="minorBidi"/>
          <w:sz w:val="22"/>
          <w14:ligatures w14:val="standardContextual"/>
        </w:rPr>
      </w:pPr>
      <w:r>
        <w:fldChar w:fldCharType="begin"/>
      </w:r>
      <w:r>
        <w:instrText xml:space="preserve"> HYPERLINK \l "_Toc214432865" </w:instrText>
      </w:r>
      <w:r>
        <w:fldChar w:fldCharType="separate"/>
      </w:r>
      <w:r>
        <w:rPr>
          <w:rStyle w:val="50"/>
          <w:rFonts w:hint="eastAsia" w:ascii="宋体" w:hAnsi="宋体"/>
        </w:rPr>
        <w:t>十五、招标文件要求的其他证明材料</w:t>
      </w:r>
      <w:r>
        <w:rPr>
          <w:rFonts w:hint="eastAsia"/>
        </w:rPr>
        <w:tab/>
      </w:r>
      <w:r>
        <w:rPr>
          <w:rFonts w:hint="eastAsia"/>
        </w:rPr>
        <w:fldChar w:fldCharType="begin"/>
      </w:r>
      <w:r>
        <w:rPr>
          <w:rFonts w:hint="eastAsia"/>
        </w:rPr>
        <w:instrText xml:space="preserve"> </w:instrText>
      </w:r>
      <w:r>
        <w:instrText xml:space="preserve">PAGEREF _Toc214432865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14:paraId="519928D4">
      <w:pPr>
        <w:pStyle w:val="36"/>
        <w:rPr>
          <w:rFonts w:asciiTheme="minorHAnsi" w:hAnsiTheme="minorHAnsi" w:eastAsiaTheme="minorEastAsia" w:cstheme="minorBidi"/>
          <w:sz w:val="22"/>
          <w14:ligatures w14:val="standardContextual"/>
        </w:rPr>
      </w:pPr>
      <w:r>
        <w:fldChar w:fldCharType="begin"/>
      </w:r>
      <w:r>
        <w:instrText xml:space="preserve"> HYPERLINK \l "_Toc214432866" </w:instrText>
      </w:r>
      <w:r>
        <w:fldChar w:fldCharType="separate"/>
      </w:r>
      <w:r>
        <w:rPr>
          <w:rStyle w:val="50"/>
          <w:rFonts w:hint="eastAsia" w:ascii="宋体" w:hAnsi="宋体"/>
        </w:rPr>
        <w:t>十六、报价一览表</w:t>
      </w:r>
      <w:r>
        <w:rPr>
          <w:rFonts w:hint="eastAsia"/>
        </w:rPr>
        <w:tab/>
      </w:r>
      <w:r>
        <w:rPr>
          <w:rFonts w:hint="eastAsia"/>
        </w:rPr>
        <w:fldChar w:fldCharType="begin"/>
      </w:r>
      <w:r>
        <w:rPr>
          <w:rFonts w:hint="eastAsia"/>
        </w:rPr>
        <w:instrText xml:space="preserve"> </w:instrText>
      </w:r>
      <w:r>
        <w:instrText xml:space="preserve">PAGEREF _Toc214432866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7BC02427">
      <w:pPr>
        <w:pStyle w:val="36"/>
        <w:rPr>
          <w:rFonts w:asciiTheme="minorHAnsi" w:hAnsiTheme="minorHAnsi" w:eastAsiaTheme="minorEastAsia" w:cstheme="minorBidi"/>
          <w:sz w:val="22"/>
          <w14:ligatures w14:val="standardContextual"/>
        </w:rPr>
      </w:pPr>
      <w:r>
        <w:fldChar w:fldCharType="begin"/>
      </w:r>
      <w:r>
        <w:instrText xml:space="preserve"> HYPERLINK \l "_Toc214432867" </w:instrText>
      </w:r>
      <w:r>
        <w:fldChar w:fldCharType="separate"/>
      </w:r>
      <w:r>
        <w:rPr>
          <w:rStyle w:val="50"/>
          <w:rFonts w:hint="eastAsia" w:ascii="宋体" w:hAnsi="宋体"/>
        </w:rPr>
        <w:t>十七、附件：分项报价表</w:t>
      </w:r>
      <w:r>
        <w:rPr>
          <w:rFonts w:hint="eastAsia"/>
        </w:rPr>
        <w:tab/>
      </w:r>
      <w:r>
        <w:rPr>
          <w:rFonts w:hint="eastAsia"/>
        </w:rPr>
        <w:fldChar w:fldCharType="begin"/>
      </w:r>
      <w:r>
        <w:rPr>
          <w:rFonts w:hint="eastAsia"/>
        </w:rPr>
        <w:instrText xml:space="preserve"> </w:instrText>
      </w:r>
      <w:r>
        <w:instrText xml:space="preserve">PAGEREF _Toc214432867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14:paraId="1537F5E4">
      <w:pPr>
        <w:pStyle w:val="36"/>
        <w:rPr>
          <w:rFonts w:asciiTheme="minorHAnsi" w:hAnsiTheme="minorHAnsi" w:eastAsiaTheme="minorEastAsia" w:cstheme="minorBidi"/>
          <w:sz w:val="22"/>
          <w14:ligatures w14:val="standardContextual"/>
        </w:rPr>
      </w:pPr>
      <w:r>
        <w:fldChar w:fldCharType="begin"/>
      </w:r>
      <w:r>
        <w:instrText xml:space="preserve"> HYPERLINK \l "_Toc214432868" </w:instrText>
      </w:r>
      <w:r>
        <w:fldChar w:fldCharType="separate"/>
      </w:r>
      <w:r>
        <w:rPr>
          <w:rStyle w:val="50"/>
          <w:rFonts w:hint="eastAsia" w:ascii="宋体" w:hAnsi="宋体"/>
        </w:rPr>
        <w:t>十八、招标代理服务费支付同意函</w:t>
      </w:r>
      <w:r>
        <w:rPr>
          <w:rFonts w:hint="eastAsia"/>
        </w:rPr>
        <w:tab/>
      </w:r>
      <w:r>
        <w:rPr>
          <w:rFonts w:hint="eastAsia"/>
        </w:rPr>
        <w:fldChar w:fldCharType="begin"/>
      </w:r>
      <w:r>
        <w:rPr>
          <w:rFonts w:hint="eastAsia"/>
        </w:rPr>
        <w:instrText xml:space="preserve"> </w:instrText>
      </w:r>
      <w:r>
        <w:instrText xml:space="preserve">PAGEREF _Toc214432868 \h</w:instrText>
      </w:r>
      <w:r>
        <w:rPr>
          <w:rFonts w:hint="eastAsia"/>
        </w:rPr>
        <w:instrText xml:space="preserve"> </w:instrText>
      </w:r>
      <w:r>
        <w:rPr>
          <w:rFonts w:hint="eastAsia"/>
        </w:rPr>
        <w:fldChar w:fldCharType="separate"/>
      </w:r>
      <w:r>
        <w:t>111</w:t>
      </w:r>
      <w:r>
        <w:rPr>
          <w:rFonts w:hint="eastAsia"/>
        </w:rPr>
        <w:fldChar w:fldCharType="end"/>
      </w:r>
      <w:r>
        <w:rPr>
          <w:rFonts w:hint="eastAsia"/>
        </w:rPr>
        <w:fldChar w:fldCharType="end"/>
      </w:r>
    </w:p>
    <w:p w14:paraId="1EE0D9E9">
      <w:pPr>
        <w:tabs>
          <w:tab w:val="left" w:pos="142"/>
        </w:tabs>
        <w:spacing w:line="240" w:lineRule="exact"/>
        <w:rPr>
          <w:rFonts w:hint="eastAsia" w:ascii="宋体" w:hAnsi="宋体" w:cs="宋体"/>
          <w:sz w:val="24"/>
        </w:rPr>
        <w:sectPr>
          <w:footerReference r:id="rId6" w:type="default"/>
          <w:type w:val="continuous"/>
          <w:pgSz w:w="11906" w:h="16838"/>
          <w:pgMar w:top="1440" w:right="1080" w:bottom="1440" w:left="1080" w:header="851" w:footer="992" w:gutter="0"/>
          <w:pgBorders>
            <w:top w:val="none" w:sz="0" w:space="0"/>
            <w:left w:val="none" w:sz="0" w:space="0"/>
            <w:bottom w:val="none" w:sz="0" w:space="0"/>
            <w:right w:val="none" w:sz="0" w:space="0"/>
          </w:pgBorders>
          <w:pgNumType w:start="1"/>
          <w:cols w:space="720" w:num="1"/>
          <w:docGrid w:type="linesAndChars" w:linePitch="380" w:charSpace="0"/>
        </w:sectPr>
      </w:pPr>
      <w:r>
        <w:rPr>
          <w:rFonts w:ascii="宋体" w:hAnsi="宋体"/>
          <w:bCs/>
        </w:rPr>
        <w:fldChar w:fldCharType="end"/>
      </w:r>
    </w:p>
    <w:p w14:paraId="33148E52">
      <w:pPr>
        <w:widowControl/>
        <w:spacing w:after="0" w:line="240" w:lineRule="auto"/>
        <w:jc w:val="left"/>
        <w:rPr>
          <w:rFonts w:hint="eastAsia" w:ascii="宋体" w:hAnsi="宋体" w:cs="宋体"/>
          <w:b/>
          <w:kern w:val="0"/>
          <w:sz w:val="28"/>
          <w:szCs w:val="28"/>
        </w:rPr>
      </w:pPr>
      <w:bookmarkStart w:id="0" w:name="_Toc447265500"/>
      <w:bookmarkStart w:id="1" w:name="_Toc447265214"/>
      <w:bookmarkStart w:id="2" w:name="_Toc447188665"/>
      <w:r>
        <w:rPr>
          <w:rFonts w:ascii="宋体" w:hAnsi="宋体" w:cs="宋体"/>
          <w:b/>
          <w:bCs/>
          <w:kern w:val="0"/>
          <w:sz w:val="28"/>
          <w:szCs w:val="28"/>
        </w:rPr>
        <w:br w:type="page"/>
      </w:r>
    </w:p>
    <w:p w14:paraId="36A4AEFD">
      <w:pPr>
        <w:pStyle w:val="80"/>
        <w:spacing w:before="240" w:after="120"/>
        <w:rPr>
          <w:rFonts w:hint="eastAsia" w:ascii="宋体" w:hAnsi="宋体" w:eastAsia="宋体" w:cs="宋体"/>
          <w:b/>
          <w:bCs w:val="0"/>
          <w:kern w:val="0"/>
          <w:sz w:val="28"/>
          <w:szCs w:val="28"/>
        </w:rPr>
      </w:pPr>
      <w:bookmarkStart w:id="3" w:name="_Toc214432830"/>
      <w:r>
        <w:rPr>
          <w:rFonts w:hint="eastAsia" w:ascii="宋体" w:hAnsi="宋体" w:eastAsia="宋体" w:cs="宋体"/>
          <w:b/>
          <w:bCs w:val="0"/>
          <w:kern w:val="0"/>
          <w:sz w:val="28"/>
          <w:szCs w:val="28"/>
        </w:rPr>
        <w:t>第一章</w:t>
      </w:r>
      <w:r>
        <w:rPr>
          <w:rFonts w:ascii="宋体" w:hAnsi="宋体" w:eastAsia="宋体" w:cs="宋体"/>
          <w:b/>
          <w:bCs w:val="0"/>
          <w:kern w:val="0"/>
          <w:sz w:val="28"/>
          <w:szCs w:val="28"/>
        </w:rPr>
        <w:t xml:space="preserve"> </w:t>
      </w:r>
      <w:r>
        <w:rPr>
          <w:rFonts w:hint="eastAsia" w:ascii="宋体" w:hAnsi="宋体" w:eastAsia="宋体" w:cs="宋体"/>
          <w:b/>
          <w:bCs w:val="0"/>
          <w:kern w:val="0"/>
          <w:sz w:val="28"/>
          <w:szCs w:val="28"/>
        </w:rPr>
        <w:t>招标公告</w:t>
      </w:r>
      <w:bookmarkEnd w:id="3"/>
    </w:p>
    <w:p w14:paraId="66D9F986">
      <w:pPr>
        <w:adjustRightInd w:val="0"/>
        <w:snapToGrid w:val="0"/>
        <w:spacing w:after="0" w:line="360" w:lineRule="auto"/>
        <w:ind w:firstLine="420" w:firstLineChars="200"/>
        <w:contextualSpacing/>
        <w:rPr>
          <w:rFonts w:hint="eastAsia" w:ascii="宋体" w:hAnsi="宋体"/>
          <w:szCs w:val="21"/>
        </w:rPr>
      </w:pPr>
      <w:r>
        <w:rPr>
          <w:rFonts w:hint="eastAsia" w:ascii="宋体" w:hAnsi="宋体"/>
          <w:szCs w:val="21"/>
        </w:rPr>
        <w:t>本项目为</w:t>
      </w:r>
      <w:r>
        <w:rPr>
          <w:rFonts w:hint="eastAsia" w:ascii="宋体" w:hAnsi="宋体"/>
          <w:b/>
          <w:bCs/>
          <w:szCs w:val="21"/>
        </w:rPr>
        <w:t>惠州交投能源投资有限公司节能技改项目货物采购（第一批）</w:t>
      </w:r>
      <w:r>
        <w:rPr>
          <w:rFonts w:hint="eastAsia" w:ascii="宋体" w:hAnsi="宋体"/>
          <w:b/>
          <w:bCs/>
          <w:szCs w:val="21"/>
          <w:lang w:eastAsia="zh-CN"/>
        </w:rPr>
        <w:t>，</w:t>
      </w:r>
      <w:r>
        <w:rPr>
          <w:rFonts w:hint="eastAsia" w:ascii="宋体" w:hAnsi="宋体"/>
          <w:szCs w:val="21"/>
        </w:rPr>
        <w:t>招标人为</w:t>
      </w:r>
      <w:r>
        <w:rPr>
          <w:rFonts w:hint="eastAsia" w:ascii="宋体" w:hAnsi="宋体"/>
          <w:szCs w:val="21"/>
          <w:u w:val="single"/>
        </w:rPr>
        <w:t>惠州交投能源投资有限公司</w:t>
      </w:r>
      <w:r>
        <w:rPr>
          <w:rFonts w:hint="eastAsia" w:ascii="宋体" w:hAnsi="宋体"/>
          <w:szCs w:val="21"/>
        </w:rPr>
        <w:t>，招标代理机构为</w:t>
      </w:r>
      <w:r>
        <w:rPr>
          <w:rFonts w:hint="eastAsia" w:ascii="宋体" w:hAnsi="宋体"/>
          <w:szCs w:val="21"/>
          <w:u w:val="single"/>
        </w:rPr>
        <w:t>公诚管理咨询有限公司</w:t>
      </w:r>
      <w:r>
        <w:rPr>
          <w:rFonts w:hint="eastAsia" w:ascii="宋体" w:hAnsi="宋体"/>
          <w:szCs w:val="21"/>
        </w:rPr>
        <w:t>。项目资金由招标人自筹，资金已落实。项目已具备采购条件，现进行公开招标，欢迎潜在投标人（以下简称投标人）前来投标。</w:t>
      </w:r>
    </w:p>
    <w:p w14:paraId="53466CCF">
      <w:pPr>
        <w:adjustRightInd w:val="0"/>
        <w:snapToGrid w:val="0"/>
        <w:spacing w:after="0" w:line="360" w:lineRule="auto"/>
        <w:ind w:firstLine="422" w:firstLineChars="200"/>
        <w:rPr>
          <w:rFonts w:hint="eastAsia" w:ascii="宋体" w:hAnsi="宋体"/>
          <w:b/>
          <w:szCs w:val="21"/>
        </w:rPr>
      </w:pPr>
      <w:r>
        <w:rPr>
          <w:rFonts w:hint="eastAsia" w:ascii="宋体" w:hAnsi="宋体"/>
          <w:b/>
          <w:szCs w:val="21"/>
        </w:rPr>
        <w:t>1.项目概况与采购内容</w:t>
      </w:r>
    </w:p>
    <w:p w14:paraId="4FC926F4">
      <w:pPr>
        <w:pStyle w:val="81"/>
        <w:adjustRightInd w:val="0"/>
        <w:snapToGrid w:val="0"/>
        <w:spacing w:after="0" w:line="360" w:lineRule="auto"/>
        <w:ind w:firstLine="428"/>
        <w:rPr>
          <w:rFonts w:hint="eastAsia" w:ascii="宋体" w:hAnsi="宋体"/>
          <w:spacing w:val="2"/>
          <w:szCs w:val="21"/>
        </w:rPr>
      </w:pPr>
      <w:bookmarkStart w:id="4" w:name="_Hlk156978812"/>
      <w:r>
        <w:rPr>
          <w:rFonts w:hint="eastAsia" w:ascii="宋体" w:hAnsi="宋体"/>
          <w:spacing w:val="2"/>
          <w:szCs w:val="21"/>
        </w:rPr>
        <w:t>1.1采购范围</w:t>
      </w:r>
    </w:p>
    <w:p w14:paraId="72E82BBD">
      <w:pPr>
        <w:pStyle w:val="81"/>
        <w:adjustRightInd w:val="0"/>
        <w:snapToGrid w:val="0"/>
        <w:spacing w:after="0" w:line="360" w:lineRule="auto"/>
        <w:ind w:firstLine="428"/>
        <w:rPr>
          <w:rFonts w:hint="eastAsia" w:ascii="宋体" w:hAnsi="宋体"/>
          <w:spacing w:val="2"/>
          <w:szCs w:val="21"/>
        </w:rPr>
      </w:pPr>
      <w:r>
        <w:rPr>
          <w:rFonts w:ascii="宋体" w:hAnsi="宋体"/>
          <w:spacing w:val="2"/>
          <w:szCs w:val="21"/>
        </w:rPr>
        <w:t>1.</w:t>
      </w:r>
      <w:r>
        <w:rPr>
          <w:rFonts w:hint="eastAsia" w:ascii="宋体" w:hAnsi="宋体"/>
          <w:spacing w:val="2"/>
          <w:szCs w:val="21"/>
        </w:rPr>
        <w:t>1</w:t>
      </w:r>
      <w:r>
        <w:rPr>
          <w:rFonts w:ascii="宋体" w:hAnsi="宋体"/>
          <w:spacing w:val="2"/>
          <w:szCs w:val="21"/>
        </w:rPr>
        <w:t>.1</w:t>
      </w:r>
      <w:r>
        <w:rPr>
          <w:rFonts w:hint="eastAsia" w:ascii="宋体" w:hAnsi="宋体"/>
          <w:spacing w:val="2"/>
          <w:szCs w:val="21"/>
        </w:rPr>
        <w:t>采购内容：</w:t>
      </w:r>
    </w:p>
    <w:p w14:paraId="205F571E">
      <w:pPr>
        <w:pStyle w:val="81"/>
        <w:adjustRightInd w:val="0"/>
        <w:snapToGrid w:val="0"/>
        <w:spacing w:after="0" w:line="360" w:lineRule="auto"/>
        <w:ind w:firstLine="428"/>
        <w:rPr>
          <w:rFonts w:hint="eastAsia" w:ascii="宋体" w:hAnsi="宋体"/>
          <w:szCs w:val="21"/>
        </w:rPr>
      </w:pPr>
      <w:r>
        <w:rPr>
          <w:rFonts w:hint="eastAsia" w:ascii="宋体" w:hAnsi="宋体"/>
          <w:spacing w:val="2"/>
          <w:szCs w:val="21"/>
        </w:rPr>
        <w:t>惠州交投能源投资有限公司计划采购一批货物进行节能技改。</w:t>
      </w:r>
      <w:r>
        <w:rPr>
          <w:rFonts w:hint="eastAsia" w:ascii="宋体" w:hAnsi="宋体"/>
          <w:szCs w:val="21"/>
        </w:rPr>
        <w:t>本项目设备包含安装、调试，直至验收通过。</w:t>
      </w:r>
    </w:p>
    <w:p w14:paraId="4FE2EE57">
      <w:pPr>
        <w:pStyle w:val="81"/>
        <w:adjustRightInd w:val="0"/>
        <w:snapToGrid w:val="0"/>
        <w:spacing w:after="0" w:line="360" w:lineRule="auto"/>
        <w:ind w:firstLine="428"/>
        <w:rPr>
          <w:rFonts w:hint="eastAsia" w:ascii="宋体" w:hAnsi="宋体"/>
          <w:spacing w:val="2"/>
          <w:szCs w:val="21"/>
        </w:rPr>
      </w:pPr>
      <w:r>
        <w:rPr>
          <w:rFonts w:hint="eastAsia" w:ascii="宋体" w:hAnsi="宋体"/>
          <w:szCs w:val="21"/>
        </w:rPr>
        <w:t>其他内容详见附件</w:t>
      </w:r>
      <w:r>
        <w:rPr>
          <w:rFonts w:hint="eastAsia" w:ascii="宋体" w:hAnsi="宋体"/>
          <w:szCs w:val="21"/>
          <w:lang w:eastAsia="zh-CN"/>
        </w:rPr>
        <w:t>：</w:t>
      </w:r>
      <w:r>
        <w:rPr>
          <w:rFonts w:hint="eastAsia" w:ascii="宋体" w:hAnsi="宋体"/>
          <w:szCs w:val="21"/>
        </w:rPr>
        <w:t>分项报价表</w:t>
      </w:r>
      <w:r>
        <w:rPr>
          <w:rFonts w:hint="eastAsia" w:ascii="宋体" w:hAnsi="宋体"/>
          <w:spacing w:val="2"/>
          <w:szCs w:val="21"/>
        </w:rPr>
        <w:t>。</w:t>
      </w:r>
    </w:p>
    <w:p w14:paraId="4FDE6309">
      <w:pPr>
        <w:adjustRightInd w:val="0"/>
        <w:snapToGrid w:val="0"/>
        <w:spacing w:after="0" w:line="360" w:lineRule="auto"/>
        <w:ind w:firstLine="422" w:firstLineChars="200"/>
        <w:rPr>
          <w:rFonts w:hint="eastAsia" w:ascii="宋体" w:hAnsi="宋体"/>
          <w:spacing w:val="2"/>
          <w:szCs w:val="21"/>
        </w:rPr>
      </w:pPr>
      <w:r>
        <w:rPr>
          <w:rFonts w:hint="eastAsia" w:ascii="宋体" w:hAnsi="宋体" w:cstheme="minorEastAsia"/>
          <w:b/>
          <w:szCs w:val="21"/>
        </w:rPr>
        <w:t>如招标人采购附件</w:t>
      </w:r>
      <w:r>
        <w:rPr>
          <w:rFonts w:hint="eastAsia" w:ascii="宋体" w:hAnsi="宋体" w:cstheme="minorEastAsia"/>
          <w:b/>
          <w:szCs w:val="21"/>
          <w:lang w:eastAsia="zh-CN"/>
        </w:rPr>
        <w:t>：</w:t>
      </w:r>
      <w:r>
        <w:rPr>
          <w:rFonts w:hint="eastAsia" w:ascii="宋体" w:hAnsi="宋体" w:cstheme="minorEastAsia"/>
          <w:b/>
          <w:szCs w:val="21"/>
          <w:lang w:val="en-US" w:eastAsia="zh-CN"/>
        </w:rPr>
        <w:t>分项报价表</w:t>
      </w:r>
      <w:r>
        <w:rPr>
          <w:rFonts w:hint="eastAsia" w:ascii="宋体" w:hAnsi="宋体" w:cstheme="minorEastAsia"/>
          <w:b/>
          <w:szCs w:val="21"/>
        </w:rPr>
        <w:t>外的配件，招标人可向中标单位进行询价，结算价格以实际询价为准。</w:t>
      </w:r>
    </w:p>
    <w:p w14:paraId="218A2B89">
      <w:pPr>
        <w:pStyle w:val="81"/>
        <w:adjustRightInd w:val="0"/>
        <w:snapToGrid w:val="0"/>
        <w:spacing w:after="0" w:line="360" w:lineRule="auto"/>
        <w:ind w:firstLine="428"/>
        <w:rPr>
          <w:rFonts w:hint="eastAsia" w:ascii="宋体" w:hAnsi="宋体"/>
          <w:spacing w:val="2"/>
          <w:szCs w:val="21"/>
        </w:rPr>
      </w:pPr>
      <w:r>
        <w:rPr>
          <w:rFonts w:ascii="宋体" w:hAnsi="宋体"/>
          <w:spacing w:val="2"/>
          <w:szCs w:val="21"/>
        </w:rPr>
        <w:t>1.</w:t>
      </w:r>
      <w:r>
        <w:rPr>
          <w:rFonts w:hint="eastAsia" w:ascii="宋体" w:hAnsi="宋体"/>
          <w:spacing w:val="2"/>
          <w:szCs w:val="21"/>
        </w:rPr>
        <w:t>1</w:t>
      </w:r>
      <w:r>
        <w:rPr>
          <w:rFonts w:ascii="宋体" w:hAnsi="宋体"/>
          <w:spacing w:val="2"/>
          <w:szCs w:val="21"/>
        </w:rPr>
        <w:t>.2</w:t>
      </w:r>
      <w:r>
        <w:rPr>
          <w:rFonts w:hint="eastAsia" w:ascii="宋体" w:hAnsi="宋体"/>
          <w:spacing w:val="2"/>
          <w:szCs w:val="21"/>
        </w:rPr>
        <w:t>项目预算金额：</w:t>
      </w:r>
      <w:r>
        <w:rPr>
          <w:rFonts w:hint="eastAsia" w:ascii="宋体" w:hAnsi="宋体"/>
          <w:spacing w:val="2"/>
          <w:szCs w:val="21"/>
          <w:u w:val="single"/>
        </w:rPr>
        <w:t>5246390.29</w:t>
      </w:r>
      <w:r>
        <w:rPr>
          <w:rFonts w:hint="eastAsia" w:ascii="宋体" w:hAnsi="宋体"/>
          <w:spacing w:val="2"/>
          <w:szCs w:val="21"/>
        </w:rPr>
        <w:t>元（含税），具体按实际的供货量进行结算。</w:t>
      </w:r>
    </w:p>
    <w:p w14:paraId="4CB4E363">
      <w:pPr>
        <w:pStyle w:val="81"/>
        <w:adjustRightInd w:val="0"/>
        <w:snapToGrid w:val="0"/>
        <w:spacing w:after="0" w:line="360" w:lineRule="auto"/>
        <w:ind w:firstLine="428"/>
        <w:rPr>
          <w:rFonts w:hint="eastAsia" w:ascii="宋体" w:hAnsi="宋体"/>
          <w:spacing w:val="2"/>
          <w:szCs w:val="21"/>
        </w:rPr>
      </w:pPr>
      <w:r>
        <w:rPr>
          <w:rFonts w:ascii="宋体" w:hAnsi="宋体"/>
          <w:spacing w:val="2"/>
          <w:szCs w:val="21"/>
        </w:rPr>
        <w:t>1.</w:t>
      </w:r>
      <w:r>
        <w:rPr>
          <w:rFonts w:hint="eastAsia" w:ascii="宋体" w:hAnsi="宋体"/>
          <w:spacing w:val="2"/>
          <w:szCs w:val="21"/>
        </w:rPr>
        <w:t>1</w:t>
      </w:r>
      <w:r>
        <w:rPr>
          <w:rFonts w:ascii="宋体" w:hAnsi="宋体"/>
          <w:spacing w:val="2"/>
          <w:szCs w:val="21"/>
        </w:rPr>
        <w:t>.3</w:t>
      </w:r>
      <w:r>
        <w:rPr>
          <w:rFonts w:hint="eastAsia" w:ascii="宋体" w:hAnsi="宋体"/>
          <w:spacing w:val="2"/>
          <w:szCs w:val="21"/>
        </w:rPr>
        <w:t>项目性质：货物。</w:t>
      </w:r>
    </w:p>
    <w:p w14:paraId="528424C8">
      <w:pPr>
        <w:pStyle w:val="81"/>
        <w:adjustRightInd w:val="0"/>
        <w:snapToGrid w:val="0"/>
        <w:spacing w:after="0" w:line="360" w:lineRule="auto"/>
        <w:ind w:firstLine="428"/>
        <w:rPr>
          <w:rFonts w:hint="eastAsia" w:ascii="宋体" w:hAnsi="宋体"/>
          <w:spacing w:val="2"/>
          <w:szCs w:val="21"/>
        </w:rPr>
      </w:pPr>
      <w:r>
        <w:rPr>
          <w:rFonts w:hint="eastAsia" w:ascii="宋体" w:hAnsi="宋体"/>
          <w:spacing w:val="2"/>
          <w:szCs w:val="21"/>
        </w:rPr>
        <w:t>1.1.</w:t>
      </w:r>
      <w:r>
        <w:rPr>
          <w:rFonts w:ascii="宋体" w:hAnsi="宋体"/>
          <w:spacing w:val="2"/>
          <w:szCs w:val="21"/>
        </w:rPr>
        <w:t>4</w:t>
      </w:r>
      <w:r>
        <w:rPr>
          <w:rFonts w:hint="eastAsia" w:ascii="宋体" w:hAnsi="宋体"/>
          <w:spacing w:val="2"/>
          <w:szCs w:val="21"/>
        </w:rPr>
        <w:t>交货期：投标人须在接到招标人的送货通知后按订单规定配送时间要求，将货物送达到招标人指定收货地点。到货具体时间及数量以招标人的通知为准。</w:t>
      </w:r>
    </w:p>
    <w:p w14:paraId="3283E200">
      <w:pPr>
        <w:pStyle w:val="81"/>
        <w:adjustRightInd w:val="0"/>
        <w:snapToGrid w:val="0"/>
        <w:spacing w:after="0" w:line="360" w:lineRule="auto"/>
        <w:ind w:firstLine="428"/>
        <w:rPr>
          <w:rFonts w:hint="eastAsia" w:ascii="宋体" w:hAnsi="宋体"/>
          <w:spacing w:val="2"/>
          <w:szCs w:val="21"/>
        </w:rPr>
      </w:pPr>
      <w:r>
        <w:rPr>
          <w:rFonts w:hint="eastAsia" w:ascii="宋体" w:hAnsi="宋体"/>
          <w:spacing w:val="2"/>
          <w:szCs w:val="21"/>
        </w:rPr>
        <w:t>1.1.</w:t>
      </w:r>
      <w:r>
        <w:rPr>
          <w:rFonts w:ascii="宋体" w:hAnsi="宋体"/>
          <w:spacing w:val="2"/>
          <w:szCs w:val="21"/>
        </w:rPr>
        <w:t>5</w:t>
      </w:r>
      <w:r>
        <w:rPr>
          <w:rFonts w:hint="eastAsia" w:ascii="宋体" w:hAnsi="宋体"/>
          <w:spacing w:val="2"/>
          <w:szCs w:val="21"/>
        </w:rPr>
        <w:t>供货地点：招标人指定地点。</w:t>
      </w:r>
    </w:p>
    <w:p w14:paraId="0881EF92">
      <w:pPr>
        <w:pStyle w:val="81"/>
        <w:adjustRightInd w:val="0"/>
        <w:snapToGrid w:val="0"/>
        <w:spacing w:after="0" w:line="360" w:lineRule="auto"/>
        <w:ind w:firstLine="428"/>
        <w:rPr>
          <w:rFonts w:hint="eastAsia" w:ascii="宋体" w:hAnsi="宋体"/>
          <w:i/>
          <w:szCs w:val="21"/>
        </w:rPr>
      </w:pPr>
      <w:r>
        <w:rPr>
          <w:rFonts w:hint="eastAsia" w:ascii="宋体" w:hAnsi="宋体"/>
          <w:spacing w:val="2"/>
          <w:szCs w:val="21"/>
        </w:rPr>
        <w:t>1.1.</w:t>
      </w:r>
      <w:r>
        <w:rPr>
          <w:rFonts w:ascii="宋体" w:hAnsi="宋体"/>
          <w:spacing w:val="2"/>
          <w:szCs w:val="21"/>
        </w:rPr>
        <w:t>6</w:t>
      </w:r>
      <w:bookmarkStart w:id="5" w:name="_Hlk156759108"/>
      <w:r>
        <w:rPr>
          <w:rFonts w:hint="eastAsia" w:ascii="宋体" w:hAnsi="宋体"/>
          <w:spacing w:val="2"/>
          <w:szCs w:val="21"/>
        </w:rPr>
        <w:t>质保期：</w:t>
      </w:r>
      <w:bookmarkEnd w:id="5"/>
      <w:r>
        <w:rPr>
          <w:rFonts w:hint="eastAsia" w:ascii="宋体" w:hAnsi="宋体"/>
          <w:spacing w:val="2"/>
          <w:szCs w:val="21"/>
        </w:rPr>
        <w:t>自设备验收通过之日起，最低质保期限以</w:t>
      </w:r>
      <w:r>
        <w:rPr>
          <w:rFonts w:hint="eastAsia" w:ascii="宋体" w:hAnsi="宋体"/>
          <w:b/>
          <w:bCs/>
          <w:spacing w:val="2"/>
          <w:szCs w:val="21"/>
        </w:rPr>
        <w:t>附件：分项报价表</w:t>
      </w:r>
      <w:r>
        <w:rPr>
          <w:rFonts w:hint="eastAsia" w:ascii="宋体" w:hAnsi="宋体"/>
          <w:spacing w:val="2"/>
          <w:szCs w:val="21"/>
        </w:rPr>
        <w:t>所注为准。若生产厂家所规定的质保期限超出此期限，则以生产厂家的规定为准。易损件的质保期限与整个项目的质保期限保持一致。</w:t>
      </w:r>
    </w:p>
    <w:p w14:paraId="7BD07825">
      <w:pPr>
        <w:adjustRightInd w:val="0"/>
        <w:snapToGrid w:val="0"/>
        <w:spacing w:after="0" w:line="360" w:lineRule="auto"/>
        <w:ind w:firstLine="428" w:firstLineChars="200"/>
        <w:rPr>
          <w:rFonts w:hint="eastAsia" w:ascii="宋体" w:hAnsi="宋体"/>
          <w:spacing w:val="2"/>
          <w:szCs w:val="21"/>
        </w:rPr>
      </w:pPr>
      <w:r>
        <w:rPr>
          <w:rFonts w:hint="eastAsia" w:ascii="宋体" w:hAnsi="宋体"/>
          <w:spacing w:val="2"/>
          <w:szCs w:val="21"/>
        </w:rPr>
        <w:t>1</w:t>
      </w:r>
      <w:r>
        <w:rPr>
          <w:rFonts w:ascii="宋体" w:hAnsi="宋体"/>
          <w:spacing w:val="2"/>
          <w:szCs w:val="21"/>
        </w:rPr>
        <w:t xml:space="preserve">.2 </w:t>
      </w:r>
      <w:r>
        <w:rPr>
          <w:rFonts w:hint="eastAsia" w:ascii="宋体" w:hAnsi="宋体"/>
          <w:spacing w:val="2"/>
          <w:szCs w:val="21"/>
        </w:rPr>
        <w:t>中标人数量：本项目不划分标包，中标人数量为</w:t>
      </w:r>
      <w:r>
        <w:rPr>
          <w:rFonts w:ascii="宋体" w:hAnsi="宋体"/>
          <w:spacing w:val="2"/>
          <w:szCs w:val="21"/>
        </w:rPr>
        <w:t>1</w:t>
      </w:r>
      <w:r>
        <w:rPr>
          <w:rFonts w:hint="eastAsia" w:ascii="宋体" w:hAnsi="宋体"/>
          <w:spacing w:val="2"/>
          <w:szCs w:val="21"/>
        </w:rPr>
        <w:t>名。</w:t>
      </w:r>
    </w:p>
    <w:p w14:paraId="079E27EB">
      <w:pPr>
        <w:adjustRightInd w:val="0"/>
        <w:snapToGrid w:val="0"/>
        <w:spacing w:after="0" w:line="360" w:lineRule="auto"/>
        <w:ind w:firstLine="428" w:firstLineChars="200"/>
        <w:rPr>
          <w:rFonts w:hint="eastAsia" w:ascii="宋体" w:hAnsi="宋体"/>
          <w:spacing w:val="2"/>
          <w:szCs w:val="21"/>
        </w:rPr>
      </w:pPr>
      <w:r>
        <w:rPr>
          <w:rFonts w:hint="eastAsia" w:ascii="宋体" w:hAnsi="宋体"/>
          <w:spacing w:val="2"/>
          <w:szCs w:val="21"/>
        </w:rPr>
        <w:t>1.3合同有效期：合同签订之日起至本项目质保期结束止。</w:t>
      </w:r>
    </w:p>
    <w:p w14:paraId="596E1B3E">
      <w:pPr>
        <w:adjustRightInd w:val="0"/>
        <w:snapToGrid w:val="0"/>
        <w:spacing w:after="0" w:line="360" w:lineRule="auto"/>
        <w:ind w:firstLine="428" w:firstLineChars="200"/>
        <w:rPr>
          <w:rFonts w:hint="eastAsia" w:ascii="宋体" w:hAnsi="宋体"/>
          <w:spacing w:val="2"/>
          <w:szCs w:val="21"/>
        </w:rPr>
      </w:pPr>
      <w:r>
        <w:rPr>
          <w:rFonts w:ascii="宋体" w:hAnsi="宋体"/>
          <w:spacing w:val="2"/>
          <w:szCs w:val="21"/>
        </w:rPr>
        <w:t>1.4</w:t>
      </w:r>
      <w:r>
        <w:rPr>
          <w:rFonts w:hint="eastAsia" w:ascii="宋体" w:hAnsi="宋体"/>
          <w:spacing w:val="2"/>
          <w:szCs w:val="21"/>
        </w:rPr>
        <w:t>分包情况：本项目不允许转包分包，否则招标人有权终止合同并由中标单位承担违约责任。</w:t>
      </w:r>
    </w:p>
    <w:bookmarkEnd w:id="4"/>
    <w:p w14:paraId="7017EE31">
      <w:pPr>
        <w:adjustRightInd w:val="0"/>
        <w:snapToGrid w:val="0"/>
        <w:spacing w:after="0" w:line="360" w:lineRule="auto"/>
        <w:ind w:firstLine="422" w:firstLineChars="200"/>
        <w:rPr>
          <w:rFonts w:hint="eastAsia" w:ascii="宋体" w:hAnsi="宋体"/>
          <w:b/>
          <w:szCs w:val="21"/>
        </w:rPr>
      </w:pPr>
      <w:r>
        <w:rPr>
          <w:rFonts w:hint="eastAsia" w:ascii="宋体" w:hAnsi="宋体"/>
          <w:b/>
          <w:szCs w:val="21"/>
        </w:rPr>
        <w:t>2.投标人资格要求</w:t>
      </w:r>
    </w:p>
    <w:p w14:paraId="6119B161">
      <w:pPr>
        <w:adjustRightInd w:val="0"/>
        <w:snapToGrid w:val="0"/>
        <w:spacing w:after="0" w:line="360" w:lineRule="auto"/>
        <w:ind w:firstLine="420" w:firstLineChars="200"/>
        <w:rPr>
          <w:rFonts w:hint="eastAsia" w:ascii="宋体" w:hAnsi="宋体" w:cs="宋体"/>
          <w:b/>
          <w:szCs w:val="21"/>
        </w:rPr>
      </w:pPr>
      <w:bookmarkStart w:id="6" w:name="_Hlk172278524"/>
      <w:bookmarkStart w:id="7" w:name="_Hlk171947537"/>
      <w:r>
        <w:rPr>
          <w:rFonts w:hint="eastAsia" w:ascii="宋体" w:hAnsi="宋体" w:cs="宋体"/>
          <w:szCs w:val="21"/>
        </w:rPr>
        <w:t>2.1投标人必须是具有独立承担民事责任能力的在中华人民共和国境内注册的法人或其他组织，提供有效的营业执照或法人登记证书复印件。</w:t>
      </w:r>
    </w:p>
    <w:p w14:paraId="31B6BF84">
      <w:pPr>
        <w:adjustRightInd w:val="0"/>
        <w:snapToGrid w:val="0"/>
        <w:spacing w:after="0" w:line="360" w:lineRule="auto"/>
        <w:ind w:firstLine="420" w:firstLineChars="200"/>
        <w:rPr>
          <w:rFonts w:hint="eastAsia" w:ascii="宋体" w:hAnsi="宋体" w:cs="宋体"/>
          <w:b/>
          <w:szCs w:val="21"/>
        </w:rPr>
      </w:pPr>
      <w:r>
        <w:rPr>
          <w:rFonts w:hint="eastAsia" w:ascii="宋体" w:hAnsi="宋体" w:cs="宋体"/>
          <w:szCs w:val="21"/>
        </w:rPr>
        <w:t>2.2投标人未被列入“信用中国”网站(www.creditchina.gov.cn)“记录失信被执行人或重大税收违法失信主体或政府采购严重违法失信行为”记录名单。（提供信息查询结果界面截图，加盖投标人公章。如相关失信记录已失效，投标人需提供相关证明资料）</w:t>
      </w:r>
    </w:p>
    <w:p w14:paraId="4ADDE64C">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2.3本项目不接受联合体投标。</w:t>
      </w:r>
    </w:p>
    <w:p w14:paraId="3DD8C60E">
      <w:pPr>
        <w:adjustRightInd w:val="0"/>
        <w:snapToGrid w:val="0"/>
        <w:spacing w:after="0" w:line="360" w:lineRule="auto"/>
        <w:ind w:firstLine="420" w:firstLineChars="200"/>
        <w:rPr>
          <w:rFonts w:hint="eastAsia" w:ascii="宋体" w:hAnsi="宋体" w:cs="宋体"/>
          <w:b/>
          <w:szCs w:val="21"/>
        </w:rPr>
      </w:pPr>
      <w:r>
        <w:rPr>
          <w:rFonts w:hint="eastAsia" w:ascii="宋体" w:hAnsi="宋体" w:cs="宋体"/>
          <w:szCs w:val="21"/>
        </w:rPr>
        <w:t>2.4单位负责人若为同一人或者存在控股、管理关系的不同投标人，不得同时参与本项目的投标。</w:t>
      </w:r>
    </w:p>
    <w:p w14:paraId="4032D5C3">
      <w:pPr>
        <w:adjustRightInd w:val="0"/>
        <w:snapToGrid w:val="0"/>
        <w:spacing w:after="0" w:line="360" w:lineRule="auto"/>
        <w:ind w:firstLine="420" w:firstLineChars="200"/>
        <w:rPr>
          <w:rFonts w:hint="eastAsia" w:ascii="宋体" w:hAnsi="宋体"/>
          <w:szCs w:val="21"/>
        </w:rPr>
      </w:pPr>
      <w:r>
        <w:rPr>
          <w:rFonts w:hint="eastAsia" w:ascii="宋体" w:hAnsi="宋体" w:cs="宋体"/>
          <w:szCs w:val="21"/>
        </w:rPr>
        <w:t>2.5法律法规规定的其他必须符合的要求。</w:t>
      </w:r>
      <w:bookmarkEnd w:id="6"/>
    </w:p>
    <w:bookmarkEnd w:id="7"/>
    <w:p w14:paraId="793F6909">
      <w:pPr>
        <w:adjustRightInd w:val="0"/>
        <w:snapToGrid w:val="0"/>
        <w:spacing w:after="0" w:line="360" w:lineRule="auto"/>
        <w:ind w:firstLine="422" w:firstLineChars="200"/>
        <w:rPr>
          <w:rFonts w:hint="eastAsia" w:ascii="宋体" w:hAnsi="宋体"/>
          <w:b/>
          <w:szCs w:val="21"/>
        </w:rPr>
      </w:pPr>
      <w:r>
        <w:rPr>
          <w:rFonts w:hint="eastAsia" w:ascii="宋体" w:hAnsi="宋体"/>
          <w:b/>
          <w:szCs w:val="21"/>
        </w:rPr>
        <w:t>3.资格审查方法</w:t>
      </w:r>
    </w:p>
    <w:p w14:paraId="10AD7E40">
      <w:pPr>
        <w:adjustRightInd w:val="0"/>
        <w:snapToGrid w:val="0"/>
        <w:spacing w:after="0" w:line="360" w:lineRule="auto"/>
        <w:ind w:firstLine="420" w:firstLineChars="200"/>
        <w:rPr>
          <w:rFonts w:hint="eastAsia" w:ascii="宋体" w:hAnsi="宋体"/>
          <w:szCs w:val="21"/>
        </w:rPr>
      </w:pPr>
      <w:r>
        <w:rPr>
          <w:rFonts w:hint="eastAsia" w:ascii="宋体" w:hAnsi="宋体"/>
          <w:szCs w:val="21"/>
        </w:rPr>
        <w:t>本项目将进行资格后审，资格审查标准和内容见招标文件第三章“评审办法”，凡未通过资格后审的投标人，其投标文件将被否决。</w:t>
      </w:r>
    </w:p>
    <w:p w14:paraId="6AD11A04">
      <w:pPr>
        <w:adjustRightInd w:val="0"/>
        <w:snapToGrid w:val="0"/>
        <w:spacing w:after="0" w:line="360" w:lineRule="auto"/>
        <w:ind w:firstLine="422" w:firstLineChars="200"/>
        <w:rPr>
          <w:rFonts w:hint="eastAsia" w:ascii="宋体" w:hAnsi="宋体"/>
          <w:b/>
          <w:szCs w:val="21"/>
        </w:rPr>
      </w:pPr>
      <w:r>
        <w:rPr>
          <w:rFonts w:hint="eastAsia" w:ascii="宋体" w:hAnsi="宋体"/>
          <w:b/>
          <w:szCs w:val="21"/>
        </w:rPr>
        <w:t>4.保证金</w:t>
      </w:r>
    </w:p>
    <w:p w14:paraId="72DFF134">
      <w:pPr>
        <w:adjustRightInd w:val="0"/>
        <w:snapToGrid w:val="0"/>
        <w:spacing w:after="0" w:line="360" w:lineRule="auto"/>
        <w:ind w:firstLine="420" w:firstLineChars="200"/>
        <w:rPr>
          <w:rFonts w:hint="eastAsia" w:ascii="宋体" w:hAnsi="宋体"/>
          <w:szCs w:val="21"/>
        </w:rPr>
      </w:pPr>
      <w:r>
        <w:rPr>
          <w:rFonts w:hint="eastAsia" w:ascii="宋体" w:hAnsi="宋体"/>
          <w:szCs w:val="21"/>
        </w:rPr>
        <w:t>本项目不要求递交保证金。</w:t>
      </w:r>
    </w:p>
    <w:p w14:paraId="14FBCCDE">
      <w:pPr>
        <w:adjustRightInd w:val="0"/>
        <w:snapToGrid w:val="0"/>
        <w:spacing w:after="0" w:line="360" w:lineRule="auto"/>
        <w:ind w:firstLine="422" w:firstLineChars="200"/>
        <w:rPr>
          <w:rFonts w:hint="eastAsia" w:ascii="宋体" w:hAnsi="宋体"/>
          <w:b/>
          <w:szCs w:val="21"/>
        </w:rPr>
      </w:pPr>
      <w:r>
        <w:rPr>
          <w:rFonts w:hint="eastAsia" w:ascii="宋体" w:hAnsi="宋体"/>
          <w:b/>
          <w:szCs w:val="21"/>
        </w:rPr>
        <w:t>5.招标文件的获取</w:t>
      </w:r>
    </w:p>
    <w:p w14:paraId="22AF14FC">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5</w:t>
      </w:r>
      <w:r>
        <w:rPr>
          <w:rFonts w:hint="eastAsia" w:ascii="宋体" w:hAnsi="宋体"/>
          <w:szCs w:val="21"/>
        </w:rPr>
        <w:t>.1时间：2025年1</w:t>
      </w:r>
      <w:r>
        <w:rPr>
          <w:rFonts w:hint="eastAsia" w:ascii="宋体" w:hAnsi="宋体"/>
          <w:szCs w:val="21"/>
          <w:lang w:val="en-US" w:eastAsia="zh-CN"/>
        </w:rPr>
        <w:t>1</w:t>
      </w:r>
      <w:r>
        <w:rPr>
          <w:rFonts w:hint="eastAsia" w:ascii="宋体" w:hAnsi="宋体"/>
          <w:szCs w:val="21"/>
        </w:rPr>
        <w:t>月</w:t>
      </w:r>
      <w:r>
        <w:rPr>
          <w:rFonts w:hint="eastAsia" w:ascii="宋体" w:hAnsi="宋体"/>
          <w:szCs w:val="21"/>
          <w:lang w:val="en-US" w:eastAsia="zh-CN"/>
        </w:rPr>
        <w:t>22</w:t>
      </w:r>
      <w:r>
        <w:rPr>
          <w:rFonts w:hint="eastAsia" w:ascii="宋体" w:hAnsi="宋体"/>
          <w:szCs w:val="21"/>
        </w:rPr>
        <w:t>日至2025年11月</w:t>
      </w:r>
      <w:r>
        <w:rPr>
          <w:rFonts w:hint="eastAsia" w:ascii="宋体" w:hAnsi="宋体"/>
          <w:szCs w:val="21"/>
          <w:lang w:val="en-US" w:eastAsia="zh-CN"/>
        </w:rPr>
        <w:t>28</w:t>
      </w:r>
      <w:r>
        <w:rPr>
          <w:rFonts w:hint="eastAsia" w:ascii="宋体" w:hAnsi="宋体"/>
          <w:szCs w:val="21"/>
        </w:rPr>
        <w:t>日，每天上午8：30至12:00，下午12:00至17：30。（北京时间，法定节假日除外）</w:t>
      </w:r>
    </w:p>
    <w:p w14:paraId="1CF25EB4">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5</w:t>
      </w:r>
      <w:r>
        <w:rPr>
          <w:rFonts w:hint="eastAsia" w:ascii="宋体" w:hAnsi="宋体"/>
          <w:szCs w:val="21"/>
        </w:rPr>
        <w:t>.2地点：中易电子交易平台（http://www.cotenders.cn）</w:t>
      </w:r>
    </w:p>
    <w:p w14:paraId="06A28E3B">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5</w:t>
      </w:r>
      <w:r>
        <w:rPr>
          <w:rFonts w:hint="eastAsia" w:ascii="宋体" w:hAnsi="宋体"/>
          <w:szCs w:val="21"/>
        </w:rPr>
        <w:t>.3方式：在线获取。注册并登录中易电子交易平台（http://www.cotenders.cn）进行项目报名、获取招标文件。</w:t>
      </w:r>
    </w:p>
    <w:p w14:paraId="3FAA9159">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5</w:t>
      </w:r>
      <w:r>
        <w:rPr>
          <w:rFonts w:hint="eastAsia" w:ascii="宋体" w:hAnsi="宋体"/>
          <w:szCs w:val="21"/>
        </w:rPr>
        <w:t>.4获取方式：在线获取。</w:t>
      </w:r>
    </w:p>
    <w:p w14:paraId="2209CC97">
      <w:pPr>
        <w:adjustRightInd w:val="0"/>
        <w:snapToGrid w:val="0"/>
        <w:spacing w:after="0" w:line="360" w:lineRule="auto"/>
        <w:ind w:firstLine="420" w:firstLineChars="200"/>
        <w:rPr>
          <w:rFonts w:hint="eastAsia" w:ascii="宋体" w:hAnsi="宋体"/>
          <w:szCs w:val="21"/>
        </w:rPr>
      </w:pPr>
      <w:r>
        <w:rPr>
          <w:rFonts w:hint="eastAsia" w:ascii="宋体" w:hAnsi="宋体"/>
          <w:szCs w:val="21"/>
        </w:rPr>
        <w:t>(1)注册：点击网站右上方“注册”进入系统注册，注册通过后（已注册的无需重复注册）选择本项目的公告获取招标文件。（平台操作如有疑问可联系客服400-860-0752）。</w:t>
      </w:r>
    </w:p>
    <w:p w14:paraId="27BDFF10">
      <w:pPr>
        <w:adjustRightInd w:val="0"/>
        <w:snapToGrid w:val="0"/>
        <w:spacing w:after="0" w:line="360" w:lineRule="auto"/>
        <w:ind w:firstLine="420" w:firstLineChars="200"/>
        <w:rPr>
          <w:rFonts w:hint="eastAsia" w:ascii="宋体" w:hAnsi="宋体"/>
          <w:szCs w:val="21"/>
        </w:rPr>
      </w:pPr>
      <w:r>
        <w:rPr>
          <w:rFonts w:hint="eastAsia" w:ascii="宋体" w:hAnsi="宋体"/>
          <w:szCs w:val="21"/>
        </w:rPr>
        <w:t>(2)在中易电子交易平台完成报名、可下载招标文件即报名成功。</w:t>
      </w:r>
    </w:p>
    <w:p w14:paraId="2AE8DAC8">
      <w:pPr>
        <w:adjustRightInd w:val="0"/>
        <w:snapToGrid w:val="0"/>
        <w:spacing w:after="0" w:line="360" w:lineRule="auto"/>
        <w:ind w:firstLine="420" w:firstLineChars="200"/>
        <w:rPr>
          <w:rFonts w:hint="eastAsia" w:ascii="宋体" w:hAnsi="宋体"/>
          <w:szCs w:val="21"/>
        </w:rPr>
      </w:pPr>
      <w:r>
        <w:rPr>
          <w:rFonts w:hint="eastAsia" w:ascii="宋体" w:hAnsi="宋体"/>
          <w:szCs w:val="21"/>
        </w:rPr>
        <w:t>(3)如未按上述要求获取招标文件，采购人/招标代理机构将不接收该供应商所递交的投标文件。</w:t>
      </w:r>
    </w:p>
    <w:p w14:paraId="14354B82">
      <w:pPr>
        <w:adjustRightInd w:val="0"/>
        <w:snapToGrid w:val="0"/>
        <w:spacing w:after="0" w:line="360" w:lineRule="auto"/>
        <w:ind w:firstLine="420" w:firstLineChars="200"/>
        <w:rPr>
          <w:rFonts w:hint="eastAsia" w:ascii="宋体" w:hAnsi="宋体"/>
          <w:szCs w:val="21"/>
        </w:rPr>
      </w:pPr>
      <w:r>
        <w:rPr>
          <w:rFonts w:hint="eastAsia" w:ascii="宋体" w:hAnsi="宋体"/>
          <w:szCs w:val="21"/>
        </w:rPr>
        <w:t>(4)已获取公开招标文件的投标人参加投标的，不代表通过资格性审查或符合性审查。</w:t>
      </w:r>
    </w:p>
    <w:p w14:paraId="11B7B279">
      <w:pPr>
        <w:adjustRightInd w:val="0"/>
        <w:snapToGrid w:val="0"/>
        <w:spacing w:after="0" w:line="360" w:lineRule="auto"/>
        <w:ind w:firstLine="422" w:firstLineChars="200"/>
        <w:rPr>
          <w:rFonts w:hint="eastAsia" w:ascii="宋体" w:hAnsi="宋体"/>
          <w:b/>
          <w:szCs w:val="21"/>
        </w:rPr>
      </w:pPr>
      <w:r>
        <w:rPr>
          <w:rFonts w:hint="eastAsia" w:ascii="宋体" w:hAnsi="宋体"/>
          <w:b/>
          <w:szCs w:val="21"/>
        </w:rPr>
        <w:t>6.投标文件的递交及开标</w:t>
      </w:r>
    </w:p>
    <w:p w14:paraId="3A13584F">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6</w:t>
      </w:r>
      <w:r>
        <w:rPr>
          <w:rFonts w:hint="eastAsia" w:ascii="宋体" w:hAnsi="宋体"/>
          <w:szCs w:val="21"/>
        </w:rPr>
        <w:t>.1 投标文件送达地点：通过中易电子交易平台（http://www.cotenders.cn）上传电子投标文件。</w:t>
      </w:r>
    </w:p>
    <w:p w14:paraId="74BF3ADB">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6</w:t>
      </w:r>
      <w:r>
        <w:rPr>
          <w:rFonts w:hint="eastAsia" w:ascii="宋体" w:hAnsi="宋体"/>
          <w:szCs w:val="21"/>
        </w:rPr>
        <w:t>.2 提交投标文件截止时间：2025年1</w:t>
      </w:r>
      <w:r>
        <w:rPr>
          <w:rFonts w:hint="eastAsia" w:ascii="宋体" w:hAnsi="宋体"/>
          <w:szCs w:val="21"/>
          <w:lang w:val="en-US" w:eastAsia="zh-CN"/>
        </w:rPr>
        <w:t>2</w:t>
      </w:r>
      <w:r>
        <w:rPr>
          <w:rFonts w:hint="eastAsia" w:ascii="宋体" w:hAnsi="宋体"/>
          <w:szCs w:val="21"/>
        </w:rPr>
        <w:t>月2日09时30分（北京时间）</w:t>
      </w:r>
    </w:p>
    <w:p w14:paraId="639C938D">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6</w:t>
      </w:r>
      <w:r>
        <w:rPr>
          <w:rFonts w:hint="eastAsia" w:ascii="宋体" w:hAnsi="宋体"/>
          <w:szCs w:val="21"/>
        </w:rPr>
        <w:t>.3 开标时间：2025年1</w:t>
      </w:r>
      <w:r>
        <w:rPr>
          <w:rFonts w:hint="eastAsia" w:ascii="宋体" w:hAnsi="宋体"/>
          <w:szCs w:val="21"/>
          <w:lang w:val="en-US" w:eastAsia="zh-CN"/>
        </w:rPr>
        <w:t>2</w:t>
      </w:r>
      <w:r>
        <w:rPr>
          <w:rFonts w:hint="eastAsia" w:ascii="宋体" w:hAnsi="宋体"/>
          <w:szCs w:val="21"/>
        </w:rPr>
        <w:t>月2日09时30分（北京时间）</w:t>
      </w:r>
    </w:p>
    <w:p w14:paraId="53F0F0EA">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6</w:t>
      </w:r>
      <w:r>
        <w:rPr>
          <w:rFonts w:hint="eastAsia" w:ascii="宋体" w:hAnsi="宋体"/>
          <w:szCs w:val="21"/>
        </w:rPr>
        <w:t>.4 开标评标及纸质文件递交地点：广东中正国标公共资源交易有限公司（详细地址：惠州市惠城区菊花一路真维斯办公大楼5楼）</w:t>
      </w:r>
    </w:p>
    <w:p w14:paraId="2BACF555">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6</w:t>
      </w:r>
      <w:r>
        <w:rPr>
          <w:rFonts w:hint="eastAsia" w:ascii="宋体" w:hAnsi="宋体"/>
          <w:szCs w:val="21"/>
        </w:rPr>
        <w:t>.5 投标人网上签到时间：2025年1</w:t>
      </w:r>
      <w:r>
        <w:rPr>
          <w:rFonts w:hint="eastAsia" w:ascii="宋体" w:hAnsi="宋体"/>
          <w:szCs w:val="21"/>
          <w:lang w:val="en-US" w:eastAsia="zh-CN"/>
        </w:rPr>
        <w:t>2</w:t>
      </w:r>
      <w:r>
        <w:rPr>
          <w:rFonts w:hint="eastAsia" w:ascii="宋体" w:hAnsi="宋体"/>
          <w:szCs w:val="21"/>
        </w:rPr>
        <w:t>月2日09时00分至2025年1</w:t>
      </w:r>
      <w:r>
        <w:rPr>
          <w:rFonts w:hint="eastAsia" w:ascii="宋体" w:hAnsi="宋体"/>
          <w:szCs w:val="21"/>
          <w:lang w:val="en-US" w:eastAsia="zh-CN"/>
        </w:rPr>
        <w:t>2</w:t>
      </w:r>
      <w:r>
        <w:rPr>
          <w:rFonts w:hint="eastAsia" w:ascii="宋体" w:hAnsi="宋体"/>
          <w:szCs w:val="21"/>
        </w:rPr>
        <w:t>月2日09时30分，投标人未在规定时间内进行网上签到作无效投标处理。</w:t>
      </w:r>
    </w:p>
    <w:p w14:paraId="4BF7F3C4">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6</w:t>
      </w:r>
      <w:r>
        <w:rPr>
          <w:rFonts w:hint="eastAsia" w:ascii="宋体" w:hAnsi="宋体"/>
          <w:szCs w:val="21"/>
        </w:rPr>
        <w:t>.6 投标人网上解密时间：2025年1</w:t>
      </w:r>
      <w:r>
        <w:rPr>
          <w:rFonts w:hint="eastAsia" w:ascii="宋体" w:hAnsi="宋体"/>
          <w:szCs w:val="21"/>
          <w:lang w:val="en-US" w:eastAsia="zh-CN"/>
        </w:rPr>
        <w:t>2</w:t>
      </w:r>
      <w:r>
        <w:rPr>
          <w:rFonts w:hint="eastAsia" w:ascii="宋体" w:hAnsi="宋体"/>
          <w:szCs w:val="21"/>
        </w:rPr>
        <w:t>月2日09时30分至2025年1</w:t>
      </w:r>
      <w:r>
        <w:rPr>
          <w:rFonts w:hint="eastAsia" w:ascii="宋体" w:hAnsi="宋体"/>
          <w:szCs w:val="21"/>
          <w:lang w:val="en-US" w:eastAsia="zh-CN"/>
        </w:rPr>
        <w:t>2</w:t>
      </w:r>
      <w:r>
        <w:rPr>
          <w:rFonts w:hint="eastAsia" w:ascii="宋体" w:hAnsi="宋体"/>
          <w:szCs w:val="21"/>
        </w:rPr>
        <w:t>月2日10时00分，可依据开标现场情况调整解密时长。</w:t>
      </w:r>
    </w:p>
    <w:p w14:paraId="253E93ED">
      <w:pPr>
        <w:adjustRightInd w:val="0"/>
        <w:snapToGrid w:val="0"/>
        <w:spacing w:after="0" w:line="360" w:lineRule="auto"/>
        <w:ind w:firstLine="420" w:firstLineChars="200"/>
        <w:rPr>
          <w:rFonts w:hint="eastAsia" w:ascii="宋体" w:hAnsi="宋体"/>
          <w:szCs w:val="21"/>
        </w:rPr>
      </w:pPr>
      <w:r>
        <w:rPr>
          <w:rFonts w:hint="eastAsia" w:ascii="宋体" w:hAnsi="宋体"/>
          <w:szCs w:val="21"/>
          <w:lang w:val="en-US" w:eastAsia="zh-CN"/>
        </w:rPr>
        <w:t>6</w:t>
      </w:r>
      <w:r>
        <w:rPr>
          <w:rFonts w:hint="eastAsia" w:ascii="宋体" w:hAnsi="宋体"/>
          <w:szCs w:val="21"/>
        </w:rPr>
        <w:t>.</w:t>
      </w:r>
      <w:r>
        <w:rPr>
          <w:rFonts w:hint="eastAsia" w:ascii="宋体" w:hAnsi="宋体"/>
          <w:szCs w:val="21"/>
          <w:lang w:val="en-US" w:eastAsia="zh-CN"/>
        </w:rPr>
        <w:t>7</w:t>
      </w:r>
      <w:r>
        <w:rPr>
          <w:rFonts w:hint="eastAsia" w:ascii="宋体" w:hAnsi="宋体"/>
          <w:szCs w:val="21"/>
        </w:rPr>
        <w:t>出现以下情形时，招标人/代理结构不予接收投标文件：</w:t>
      </w:r>
    </w:p>
    <w:p w14:paraId="095EEDB5">
      <w:pPr>
        <w:adjustRightInd w:val="0"/>
        <w:snapToGrid w:val="0"/>
        <w:spacing w:after="0" w:line="360" w:lineRule="auto"/>
        <w:ind w:firstLine="420" w:firstLineChars="200"/>
        <w:rPr>
          <w:rFonts w:hint="eastAsia" w:ascii="宋体" w:hAnsi="宋体"/>
          <w:szCs w:val="21"/>
        </w:rPr>
      </w:pPr>
      <w:r>
        <w:rPr>
          <w:rFonts w:hint="eastAsia" w:ascii="宋体" w:hAnsi="宋体"/>
          <w:szCs w:val="21"/>
        </w:rPr>
        <w:t>1）逾期送达或者未送达指定地点的；</w:t>
      </w:r>
    </w:p>
    <w:p w14:paraId="71041C29">
      <w:pPr>
        <w:adjustRightInd w:val="0"/>
        <w:snapToGrid w:val="0"/>
        <w:spacing w:after="0" w:line="360" w:lineRule="auto"/>
        <w:ind w:firstLine="420" w:firstLineChars="200"/>
        <w:rPr>
          <w:rFonts w:hint="eastAsia" w:ascii="宋体" w:hAnsi="宋体"/>
          <w:szCs w:val="21"/>
        </w:rPr>
      </w:pPr>
      <w:r>
        <w:rPr>
          <w:rFonts w:hint="eastAsia" w:ascii="宋体" w:hAnsi="宋体"/>
          <w:szCs w:val="21"/>
        </w:rPr>
        <w:t>2）未按招标文件要求密封的；</w:t>
      </w:r>
    </w:p>
    <w:p w14:paraId="33453E57">
      <w:pPr>
        <w:adjustRightInd w:val="0"/>
        <w:snapToGrid w:val="0"/>
        <w:spacing w:after="0" w:line="360" w:lineRule="auto"/>
        <w:ind w:firstLine="420" w:firstLineChars="200"/>
        <w:rPr>
          <w:rFonts w:hint="eastAsia" w:ascii="宋体" w:hAnsi="宋体"/>
          <w:szCs w:val="21"/>
        </w:rPr>
      </w:pPr>
      <w:r>
        <w:rPr>
          <w:rFonts w:hint="eastAsia" w:ascii="宋体" w:hAnsi="宋体"/>
          <w:szCs w:val="21"/>
        </w:rPr>
        <w:t>3）未按本公告要求获得本项目招标文件的。</w:t>
      </w:r>
    </w:p>
    <w:p w14:paraId="53E380E7">
      <w:pPr>
        <w:adjustRightInd w:val="0"/>
        <w:snapToGrid w:val="0"/>
        <w:spacing w:after="0" w:line="360" w:lineRule="auto"/>
        <w:ind w:firstLine="422" w:firstLineChars="200"/>
        <w:rPr>
          <w:rFonts w:hint="eastAsia" w:ascii="宋体" w:hAnsi="宋体"/>
          <w:b/>
          <w:szCs w:val="21"/>
        </w:rPr>
      </w:pPr>
      <w:r>
        <w:rPr>
          <w:rFonts w:hint="eastAsia" w:ascii="宋体" w:hAnsi="宋体"/>
          <w:b/>
          <w:szCs w:val="21"/>
          <w:lang w:val="en-US" w:eastAsia="zh-CN"/>
        </w:rPr>
        <w:t>7.</w:t>
      </w:r>
      <w:r>
        <w:rPr>
          <w:rFonts w:hint="eastAsia" w:ascii="宋体" w:hAnsi="宋体"/>
          <w:b/>
          <w:szCs w:val="21"/>
        </w:rPr>
        <w:t>发布公告的媒介</w:t>
      </w:r>
    </w:p>
    <w:p w14:paraId="0380BEDA">
      <w:pPr>
        <w:adjustRightInd w:val="0"/>
        <w:snapToGrid w:val="0"/>
        <w:spacing w:after="0" w:line="360" w:lineRule="auto"/>
        <w:ind w:firstLine="420" w:firstLineChars="200"/>
        <w:rPr>
          <w:rFonts w:hint="eastAsia"/>
        </w:rPr>
      </w:pPr>
      <w:r>
        <w:rPr>
          <w:rFonts w:hint="eastAsia" w:ascii="宋体" w:hAnsi="宋体"/>
          <w:szCs w:val="21"/>
        </w:rPr>
        <w:t>本次招标公告同时在中国招标投标公共服务平台（http://bulletin.cebpubservice.com/）、中易电子交易平台（https://www.cotenders.cn/）、诚E招电子采购交易平台（https://www.chengezhao.com/）上发布，其他媒体转载无效。本公告在各媒体发布的文本如有不同之处，以在中国招标投标公共服务平台发布的文本为准。</w:t>
      </w:r>
    </w:p>
    <w:p w14:paraId="46CFEBD6">
      <w:pPr>
        <w:adjustRightInd w:val="0"/>
        <w:snapToGrid w:val="0"/>
        <w:spacing w:after="0" w:line="360" w:lineRule="auto"/>
        <w:ind w:firstLine="422" w:firstLineChars="200"/>
        <w:rPr>
          <w:rFonts w:hint="eastAsia" w:ascii="宋体" w:hAnsi="宋体"/>
          <w:b/>
          <w:szCs w:val="21"/>
        </w:rPr>
      </w:pPr>
      <w:r>
        <w:rPr>
          <w:rFonts w:hint="eastAsia" w:ascii="宋体" w:hAnsi="宋体"/>
          <w:b/>
          <w:szCs w:val="21"/>
        </w:rPr>
        <w:t>8.联系方式</w:t>
      </w:r>
    </w:p>
    <w:p w14:paraId="31974856">
      <w:pPr>
        <w:adjustRightInd w:val="0"/>
        <w:snapToGrid w:val="0"/>
        <w:spacing w:after="0" w:line="360" w:lineRule="auto"/>
        <w:ind w:firstLine="422" w:firstLineChars="200"/>
        <w:rPr>
          <w:rFonts w:hint="eastAsia" w:ascii="宋体" w:hAnsi="宋体" w:cs="宋体"/>
          <w:szCs w:val="21"/>
        </w:rPr>
      </w:pPr>
      <w:r>
        <w:rPr>
          <w:rFonts w:hint="eastAsia" w:ascii="宋体" w:hAnsi="宋体" w:cs="宋体"/>
          <w:b/>
          <w:bCs/>
          <w:szCs w:val="21"/>
        </w:rPr>
        <w:t>8.1招标人</w:t>
      </w:r>
      <w:r>
        <w:rPr>
          <w:rFonts w:hint="eastAsia" w:ascii="宋体" w:hAnsi="宋体" w:cs="宋体"/>
          <w:szCs w:val="21"/>
        </w:rPr>
        <w:t>：惠州交投能源投资有限公司</w:t>
      </w:r>
    </w:p>
    <w:p w14:paraId="13BECBAF">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地址：广东省惠州市惠城区惠沙堤一路15-23号</w:t>
      </w:r>
    </w:p>
    <w:p w14:paraId="1998B425">
      <w:pPr>
        <w:adjustRightInd w:val="0"/>
        <w:snapToGrid w:val="0"/>
        <w:spacing w:after="0" w:line="360" w:lineRule="auto"/>
        <w:ind w:firstLine="420" w:firstLineChars="200"/>
        <w:rPr>
          <w:rFonts w:hint="eastAsia" w:ascii="宋体" w:hAnsi="宋体" w:eastAsia="宋体" w:cs="宋体"/>
          <w:szCs w:val="21"/>
          <w:lang w:val="en-US" w:eastAsia="zh-CN"/>
        </w:rPr>
      </w:pPr>
      <w:r>
        <w:rPr>
          <w:rFonts w:hint="eastAsia" w:ascii="宋体" w:hAnsi="宋体" w:cs="宋体"/>
          <w:szCs w:val="21"/>
        </w:rPr>
        <w:t>联系人：颜</w:t>
      </w:r>
      <w:r>
        <w:rPr>
          <w:rFonts w:hint="eastAsia" w:ascii="宋体" w:hAnsi="宋体" w:cs="宋体"/>
          <w:szCs w:val="21"/>
          <w:lang w:val="en-US" w:eastAsia="zh-CN"/>
        </w:rPr>
        <w:t>工</w:t>
      </w:r>
    </w:p>
    <w:p w14:paraId="1243B26E">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联系电话：0752-2104998</w:t>
      </w:r>
    </w:p>
    <w:p w14:paraId="4A20E846">
      <w:pPr>
        <w:adjustRightInd w:val="0"/>
        <w:snapToGrid w:val="0"/>
        <w:spacing w:after="0" w:line="360" w:lineRule="auto"/>
        <w:ind w:firstLine="422" w:firstLineChars="200"/>
        <w:rPr>
          <w:rFonts w:hint="eastAsia" w:ascii="宋体" w:hAnsi="宋体" w:cs="宋体"/>
          <w:szCs w:val="21"/>
        </w:rPr>
      </w:pPr>
      <w:r>
        <w:rPr>
          <w:rFonts w:hint="eastAsia" w:ascii="宋体" w:hAnsi="宋体" w:cs="宋体"/>
          <w:b/>
          <w:bCs/>
          <w:szCs w:val="21"/>
        </w:rPr>
        <w:t>8.2招标代理机构</w:t>
      </w:r>
      <w:r>
        <w:rPr>
          <w:rFonts w:hint="eastAsia" w:ascii="宋体" w:hAnsi="宋体" w:cs="宋体"/>
          <w:szCs w:val="21"/>
        </w:rPr>
        <w:t>：公诚管理咨询有限公司</w:t>
      </w:r>
    </w:p>
    <w:p w14:paraId="6B7B95C0">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地址：惠州市惠城区云山东路4号2号楼三楼</w:t>
      </w:r>
    </w:p>
    <w:p w14:paraId="7F2CDC29">
      <w:pPr>
        <w:adjustRightInd w:val="0"/>
        <w:snapToGrid w:val="0"/>
        <w:spacing w:after="0" w:line="360" w:lineRule="auto"/>
        <w:ind w:firstLine="420" w:firstLineChars="200"/>
        <w:rPr>
          <w:rFonts w:hint="default" w:ascii="宋体" w:hAnsi="宋体" w:cs="宋体"/>
          <w:szCs w:val="21"/>
          <w:lang w:val="en-US"/>
        </w:rPr>
      </w:pPr>
      <w:r>
        <w:rPr>
          <w:rFonts w:hint="eastAsia" w:ascii="宋体" w:hAnsi="宋体" w:cs="宋体"/>
          <w:szCs w:val="21"/>
        </w:rPr>
        <w:t>联系人：</w:t>
      </w:r>
      <w:r>
        <w:rPr>
          <w:rFonts w:hint="eastAsia" w:ascii="宋体" w:hAnsi="宋体" w:cs="宋体"/>
          <w:szCs w:val="21"/>
          <w:lang w:val="en-US" w:eastAsia="zh-CN"/>
        </w:rPr>
        <w:t>庞文勇、练璇、王文志</w:t>
      </w:r>
    </w:p>
    <w:p w14:paraId="77070302">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联系电话：19267589834</w:t>
      </w:r>
    </w:p>
    <w:p w14:paraId="6EA6EA7F">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开户银行：中信银行广州花园支行</w:t>
      </w:r>
    </w:p>
    <w:p w14:paraId="681F94F4">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账    号：3110910037672531782</w:t>
      </w:r>
    </w:p>
    <w:p w14:paraId="16472A63">
      <w:pPr>
        <w:adjustRightInd w:val="0"/>
        <w:snapToGrid w:val="0"/>
        <w:spacing w:after="0" w:line="360" w:lineRule="auto"/>
        <w:ind w:firstLine="422" w:firstLineChars="200"/>
        <w:rPr>
          <w:rFonts w:hint="eastAsia" w:ascii="宋体" w:hAnsi="宋体"/>
          <w:b/>
          <w:szCs w:val="21"/>
        </w:rPr>
      </w:pPr>
      <w:r>
        <w:rPr>
          <w:rFonts w:hint="eastAsia" w:ascii="宋体" w:hAnsi="宋体"/>
          <w:b/>
          <w:szCs w:val="21"/>
        </w:rPr>
        <w:t>9</w:t>
      </w:r>
      <w:r>
        <w:rPr>
          <w:rFonts w:ascii="宋体" w:hAnsi="宋体"/>
          <w:b/>
          <w:szCs w:val="21"/>
        </w:rPr>
        <w:t>.</w:t>
      </w:r>
      <w:r>
        <w:rPr>
          <w:rFonts w:hint="eastAsia" w:ascii="宋体" w:hAnsi="宋体"/>
          <w:b/>
          <w:szCs w:val="21"/>
        </w:rPr>
        <w:t>如在招标文件购买截止时间前已购买招标文件的潜在投标人不足</w:t>
      </w:r>
      <w:r>
        <w:rPr>
          <w:rFonts w:ascii="宋体" w:hAnsi="宋体"/>
          <w:b/>
          <w:szCs w:val="21"/>
        </w:rPr>
        <w:t>3</w:t>
      </w:r>
      <w:r>
        <w:rPr>
          <w:rFonts w:hint="eastAsia" w:ascii="宋体" w:hAnsi="宋体"/>
          <w:b/>
          <w:szCs w:val="21"/>
        </w:rPr>
        <w:t>家或投标文件递交截止时间前已递交投标文件的投标人不足</w:t>
      </w:r>
      <w:r>
        <w:rPr>
          <w:rFonts w:ascii="宋体" w:hAnsi="宋体"/>
          <w:b/>
          <w:szCs w:val="21"/>
        </w:rPr>
        <w:t>3</w:t>
      </w:r>
      <w:r>
        <w:rPr>
          <w:rFonts w:hint="eastAsia" w:ascii="宋体" w:hAnsi="宋体"/>
          <w:b/>
          <w:szCs w:val="21"/>
        </w:rPr>
        <w:t>家或通过资格后审的投标人不足</w:t>
      </w:r>
      <w:r>
        <w:rPr>
          <w:rFonts w:ascii="宋体" w:hAnsi="宋体"/>
          <w:b/>
          <w:szCs w:val="21"/>
        </w:rPr>
        <w:t>3</w:t>
      </w:r>
      <w:r>
        <w:rPr>
          <w:rFonts w:hint="eastAsia" w:ascii="宋体" w:hAnsi="宋体"/>
          <w:b/>
          <w:szCs w:val="21"/>
        </w:rPr>
        <w:t>家的，则该项目招标失败。</w:t>
      </w:r>
    </w:p>
    <w:p w14:paraId="4331E0CC">
      <w:pPr>
        <w:pStyle w:val="5"/>
        <w:rPr>
          <w:rFonts w:hint="eastAsia" w:ascii="宋体" w:hAnsi="宋体" w:eastAsia="宋体"/>
          <w:b/>
          <w:kern w:val="2"/>
          <w:sz w:val="21"/>
          <w:szCs w:val="21"/>
        </w:rPr>
      </w:pPr>
      <w:r>
        <w:rPr>
          <w:rFonts w:hint="eastAsia" w:ascii="宋体" w:hAnsi="宋体" w:eastAsia="宋体"/>
          <w:b/>
          <w:kern w:val="2"/>
          <w:sz w:val="21"/>
          <w:szCs w:val="21"/>
        </w:rPr>
        <w:t>10.招标文件的解释权、特殊情况条款的调整权和未尽事宜的补充权属于招标人。</w:t>
      </w:r>
    </w:p>
    <w:p w14:paraId="6B89BADD">
      <w:pPr>
        <w:pStyle w:val="5"/>
        <w:rPr>
          <w:rFonts w:hint="eastAsia" w:ascii="宋体" w:hAnsi="宋体" w:eastAsia="宋体"/>
          <w:b/>
          <w:kern w:val="2"/>
          <w:sz w:val="21"/>
          <w:szCs w:val="21"/>
        </w:rPr>
      </w:pPr>
      <w:r>
        <w:rPr>
          <w:rFonts w:hint="eastAsia" w:ascii="宋体" w:hAnsi="宋体" w:eastAsia="宋体"/>
          <w:b/>
          <w:kern w:val="2"/>
          <w:sz w:val="21"/>
          <w:szCs w:val="21"/>
        </w:rPr>
        <w:t>11.以上招标公告未尽事宜，请详细查阅招标文件。</w:t>
      </w:r>
    </w:p>
    <w:p w14:paraId="7A068337">
      <w:pPr>
        <w:widowControl w:val="0"/>
        <w:tabs>
          <w:tab w:val="left" w:pos="4228"/>
          <w:tab w:val="left" w:pos="7990"/>
        </w:tabs>
        <w:spacing w:line="350" w:lineRule="auto"/>
        <w:ind w:right="44" w:firstLine="3570" w:firstLineChars="1700"/>
        <w:jc w:val="right"/>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招标人：</w:t>
      </w:r>
      <w:r>
        <w:rPr>
          <w:rFonts w:hint="eastAsia" w:ascii="宋体" w:hAnsi="宋体" w:cs="宋体"/>
          <w:szCs w:val="21"/>
        </w:rPr>
        <w:t>惠州交投能源投资有限公司</w:t>
      </w:r>
    </w:p>
    <w:p w14:paraId="23266699">
      <w:pPr>
        <w:widowControl w:val="0"/>
        <w:tabs>
          <w:tab w:val="left" w:pos="4228"/>
          <w:tab w:val="left" w:pos="7990"/>
        </w:tabs>
        <w:spacing w:line="350" w:lineRule="auto"/>
        <w:ind w:right="44"/>
        <w:jc w:val="right"/>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招标代理机构：公诚管理咨询有限公司</w:t>
      </w:r>
    </w:p>
    <w:p w14:paraId="3B07A1F3">
      <w:pPr>
        <w:tabs>
          <w:tab w:val="left" w:pos="4228"/>
          <w:tab w:val="left" w:pos="7990"/>
        </w:tabs>
        <w:wordWrap/>
        <w:spacing w:line="350" w:lineRule="auto"/>
        <w:ind w:left="5250" w:right="44" w:firstLine="567" w:firstLineChars="270"/>
        <w:jc w:val="right"/>
        <w:rPr>
          <w:rFonts w:ascii="宋体" w:hAnsi="宋体"/>
          <w:sz w:val="21"/>
          <w:szCs w:val="21"/>
        </w:rPr>
        <w:sectPr>
          <w:footerReference r:id="rId7" w:type="first"/>
          <w:type w:val="continuous"/>
          <w:pgSz w:w="11906" w:h="16838"/>
          <w:pgMar w:top="1418" w:right="1134" w:bottom="1418" w:left="1134" w:header="851" w:footer="992" w:gutter="0"/>
          <w:pgNumType w:start="1"/>
          <w:cols w:space="720" w:num="1"/>
          <w:titlePg/>
          <w:docGrid w:type="lines" w:linePitch="312" w:charSpace="0"/>
        </w:sectPr>
      </w:pPr>
      <w:r>
        <w:rPr>
          <w:rFonts w:ascii="宋体" w:hAnsi="宋体" w:eastAsia="宋体" w:cs="Times New Roman"/>
          <w:kern w:val="2"/>
          <w:sz w:val="21"/>
          <w:szCs w:val="21"/>
          <w:lang w:val="en-US" w:eastAsia="zh-CN" w:bidi="ar-SA"/>
        </w:rPr>
        <w:t>202</w:t>
      </w:r>
      <w:r>
        <w:rPr>
          <w:rFonts w:hint="eastAsia" w:ascii="宋体" w:hAnsi="宋体" w:eastAsia="宋体" w:cs="Times New Roman"/>
          <w:kern w:val="2"/>
          <w:sz w:val="21"/>
          <w:szCs w:val="21"/>
          <w:lang w:val="en-US" w:eastAsia="zh-CN" w:bidi="ar-SA"/>
        </w:rPr>
        <w:t>5</w:t>
      </w:r>
      <w:r>
        <w:rPr>
          <w:rFonts w:ascii="宋体" w:hAnsi="宋体" w:eastAsia="宋体" w:cs="Times New Roman"/>
          <w:kern w:val="2"/>
          <w:sz w:val="21"/>
          <w:szCs w:val="21"/>
          <w:lang w:val="en-US" w:eastAsia="zh-CN" w:bidi="ar-SA"/>
        </w:rPr>
        <w:t>年</w:t>
      </w:r>
      <w:r>
        <w:rPr>
          <w:rFonts w:hint="eastAsia" w:ascii="宋体" w:hAnsi="宋体" w:eastAsia="宋体" w:cs="Times New Roman"/>
          <w:kern w:val="2"/>
          <w:sz w:val="21"/>
          <w:szCs w:val="21"/>
          <w:lang w:val="en-US" w:eastAsia="zh-CN" w:bidi="ar-SA"/>
        </w:rPr>
        <w:t>11</w:t>
      </w:r>
      <w:r>
        <w:rPr>
          <w:rFonts w:ascii="宋体" w:hAnsi="宋体" w:eastAsia="宋体" w:cs="Times New Roman"/>
          <w:kern w:val="2"/>
          <w:sz w:val="21"/>
          <w:szCs w:val="21"/>
          <w:lang w:val="en-US" w:eastAsia="zh-CN" w:bidi="ar-SA"/>
        </w:rPr>
        <w:t>月</w:t>
      </w:r>
      <w:r>
        <w:rPr>
          <w:rFonts w:hint="eastAsia" w:ascii="宋体" w:hAnsi="宋体" w:eastAsia="宋体" w:cs="Times New Roman"/>
          <w:kern w:val="2"/>
          <w:sz w:val="21"/>
          <w:szCs w:val="21"/>
          <w:lang w:val="en-US" w:eastAsia="zh-CN" w:bidi="ar-SA"/>
        </w:rPr>
        <w:t>21</w:t>
      </w:r>
      <w:r>
        <w:rPr>
          <w:rFonts w:ascii="宋体" w:hAnsi="宋体" w:eastAsia="宋体" w:cs="Times New Roman"/>
          <w:kern w:val="2"/>
          <w:sz w:val="21"/>
          <w:szCs w:val="21"/>
          <w:lang w:val="en-US" w:eastAsia="zh-CN" w:bidi="ar-SA"/>
        </w:rPr>
        <w:t>日</w:t>
      </w:r>
    </w:p>
    <w:p w14:paraId="554B26AA">
      <w:pPr>
        <w:rPr>
          <w:rFonts w:hint="eastAsia"/>
        </w:rPr>
      </w:pPr>
    </w:p>
    <w:p w14:paraId="1DD29870">
      <w:pPr>
        <w:rPr>
          <w:rFonts w:hint="eastAsia" w:ascii="宋体" w:hAnsi="宋体" w:cs="宋体"/>
          <w:b/>
          <w:kern w:val="0"/>
          <w:sz w:val="28"/>
          <w:szCs w:val="28"/>
        </w:rPr>
      </w:pPr>
      <w:r>
        <w:rPr>
          <w:rFonts w:hint="eastAsia" w:ascii="宋体" w:hAnsi="宋体" w:cs="宋体"/>
          <w:b/>
          <w:kern w:val="0"/>
          <w:sz w:val="28"/>
          <w:szCs w:val="28"/>
        </w:rPr>
        <w:br w:type="page"/>
      </w:r>
    </w:p>
    <w:p w14:paraId="332EC6BF">
      <w:pPr>
        <w:pStyle w:val="80"/>
        <w:spacing w:before="240" w:after="120"/>
        <w:rPr>
          <w:rFonts w:hint="eastAsia" w:ascii="宋体" w:hAnsi="宋体" w:eastAsia="宋体" w:cs="宋体"/>
          <w:b/>
          <w:sz w:val="28"/>
          <w:szCs w:val="28"/>
        </w:rPr>
      </w:pPr>
      <w:bookmarkStart w:id="8" w:name="_Toc214432831"/>
      <w:r>
        <w:rPr>
          <w:rFonts w:hint="eastAsia" w:ascii="宋体" w:hAnsi="宋体" w:eastAsia="宋体" w:cs="宋体"/>
          <w:b/>
          <w:bCs w:val="0"/>
          <w:kern w:val="0"/>
          <w:sz w:val="28"/>
          <w:szCs w:val="28"/>
        </w:rPr>
        <w:t>第二章 投标人须知</w:t>
      </w:r>
      <w:bookmarkEnd w:id="0"/>
      <w:bookmarkEnd w:id="1"/>
      <w:bookmarkEnd w:id="2"/>
      <w:bookmarkEnd w:id="8"/>
    </w:p>
    <w:p w14:paraId="248B60DC">
      <w:pPr>
        <w:pStyle w:val="99"/>
        <w:ind w:firstLine="0"/>
        <w:rPr>
          <w:rFonts w:hint="eastAsia"/>
        </w:rPr>
      </w:pPr>
      <w:bookmarkStart w:id="9" w:name="_Toc447265501"/>
      <w:bookmarkStart w:id="10" w:name="_Toc447188666"/>
      <w:bookmarkStart w:id="11" w:name="_Toc214432832"/>
      <w:bookmarkStart w:id="12" w:name="_Toc151663698"/>
      <w:bookmarkStart w:id="13" w:name="_Toc447265215"/>
      <w:bookmarkStart w:id="14" w:name="_Toc226969277"/>
      <w:bookmarkStart w:id="15" w:name="_Toc227057884"/>
      <w:r>
        <w:rPr>
          <w:rFonts w:hint="eastAsia"/>
        </w:rPr>
        <w:t>投标人须知前附表</w:t>
      </w:r>
      <w:bookmarkEnd w:id="9"/>
      <w:bookmarkEnd w:id="10"/>
      <w:bookmarkEnd w:id="11"/>
      <w:bookmarkEnd w:id="12"/>
      <w:bookmarkEnd w:id="13"/>
      <w:bookmarkEnd w:id="14"/>
      <w:bookmarkEnd w:id="15"/>
    </w:p>
    <w:tbl>
      <w:tblPr>
        <w:tblStyle w:val="44"/>
        <w:tblpPr w:leftFromText="180" w:rightFromText="180" w:vertAnchor="text" w:horzAnchor="page" w:tblpX="1304" w:tblpY="462"/>
        <w:tblOverlap w:val="never"/>
        <w:tblW w:w="0" w:type="auto"/>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28" w:type="dxa"/>
          <w:bottom w:w="0" w:type="dxa"/>
          <w:right w:w="28" w:type="dxa"/>
        </w:tblCellMar>
      </w:tblPr>
      <w:tblGrid>
        <w:gridCol w:w="609"/>
        <w:gridCol w:w="1720"/>
        <w:gridCol w:w="7473"/>
      </w:tblGrid>
      <w:tr w14:paraId="4D8468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27" w:hRule="atLeast"/>
          <w:tblHeader/>
        </w:trPr>
        <w:tc>
          <w:tcPr>
            <w:tcW w:w="0" w:type="auto"/>
            <w:tcBorders>
              <w:top w:val="single" w:color="auto" w:sz="8" w:space="0"/>
            </w:tcBorders>
            <w:vAlign w:val="center"/>
          </w:tcPr>
          <w:p w14:paraId="120F98BD">
            <w:pPr>
              <w:autoSpaceDE w:val="0"/>
              <w:autoSpaceDN w:val="0"/>
              <w:spacing w:after="0" w:line="240" w:lineRule="auto"/>
              <w:jc w:val="center"/>
              <w:rPr>
                <w:rFonts w:hint="eastAsia" w:ascii="宋体" w:hAnsi="宋体" w:cs="宋体"/>
                <w:b/>
                <w:szCs w:val="21"/>
              </w:rPr>
            </w:pPr>
            <w:r>
              <w:rPr>
                <w:rFonts w:hint="eastAsia" w:ascii="宋体" w:hAnsi="宋体" w:cs="宋体"/>
                <w:b/>
                <w:szCs w:val="21"/>
              </w:rPr>
              <w:t>条款号</w:t>
            </w:r>
          </w:p>
        </w:tc>
        <w:tc>
          <w:tcPr>
            <w:tcW w:w="1720" w:type="dxa"/>
            <w:tcBorders>
              <w:top w:val="single" w:color="auto" w:sz="8" w:space="0"/>
            </w:tcBorders>
            <w:vAlign w:val="center"/>
          </w:tcPr>
          <w:p w14:paraId="7B6342B4">
            <w:pPr>
              <w:autoSpaceDE w:val="0"/>
              <w:autoSpaceDN w:val="0"/>
              <w:spacing w:after="0" w:line="240" w:lineRule="auto"/>
              <w:jc w:val="center"/>
              <w:rPr>
                <w:rFonts w:hint="eastAsia" w:ascii="宋体" w:hAnsi="宋体" w:cs="宋体"/>
                <w:b/>
                <w:szCs w:val="21"/>
              </w:rPr>
            </w:pPr>
            <w:r>
              <w:rPr>
                <w:rFonts w:hint="eastAsia" w:ascii="宋体" w:hAnsi="宋体" w:cs="宋体"/>
                <w:b/>
                <w:szCs w:val="21"/>
              </w:rPr>
              <w:t>条款名称</w:t>
            </w:r>
          </w:p>
        </w:tc>
        <w:tc>
          <w:tcPr>
            <w:tcW w:w="7473" w:type="dxa"/>
            <w:tcBorders>
              <w:top w:val="single" w:color="auto" w:sz="8" w:space="0"/>
            </w:tcBorders>
            <w:vAlign w:val="center"/>
          </w:tcPr>
          <w:p w14:paraId="2A02EE80">
            <w:pPr>
              <w:autoSpaceDE w:val="0"/>
              <w:autoSpaceDN w:val="0"/>
              <w:spacing w:after="0" w:line="240" w:lineRule="auto"/>
              <w:jc w:val="center"/>
              <w:rPr>
                <w:rFonts w:hint="eastAsia" w:ascii="宋体" w:hAnsi="宋体" w:cs="宋体"/>
                <w:b/>
                <w:szCs w:val="21"/>
              </w:rPr>
            </w:pPr>
            <w:r>
              <w:rPr>
                <w:rFonts w:hint="eastAsia" w:ascii="宋体" w:hAnsi="宋体" w:cs="宋体"/>
                <w:b/>
                <w:szCs w:val="21"/>
              </w:rPr>
              <w:t>编列内容</w:t>
            </w:r>
          </w:p>
        </w:tc>
      </w:tr>
      <w:tr w14:paraId="5F2CD4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6BB3C685">
            <w:pPr>
              <w:autoSpaceDE w:val="0"/>
              <w:autoSpaceDN w:val="0"/>
              <w:spacing w:after="0" w:line="240" w:lineRule="auto"/>
              <w:jc w:val="center"/>
              <w:rPr>
                <w:rFonts w:hint="eastAsia" w:ascii="宋体" w:hAnsi="宋体" w:cs="宋体"/>
                <w:szCs w:val="21"/>
              </w:rPr>
            </w:pPr>
            <w:r>
              <w:rPr>
                <w:rFonts w:ascii="宋体" w:hAnsi="宋体" w:cs="宋体"/>
                <w:szCs w:val="21"/>
              </w:rPr>
              <w:t>1.1.2</w:t>
            </w:r>
          </w:p>
        </w:tc>
        <w:tc>
          <w:tcPr>
            <w:tcW w:w="1720" w:type="dxa"/>
            <w:vAlign w:val="center"/>
          </w:tcPr>
          <w:p w14:paraId="6AD3D9AB">
            <w:pPr>
              <w:autoSpaceDE w:val="0"/>
              <w:autoSpaceDN w:val="0"/>
              <w:spacing w:after="0" w:line="240" w:lineRule="auto"/>
              <w:rPr>
                <w:rFonts w:hint="eastAsia" w:ascii="宋体" w:hAnsi="宋体" w:cs="宋体"/>
                <w:szCs w:val="21"/>
              </w:rPr>
            </w:pPr>
            <w:r>
              <w:rPr>
                <w:rFonts w:hint="eastAsia" w:ascii="宋体" w:hAnsi="宋体" w:cs="宋体"/>
                <w:szCs w:val="21"/>
              </w:rPr>
              <w:t>招标人</w:t>
            </w:r>
          </w:p>
        </w:tc>
        <w:tc>
          <w:tcPr>
            <w:tcW w:w="7473" w:type="dxa"/>
            <w:vAlign w:val="center"/>
          </w:tcPr>
          <w:p w14:paraId="5C5270FA">
            <w:pPr>
              <w:autoSpaceDE w:val="0"/>
              <w:autoSpaceDN w:val="0"/>
              <w:spacing w:after="0" w:line="240" w:lineRule="auto"/>
              <w:rPr>
                <w:rFonts w:hint="eastAsia" w:ascii="宋体" w:hAnsi="宋体" w:cs="宋体"/>
                <w:szCs w:val="21"/>
              </w:rPr>
            </w:pPr>
            <w:r>
              <w:rPr>
                <w:rFonts w:hint="eastAsia" w:ascii="宋体" w:hAnsi="宋体" w:cs="宋体"/>
                <w:szCs w:val="21"/>
              </w:rPr>
              <w:t>招标人名称：惠州交投能源投资有限公司</w:t>
            </w:r>
          </w:p>
          <w:p w14:paraId="61C50A66">
            <w:pPr>
              <w:autoSpaceDE w:val="0"/>
              <w:autoSpaceDN w:val="0"/>
              <w:spacing w:after="0" w:line="240" w:lineRule="auto"/>
              <w:rPr>
                <w:rFonts w:hint="eastAsia" w:ascii="宋体" w:hAnsi="宋体" w:cs="宋体"/>
                <w:szCs w:val="21"/>
              </w:rPr>
            </w:pPr>
            <w:r>
              <w:rPr>
                <w:rFonts w:hint="eastAsia" w:ascii="宋体" w:hAnsi="宋体" w:cs="宋体"/>
                <w:szCs w:val="21"/>
              </w:rPr>
              <w:t xml:space="preserve">招标人地址：广东省惠州市惠城区惠沙堤一路15-23号  </w:t>
            </w:r>
          </w:p>
        </w:tc>
      </w:tr>
      <w:tr w14:paraId="2D05A74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55D79C5A">
            <w:pPr>
              <w:autoSpaceDE w:val="0"/>
              <w:autoSpaceDN w:val="0"/>
              <w:spacing w:after="0" w:line="240" w:lineRule="auto"/>
              <w:jc w:val="center"/>
              <w:rPr>
                <w:rFonts w:hint="eastAsia" w:ascii="宋体" w:hAnsi="宋体" w:cs="宋体"/>
                <w:szCs w:val="21"/>
              </w:rPr>
            </w:pPr>
            <w:r>
              <w:rPr>
                <w:rFonts w:ascii="宋体" w:hAnsi="宋体" w:cs="宋体"/>
                <w:szCs w:val="21"/>
              </w:rPr>
              <w:t>1.1.3</w:t>
            </w:r>
          </w:p>
        </w:tc>
        <w:tc>
          <w:tcPr>
            <w:tcW w:w="1720" w:type="dxa"/>
            <w:vAlign w:val="center"/>
          </w:tcPr>
          <w:p w14:paraId="4B960143">
            <w:pPr>
              <w:autoSpaceDE w:val="0"/>
              <w:autoSpaceDN w:val="0"/>
              <w:spacing w:after="0" w:line="240" w:lineRule="auto"/>
              <w:rPr>
                <w:rFonts w:hint="eastAsia" w:ascii="宋体" w:hAnsi="宋体" w:cs="宋体"/>
                <w:szCs w:val="21"/>
              </w:rPr>
            </w:pPr>
            <w:r>
              <w:rPr>
                <w:rFonts w:hint="eastAsia" w:ascii="宋体" w:hAnsi="宋体" w:cs="宋体"/>
                <w:szCs w:val="21"/>
              </w:rPr>
              <w:t>采购项目名称</w:t>
            </w:r>
          </w:p>
        </w:tc>
        <w:tc>
          <w:tcPr>
            <w:tcW w:w="7473" w:type="dxa"/>
            <w:vAlign w:val="center"/>
          </w:tcPr>
          <w:p w14:paraId="54BB35A4">
            <w:pPr>
              <w:autoSpaceDE w:val="0"/>
              <w:autoSpaceDN w:val="0"/>
              <w:spacing w:after="0" w:line="240" w:lineRule="auto"/>
              <w:rPr>
                <w:rFonts w:hint="eastAsia" w:ascii="宋体" w:hAnsi="宋体" w:cs="宋体"/>
                <w:szCs w:val="21"/>
              </w:rPr>
            </w:pPr>
            <w:r>
              <w:rPr>
                <w:rFonts w:hint="eastAsia" w:ascii="宋体" w:hAnsi="宋体" w:cs="宋体"/>
                <w:szCs w:val="21"/>
              </w:rPr>
              <w:t>项目名称：</w:t>
            </w:r>
            <w:r>
              <w:rPr>
                <w:rFonts w:hint="eastAsia" w:ascii="宋体" w:hAnsi="宋体"/>
                <w:szCs w:val="21"/>
              </w:rPr>
              <w:t>惠州交投能源投资有限公司节能技改项目货物采购（第一批）</w:t>
            </w:r>
          </w:p>
        </w:tc>
      </w:tr>
      <w:tr w14:paraId="178176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4CEFFCD4">
            <w:pPr>
              <w:autoSpaceDE w:val="0"/>
              <w:autoSpaceDN w:val="0"/>
              <w:spacing w:after="0" w:line="240" w:lineRule="auto"/>
              <w:jc w:val="center"/>
              <w:rPr>
                <w:rFonts w:hint="eastAsia" w:ascii="宋体" w:hAnsi="宋体" w:cs="宋体"/>
                <w:szCs w:val="21"/>
              </w:rPr>
            </w:pPr>
            <w:r>
              <w:rPr>
                <w:rFonts w:ascii="宋体" w:hAnsi="宋体" w:cs="宋体"/>
                <w:szCs w:val="21"/>
              </w:rPr>
              <w:t>1.2</w:t>
            </w:r>
          </w:p>
        </w:tc>
        <w:tc>
          <w:tcPr>
            <w:tcW w:w="1720" w:type="dxa"/>
            <w:vAlign w:val="center"/>
          </w:tcPr>
          <w:p w14:paraId="2DC33246">
            <w:pPr>
              <w:autoSpaceDE w:val="0"/>
              <w:autoSpaceDN w:val="0"/>
              <w:spacing w:after="0" w:line="240" w:lineRule="auto"/>
              <w:rPr>
                <w:rFonts w:hint="eastAsia" w:ascii="宋体" w:hAnsi="宋体" w:cs="宋体"/>
                <w:szCs w:val="21"/>
              </w:rPr>
            </w:pPr>
            <w:r>
              <w:rPr>
                <w:rFonts w:hint="eastAsia" w:ascii="宋体" w:hAnsi="宋体" w:cs="宋体"/>
                <w:szCs w:val="21"/>
              </w:rPr>
              <w:t>资金来源</w:t>
            </w:r>
          </w:p>
        </w:tc>
        <w:tc>
          <w:tcPr>
            <w:tcW w:w="7473" w:type="dxa"/>
            <w:vAlign w:val="center"/>
          </w:tcPr>
          <w:p w14:paraId="346C786E">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招标人自筹</w:t>
            </w:r>
          </w:p>
          <w:p w14:paraId="4054D500">
            <w:pPr>
              <w:autoSpaceDE w:val="0"/>
              <w:autoSpaceDN w:val="0"/>
              <w:spacing w:after="0" w:line="240" w:lineRule="auto"/>
              <w:rPr>
                <w:rFonts w:hint="eastAsia" w:ascii="宋体" w:hAnsi="宋体" w:cs="宋体"/>
                <w:szCs w:val="21"/>
              </w:rPr>
            </w:pPr>
            <w:r>
              <w:rPr>
                <w:rFonts w:hint="eastAsia" w:ascii="宋体" w:hAnsi="宋体" w:cs="宋体"/>
                <w:szCs w:val="21"/>
              </w:rPr>
              <w:t>□使用财政资金</w:t>
            </w:r>
          </w:p>
          <w:p w14:paraId="117C2DF4">
            <w:pPr>
              <w:autoSpaceDE w:val="0"/>
              <w:autoSpaceDN w:val="0"/>
              <w:spacing w:after="0" w:line="240" w:lineRule="auto"/>
              <w:rPr>
                <w:rFonts w:hint="eastAsia" w:ascii="宋体" w:hAnsi="宋体" w:cs="宋体"/>
                <w:szCs w:val="21"/>
              </w:rPr>
            </w:pPr>
            <w:r>
              <w:rPr>
                <w:rFonts w:hint="eastAsia" w:ascii="宋体" w:hAnsi="宋体" w:cs="宋体"/>
                <w:szCs w:val="21"/>
              </w:rPr>
              <w:t>□银行贷款</w:t>
            </w:r>
          </w:p>
          <w:p w14:paraId="63FBB205">
            <w:pPr>
              <w:autoSpaceDE w:val="0"/>
              <w:autoSpaceDN w:val="0"/>
              <w:spacing w:after="0" w:line="240" w:lineRule="auto"/>
              <w:rPr>
                <w:rFonts w:hint="eastAsia" w:ascii="宋体" w:hAnsi="宋体" w:cs="宋体"/>
                <w:szCs w:val="21"/>
              </w:rPr>
            </w:pPr>
            <w:r>
              <w:rPr>
                <w:rFonts w:hint="eastAsia" w:ascii="宋体" w:hAnsi="宋体" w:cs="宋体"/>
                <w:szCs w:val="21"/>
              </w:rPr>
              <w:t>□国家融资</w:t>
            </w:r>
          </w:p>
          <w:p w14:paraId="49E9557D">
            <w:pPr>
              <w:autoSpaceDE w:val="0"/>
              <w:autoSpaceDN w:val="0"/>
              <w:spacing w:after="0" w:line="240" w:lineRule="auto"/>
              <w:rPr>
                <w:rFonts w:hint="eastAsia" w:ascii="宋体" w:hAnsi="宋体" w:cs="宋体"/>
                <w:szCs w:val="21"/>
                <w:u w:val="single"/>
              </w:rPr>
            </w:pPr>
            <w:r>
              <w:rPr>
                <w:rFonts w:hint="eastAsia" w:ascii="宋体" w:hAnsi="宋体" w:cs="宋体"/>
                <w:szCs w:val="21"/>
              </w:rPr>
              <w:t>□其他：</w:t>
            </w:r>
          </w:p>
        </w:tc>
      </w:tr>
      <w:tr w14:paraId="0B412B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5CBC25C2">
            <w:pPr>
              <w:autoSpaceDE w:val="0"/>
              <w:autoSpaceDN w:val="0"/>
              <w:spacing w:after="0" w:line="240" w:lineRule="auto"/>
              <w:jc w:val="center"/>
              <w:rPr>
                <w:rFonts w:hint="eastAsia" w:ascii="宋体" w:hAnsi="宋体" w:cs="宋体"/>
                <w:szCs w:val="21"/>
              </w:rPr>
            </w:pPr>
            <w:r>
              <w:rPr>
                <w:rFonts w:ascii="宋体" w:hAnsi="宋体" w:cs="宋体"/>
                <w:szCs w:val="21"/>
              </w:rPr>
              <w:t>1.3</w:t>
            </w:r>
          </w:p>
        </w:tc>
        <w:tc>
          <w:tcPr>
            <w:tcW w:w="1720" w:type="dxa"/>
            <w:vAlign w:val="center"/>
          </w:tcPr>
          <w:p w14:paraId="39015E24">
            <w:pPr>
              <w:autoSpaceDE w:val="0"/>
              <w:autoSpaceDN w:val="0"/>
              <w:spacing w:after="0" w:line="240" w:lineRule="auto"/>
              <w:rPr>
                <w:rFonts w:hint="eastAsia" w:ascii="宋体" w:hAnsi="宋体" w:cs="宋体"/>
                <w:szCs w:val="21"/>
              </w:rPr>
            </w:pPr>
            <w:r>
              <w:rPr>
                <w:rFonts w:hint="eastAsia" w:ascii="宋体" w:hAnsi="宋体" w:cs="宋体"/>
                <w:szCs w:val="21"/>
              </w:rPr>
              <w:t>采购范围</w:t>
            </w:r>
          </w:p>
        </w:tc>
        <w:tc>
          <w:tcPr>
            <w:tcW w:w="7473" w:type="dxa"/>
            <w:vAlign w:val="center"/>
          </w:tcPr>
          <w:p w14:paraId="04855CAE">
            <w:pPr>
              <w:autoSpaceDE w:val="0"/>
              <w:autoSpaceDN w:val="0"/>
              <w:spacing w:after="0" w:line="240" w:lineRule="auto"/>
              <w:rPr>
                <w:rFonts w:hint="eastAsia" w:ascii="宋体" w:hAnsi="宋体" w:cs="宋体"/>
                <w:szCs w:val="21"/>
              </w:rPr>
            </w:pPr>
            <w:r>
              <w:rPr>
                <w:rFonts w:hint="eastAsia" w:ascii="宋体" w:hAnsi="宋体" w:cs="宋体"/>
                <w:szCs w:val="21"/>
              </w:rPr>
              <w:t>详见第一章招标公告</w:t>
            </w:r>
          </w:p>
        </w:tc>
      </w:tr>
      <w:tr w14:paraId="65DDC67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5E25C869">
            <w:pPr>
              <w:autoSpaceDE w:val="0"/>
              <w:autoSpaceDN w:val="0"/>
              <w:spacing w:after="0" w:line="240" w:lineRule="auto"/>
              <w:jc w:val="center"/>
              <w:rPr>
                <w:rFonts w:hint="eastAsia" w:ascii="宋体" w:hAnsi="宋体" w:cs="宋体"/>
                <w:szCs w:val="21"/>
              </w:rPr>
            </w:pPr>
            <w:r>
              <w:rPr>
                <w:rFonts w:ascii="宋体" w:hAnsi="宋体" w:cs="宋体"/>
                <w:szCs w:val="21"/>
              </w:rPr>
              <w:t>1.4</w:t>
            </w:r>
          </w:p>
        </w:tc>
        <w:tc>
          <w:tcPr>
            <w:tcW w:w="1720" w:type="dxa"/>
            <w:vAlign w:val="center"/>
          </w:tcPr>
          <w:p w14:paraId="6A8655E2">
            <w:pPr>
              <w:autoSpaceDE w:val="0"/>
              <w:autoSpaceDN w:val="0"/>
              <w:spacing w:after="0" w:line="240" w:lineRule="auto"/>
              <w:rPr>
                <w:rFonts w:hint="eastAsia" w:ascii="宋体" w:hAnsi="宋体" w:cs="宋体"/>
                <w:szCs w:val="21"/>
              </w:rPr>
            </w:pPr>
            <w:r>
              <w:rPr>
                <w:rFonts w:hint="eastAsia" w:ascii="宋体" w:hAnsi="宋体" w:cs="宋体"/>
                <w:szCs w:val="21"/>
              </w:rPr>
              <w:t>采购</w:t>
            </w:r>
            <w:r>
              <w:rPr>
                <w:rFonts w:ascii="宋体" w:hAnsi="宋体" w:cs="宋体"/>
                <w:szCs w:val="21"/>
              </w:rPr>
              <w:t>类型</w:t>
            </w:r>
          </w:p>
        </w:tc>
        <w:tc>
          <w:tcPr>
            <w:tcW w:w="7473" w:type="dxa"/>
            <w:vAlign w:val="center"/>
          </w:tcPr>
          <w:p w14:paraId="3E99B4F7">
            <w:pPr>
              <w:autoSpaceDE w:val="0"/>
              <w:autoSpaceDN w:val="0"/>
              <w:spacing w:after="0" w:line="240" w:lineRule="auto"/>
              <w:rPr>
                <w:rFonts w:hint="eastAsia" w:ascii="宋体" w:hAnsi="宋体"/>
                <w:szCs w:val="21"/>
              </w:rPr>
            </w:pPr>
            <w:r>
              <w:rPr>
                <w:rFonts w:hint="eastAsia" w:ascii="宋体" w:hAnsi="宋体" w:cs="宋体"/>
                <w:szCs w:val="21"/>
              </w:rPr>
              <w:sym w:font="Wingdings 2" w:char="F052"/>
            </w:r>
            <w:r>
              <w:rPr>
                <w:rFonts w:hint="eastAsia" w:ascii="宋体" w:hAnsi="宋体" w:cs="宋体"/>
                <w:szCs w:val="21"/>
              </w:rPr>
              <w:t>不划分标包</w:t>
            </w:r>
          </w:p>
          <w:p w14:paraId="29C036DB">
            <w:pPr>
              <w:autoSpaceDE w:val="0"/>
              <w:autoSpaceDN w:val="0"/>
              <w:spacing w:after="0" w:line="240" w:lineRule="auto"/>
              <w:rPr>
                <w:rFonts w:hint="eastAsia" w:ascii="宋体" w:hAnsi="宋体" w:cs="宋体"/>
                <w:szCs w:val="21"/>
              </w:rPr>
            </w:pPr>
            <w:r>
              <w:rPr>
                <w:rFonts w:hint="eastAsia" w:ascii="宋体" w:hAnsi="宋体" w:cs="宋体"/>
                <w:szCs w:val="21"/>
              </w:rPr>
              <w:t xml:space="preserve">□标包采购，标包划分情况如下：\ </w:t>
            </w:r>
          </w:p>
          <w:p w14:paraId="4E054234">
            <w:pPr>
              <w:autoSpaceDE w:val="0"/>
              <w:autoSpaceDN w:val="0"/>
              <w:spacing w:after="0" w:line="240" w:lineRule="auto"/>
              <w:rPr>
                <w:rFonts w:hint="eastAsia" w:ascii="宋体" w:hAnsi="宋体" w:cs="宋体"/>
                <w:szCs w:val="21"/>
              </w:rPr>
            </w:pPr>
            <w:r>
              <w:rPr>
                <w:rFonts w:hint="eastAsia" w:ascii="宋体" w:hAnsi="宋体" w:cs="宋体"/>
                <w:szCs w:val="21"/>
              </w:rPr>
              <w:t>□份额采购，份额分配情况如下：\</w:t>
            </w:r>
          </w:p>
          <w:p w14:paraId="3AC9AC24">
            <w:pPr>
              <w:autoSpaceDE w:val="0"/>
              <w:autoSpaceDN w:val="0"/>
              <w:spacing w:after="0" w:line="240" w:lineRule="auto"/>
              <w:rPr>
                <w:rFonts w:hint="eastAsia" w:ascii="宋体" w:hAnsi="宋体" w:cs="宋体"/>
                <w:szCs w:val="21"/>
              </w:rPr>
            </w:pPr>
            <w:r>
              <w:rPr>
                <w:rFonts w:hint="eastAsia" w:ascii="宋体" w:hAnsi="宋体" w:cs="宋体"/>
                <w:szCs w:val="21"/>
              </w:rPr>
              <w:t>□混合采购，标包划分及份额分配情况如下：\</w:t>
            </w:r>
          </w:p>
        </w:tc>
      </w:tr>
      <w:tr w14:paraId="4524D4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08134721">
            <w:pPr>
              <w:autoSpaceDE w:val="0"/>
              <w:autoSpaceDN w:val="0"/>
              <w:spacing w:after="0" w:line="240" w:lineRule="auto"/>
              <w:jc w:val="center"/>
              <w:rPr>
                <w:rFonts w:hint="eastAsia" w:ascii="宋体" w:hAnsi="宋体" w:cs="宋体"/>
                <w:szCs w:val="21"/>
              </w:rPr>
            </w:pPr>
            <w:r>
              <w:rPr>
                <w:rFonts w:ascii="宋体" w:hAnsi="宋体" w:cs="宋体"/>
                <w:szCs w:val="21"/>
              </w:rPr>
              <w:t>1.5.1</w:t>
            </w:r>
          </w:p>
        </w:tc>
        <w:tc>
          <w:tcPr>
            <w:tcW w:w="1720" w:type="dxa"/>
            <w:vAlign w:val="center"/>
          </w:tcPr>
          <w:p w14:paraId="669C818C">
            <w:pPr>
              <w:autoSpaceDE w:val="0"/>
              <w:autoSpaceDN w:val="0"/>
              <w:spacing w:after="0" w:line="240" w:lineRule="auto"/>
              <w:rPr>
                <w:rFonts w:hint="eastAsia" w:ascii="宋体" w:hAnsi="宋体" w:cs="宋体"/>
                <w:szCs w:val="21"/>
              </w:rPr>
            </w:pPr>
            <w:r>
              <w:rPr>
                <w:rFonts w:hint="eastAsia" w:ascii="宋体" w:hAnsi="宋体" w:cs="宋体"/>
                <w:szCs w:val="21"/>
              </w:rPr>
              <w:t>采购方式</w:t>
            </w:r>
          </w:p>
        </w:tc>
        <w:tc>
          <w:tcPr>
            <w:tcW w:w="7473" w:type="dxa"/>
            <w:vAlign w:val="center"/>
          </w:tcPr>
          <w:p w14:paraId="1D22B96B">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公开招标</w:t>
            </w:r>
          </w:p>
          <w:p w14:paraId="58300461">
            <w:pPr>
              <w:autoSpaceDE w:val="0"/>
              <w:autoSpaceDN w:val="0"/>
              <w:spacing w:after="0" w:line="240" w:lineRule="auto"/>
              <w:rPr>
                <w:rFonts w:hint="eastAsia" w:ascii="宋体" w:hAnsi="宋体" w:cs="宋体"/>
                <w:szCs w:val="21"/>
              </w:rPr>
            </w:pPr>
            <w:r>
              <w:rPr>
                <w:rFonts w:hint="eastAsia" w:ascii="宋体" w:hAnsi="宋体" w:cs="宋体"/>
                <w:szCs w:val="21"/>
              </w:rPr>
              <w:t>□邀请招标</w:t>
            </w:r>
          </w:p>
        </w:tc>
      </w:tr>
      <w:tr w14:paraId="32F1A6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30EBD0FB">
            <w:pPr>
              <w:autoSpaceDE w:val="0"/>
              <w:autoSpaceDN w:val="0"/>
              <w:spacing w:after="0" w:line="240" w:lineRule="auto"/>
              <w:jc w:val="center"/>
              <w:rPr>
                <w:rFonts w:hint="eastAsia" w:ascii="宋体" w:hAnsi="宋体" w:cs="宋体"/>
                <w:szCs w:val="21"/>
              </w:rPr>
            </w:pPr>
            <w:r>
              <w:rPr>
                <w:rFonts w:ascii="宋体" w:hAnsi="宋体" w:cs="宋体"/>
                <w:szCs w:val="21"/>
              </w:rPr>
              <w:t>1.6</w:t>
            </w:r>
          </w:p>
        </w:tc>
        <w:tc>
          <w:tcPr>
            <w:tcW w:w="1720" w:type="dxa"/>
            <w:vAlign w:val="center"/>
          </w:tcPr>
          <w:p w14:paraId="61BD0DD7">
            <w:pPr>
              <w:autoSpaceDE w:val="0"/>
              <w:autoSpaceDN w:val="0"/>
              <w:spacing w:after="0" w:line="240" w:lineRule="auto"/>
              <w:rPr>
                <w:rFonts w:hint="eastAsia" w:ascii="宋体" w:hAnsi="宋体" w:cs="宋体"/>
                <w:szCs w:val="21"/>
              </w:rPr>
            </w:pPr>
            <w:r>
              <w:rPr>
                <w:rFonts w:hint="eastAsia" w:ascii="宋体" w:hAnsi="宋体" w:cs="宋体"/>
                <w:szCs w:val="21"/>
              </w:rPr>
              <w:t>采购组织形式</w:t>
            </w:r>
          </w:p>
        </w:tc>
        <w:tc>
          <w:tcPr>
            <w:tcW w:w="7473" w:type="dxa"/>
            <w:vAlign w:val="center"/>
          </w:tcPr>
          <w:p w14:paraId="2CC8D716">
            <w:pPr>
              <w:autoSpaceDE w:val="0"/>
              <w:autoSpaceDN w:val="0"/>
              <w:spacing w:after="0" w:line="240" w:lineRule="auto"/>
              <w:rPr>
                <w:rFonts w:hint="eastAsia" w:ascii="宋体" w:hAnsi="宋体" w:cs="宋体"/>
                <w:szCs w:val="21"/>
              </w:rPr>
            </w:pPr>
            <w:r>
              <w:rPr>
                <w:rFonts w:hint="eastAsia" w:ascii="宋体" w:hAnsi="宋体" w:cs="宋体"/>
                <w:szCs w:val="21"/>
              </w:rPr>
              <w:t>□自行采购</w:t>
            </w:r>
          </w:p>
          <w:p w14:paraId="2FF022A3">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委托招标代理机构代理采购</w:t>
            </w:r>
          </w:p>
          <w:p w14:paraId="2A6D912C">
            <w:pPr>
              <w:autoSpaceDE w:val="0"/>
              <w:autoSpaceDN w:val="0"/>
              <w:spacing w:after="0" w:line="240" w:lineRule="auto"/>
              <w:rPr>
                <w:rFonts w:hint="eastAsia" w:ascii="宋体" w:hAnsi="宋体" w:cs="宋体"/>
                <w:szCs w:val="21"/>
              </w:rPr>
            </w:pPr>
            <w:r>
              <w:rPr>
                <w:rFonts w:hint="eastAsia" w:ascii="宋体" w:hAnsi="宋体" w:cs="宋体"/>
                <w:szCs w:val="21"/>
              </w:rPr>
              <w:t>招标代理机构名称：</w:t>
            </w:r>
            <w:r>
              <w:rPr>
                <w:rFonts w:hint="eastAsia" w:ascii="宋体" w:hAnsi="宋体"/>
                <w:szCs w:val="21"/>
              </w:rPr>
              <w:t>公诚管理咨询有限公司</w:t>
            </w:r>
          </w:p>
          <w:p w14:paraId="4867032D">
            <w:pPr>
              <w:autoSpaceDE w:val="0"/>
              <w:autoSpaceDN w:val="0"/>
              <w:spacing w:after="0" w:line="240" w:lineRule="auto"/>
              <w:rPr>
                <w:rFonts w:hint="eastAsia" w:ascii="宋体" w:hAnsi="宋体" w:cs="宋体"/>
                <w:szCs w:val="21"/>
              </w:rPr>
            </w:pPr>
            <w:r>
              <w:rPr>
                <w:rFonts w:hint="eastAsia" w:ascii="宋体" w:hAnsi="宋体" w:cs="宋体"/>
                <w:szCs w:val="21"/>
              </w:rPr>
              <w:t>招标代理机构地址：</w:t>
            </w:r>
            <w:r>
              <w:rPr>
                <w:rFonts w:hint="eastAsia" w:ascii="宋体" w:hAnsi="宋体"/>
                <w:szCs w:val="21"/>
              </w:rPr>
              <w:t>广东省惠州市云山东路四号2栋3楼</w:t>
            </w:r>
          </w:p>
        </w:tc>
      </w:tr>
      <w:tr w14:paraId="33ECEBC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7B7BE5E2">
            <w:pPr>
              <w:autoSpaceDE w:val="0"/>
              <w:autoSpaceDN w:val="0"/>
              <w:spacing w:after="0" w:line="240" w:lineRule="auto"/>
              <w:jc w:val="center"/>
              <w:rPr>
                <w:rFonts w:hint="eastAsia" w:ascii="宋体" w:hAnsi="宋体" w:cs="宋体"/>
                <w:szCs w:val="21"/>
              </w:rPr>
            </w:pPr>
            <w:r>
              <w:rPr>
                <w:rFonts w:ascii="宋体" w:hAnsi="宋体" w:cs="宋体"/>
                <w:szCs w:val="21"/>
              </w:rPr>
              <w:t>1.7</w:t>
            </w:r>
          </w:p>
        </w:tc>
        <w:tc>
          <w:tcPr>
            <w:tcW w:w="1720" w:type="dxa"/>
            <w:vAlign w:val="center"/>
          </w:tcPr>
          <w:p w14:paraId="5B2F12E6">
            <w:pPr>
              <w:autoSpaceDE w:val="0"/>
              <w:autoSpaceDN w:val="0"/>
              <w:spacing w:after="0" w:line="240" w:lineRule="auto"/>
              <w:rPr>
                <w:rFonts w:hint="eastAsia" w:ascii="宋体" w:hAnsi="宋体" w:cs="宋体"/>
                <w:szCs w:val="21"/>
              </w:rPr>
            </w:pPr>
            <w:r>
              <w:rPr>
                <w:rFonts w:hint="eastAsia" w:ascii="宋体" w:hAnsi="宋体" w:cs="宋体"/>
                <w:szCs w:val="21"/>
              </w:rPr>
              <w:t>资格审查方式</w:t>
            </w:r>
          </w:p>
        </w:tc>
        <w:tc>
          <w:tcPr>
            <w:tcW w:w="7473" w:type="dxa"/>
            <w:vAlign w:val="center"/>
          </w:tcPr>
          <w:p w14:paraId="37F4EEE0">
            <w:pPr>
              <w:autoSpaceDE w:val="0"/>
              <w:autoSpaceDN w:val="0"/>
              <w:spacing w:after="0" w:line="240" w:lineRule="auto"/>
              <w:rPr>
                <w:rFonts w:hint="eastAsia" w:ascii="宋体" w:hAnsi="宋体" w:cs="宋体"/>
                <w:szCs w:val="21"/>
              </w:rPr>
            </w:pPr>
            <w:r>
              <w:rPr>
                <w:rFonts w:hint="eastAsia" w:ascii="宋体" w:hAnsi="宋体" w:cs="宋体"/>
                <w:szCs w:val="21"/>
              </w:rPr>
              <w:t>□资格预审</w:t>
            </w:r>
          </w:p>
          <w:p w14:paraId="4A7CE1BD">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资格后审，资格条件见第一章“招标公告”</w:t>
            </w:r>
          </w:p>
        </w:tc>
      </w:tr>
      <w:tr w14:paraId="0B04BAC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73" w:hRule="atLeast"/>
        </w:trPr>
        <w:tc>
          <w:tcPr>
            <w:tcW w:w="0" w:type="auto"/>
            <w:vAlign w:val="center"/>
          </w:tcPr>
          <w:p w14:paraId="231CE14B">
            <w:pPr>
              <w:autoSpaceDE w:val="0"/>
              <w:autoSpaceDN w:val="0"/>
              <w:spacing w:after="0" w:line="240" w:lineRule="auto"/>
              <w:jc w:val="center"/>
              <w:rPr>
                <w:rFonts w:hint="eastAsia" w:ascii="宋体" w:hAnsi="宋体" w:cs="宋体"/>
                <w:szCs w:val="21"/>
              </w:rPr>
            </w:pPr>
            <w:r>
              <w:rPr>
                <w:rFonts w:ascii="宋体" w:hAnsi="宋体" w:cs="宋体"/>
                <w:szCs w:val="21"/>
              </w:rPr>
              <w:t>1.8.1</w:t>
            </w:r>
          </w:p>
        </w:tc>
        <w:tc>
          <w:tcPr>
            <w:tcW w:w="1720" w:type="dxa"/>
            <w:vAlign w:val="center"/>
          </w:tcPr>
          <w:p w14:paraId="25FBCB18">
            <w:pPr>
              <w:autoSpaceDE w:val="0"/>
              <w:autoSpaceDN w:val="0"/>
              <w:spacing w:after="0" w:line="240" w:lineRule="auto"/>
              <w:rPr>
                <w:rFonts w:hint="eastAsia" w:ascii="宋体" w:hAnsi="宋体" w:cs="宋体"/>
                <w:szCs w:val="21"/>
              </w:rPr>
            </w:pPr>
            <w:r>
              <w:rPr>
                <w:rFonts w:hint="eastAsia" w:ascii="宋体" w:hAnsi="宋体" w:cs="宋体"/>
                <w:szCs w:val="21"/>
              </w:rPr>
              <w:t>★投标人不得存在的情形</w:t>
            </w:r>
          </w:p>
        </w:tc>
        <w:tc>
          <w:tcPr>
            <w:tcW w:w="7473" w:type="dxa"/>
            <w:vAlign w:val="center"/>
          </w:tcPr>
          <w:p w14:paraId="47AB312F">
            <w:pPr>
              <w:autoSpaceDE w:val="0"/>
              <w:autoSpaceDN w:val="0"/>
              <w:spacing w:after="0" w:line="240" w:lineRule="auto"/>
              <w:rPr>
                <w:rFonts w:hint="eastAsia" w:ascii="宋体" w:hAnsi="宋体" w:cs="宋体"/>
                <w:szCs w:val="21"/>
              </w:rPr>
            </w:pPr>
            <w:r>
              <w:rPr>
                <w:rFonts w:hint="eastAsia" w:ascii="宋体" w:hAnsi="宋体" w:cs="宋体"/>
                <w:szCs w:val="21"/>
              </w:rPr>
              <w:t>本条款增加以下规定：</w:t>
            </w:r>
          </w:p>
          <w:p w14:paraId="0D8AAD45">
            <w:pPr>
              <w:autoSpaceDE w:val="0"/>
              <w:autoSpaceDN w:val="0"/>
              <w:spacing w:after="0" w:line="240" w:lineRule="auto"/>
              <w:rPr>
                <w:rFonts w:hint="eastAsia" w:ascii="宋体" w:hAnsi="宋体" w:cs="宋体"/>
                <w:szCs w:val="21"/>
              </w:rPr>
            </w:pPr>
            <w:r>
              <w:rPr>
                <w:rFonts w:hint="eastAsia" w:ascii="宋体" w:hAnsi="宋体" w:cs="宋体"/>
                <w:szCs w:val="21"/>
              </w:rPr>
              <w:t>（1）为招标人不具有独立法人资格的附属机构（单位）；</w:t>
            </w:r>
          </w:p>
          <w:p w14:paraId="1C25F7B3">
            <w:pPr>
              <w:autoSpaceDE w:val="0"/>
              <w:autoSpaceDN w:val="0"/>
              <w:spacing w:after="0" w:line="240" w:lineRule="auto"/>
              <w:rPr>
                <w:rFonts w:hint="eastAsia" w:ascii="宋体" w:hAnsi="宋体" w:cs="宋体"/>
                <w:szCs w:val="21"/>
              </w:rPr>
            </w:pPr>
            <w:r>
              <w:rPr>
                <w:rFonts w:hint="eastAsia" w:ascii="宋体" w:hAnsi="宋体" w:cs="宋体"/>
                <w:szCs w:val="21"/>
              </w:rPr>
              <w:t>（2）被责令停业或破产状态的；</w:t>
            </w:r>
          </w:p>
          <w:p w14:paraId="779C5A60">
            <w:pPr>
              <w:autoSpaceDE w:val="0"/>
              <w:autoSpaceDN w:val="0"/>
              <w:spacing w:after="0" w:line="240" w:lineRule="auto"/>
              <w:rPr>
                <w:rFonts w:hint="eastAsia" w:ascii="宋体" w:hAnsi="宋体" w:cs="宋体"/>
                <w:szCs w:val="21"/>
              </w:rPr>
            </w:pPr>
            <w:r>
              <w:rPr>
                <w:rFonts w:hint="eastAsia" w:ascii="宋体" w:hAnsi="宋体" w:cs="宋体"/>
                <w:szCs w:val="21"/>
              </w:rPr>
              <w:t>（3）被暂停或取消投标资格的；</w:t>
            </w:r>
          </w:p>
          <w:p w14:paraId="44441899">
            <w:pPr>
              <w:autoSpaceDE w:val="0"/>
              <w:autoSpaceDN w:val="0"/>
              <w:spacing w:after="0" w:line="240" w:lineRule="auto"/>
              <w:rPr>
                <w:rFonts w:hint="eastAsia" w:ascii="宋体" w:hAnsi="宋体" w:cs="宋体"/>
                <w:szCs w:val="21"/>
              </w:rPr>
            </w:pPr>
            <w:r>
              <w:rPr>
                <w:rFonts w:hint="eastAsia" w:ascii="宋体" w:hAnsi="宋体" w:cs="宋体"/>
                <w:szCs w:val="21"/>
              </w:rPr>
              <w:t>（4）财产被重组、接管、查封、扣押或冻结的；</w:t>
            </w:r>
          </w:p>
          <w:p w14:paraId="03708C03">
            <w:pPr>
              <w:autoSpaceDE w:val="0"/>
              <w:autoSpaceDN w:val="0"/>
              <w:spacing w:after="0" w:line="240" w:lineRule="auto"/>
              <w:rPr>
                <w:rFonts w:hint="eastAsia" w:ascii="宋体" w:hAnsi="宋体" w:cs="宋体"/>
                <w:szCs w:val="21"/>
              </w:rPr>
            </w:pPr>
            <w:r>
              <w:rPr>
                <w:rFonts w:hint="eastAsia" w:ascii="宋体" w:hAnsi="宋体" w:cs="宋体"/>
                <w:szCs w:val="21"/>
              </w:rPr>
              <w:t>（5）在最近三年内骗取成交情形的；</w:t>
            </w:r>
          </w:p>
          <w:p w14:paraId="0FB80E2F">
            <w:pPr>
              <w:autoSpaceDE w:val="0"/>
              <w:autoSpaceDN w:val="0"/>
              <w:spacing w:after="0" w:line="240" w:lineRule="auto"/>
              <w:rPr>
                <w:rFonts w:hint="eastAsia" w:ascii="宋体" w:hAnsi="宋体" w:cs="宋体"/>
                <w:szCs w:val="21"/>
              </w:rPr>
            </w:pPr>
            <w:r>
              <w:rPr>
                <w:rFonts w:hint="eastAsia" w:ascii="宋体" w:hAnsi="宋体" w:cs="宋体"/>
                <w:szCs w:val="21"/>
              </w:rPr>
              <w:t>（6）在最近三年内因严重违反合同约定被解除合同/协议，或取消投标人资格的；</w:t>
            </w:r>
          </w:p>
          <w:p w14:paraId="2304D24E">
            <w:pPr>
              <w:autoSpaceDE w:val="0"/>
              <w:autoSpaceDN w:val="0"/>
              <w:spacing w:after="0" w:line="240" w:lineRule="auto"/>
              <w:rPr>
                <w:rFonts w:hint="eastAsia" w:ascii="宋体" w:hAnsi="宋体" w:cs="宋体"/>
                <w:szCs w:val="21"/>
              </w:rPr>
            </w:pPr>
            <w:r>
              <w:rPr>
                <w:rFonts w:hint="eastAsia" w:ascii="宋体" w:hAnsi="宋体" w:cs="宋体"/>
                <w:szCs w:val="21"/>
              </w:rPr>
              <w:t>注：投标人须提供不存在以上情形的情况说明（格式及内容详见第六章投标文件格式）。</w:t>
            </w:r>
          </w:p>
        </w:tc>
      </w:tr>
      <w:tr w14:paraId="33BE2B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17" w:hRule="atLeast"/>
        </w:trPr>
        <w:tc>
          <w:tcPr>
            <w:tcW w:w="0" w:type="auto"/>
            <w:vAlign w:val="center"/>
          </w:tcPr>
          <w:p w14:paraId="4F7E1FDC">
            <w:pPr>
              <w:autoSpaceDE w:val="0"/>
              <w:autoSpaceDN w:val="0"/>
              <w:spacing w:after="0" w:line="240" w:lineRule="auto"/>
              <w:jc w:val="center"/>
              <w:rPr>
                <w:rFonts w:hint="eastAsia" w:ascii="宋体" w:hAnsi="宋体" w:cs="宋体"/>
                <w:szCs w:val="21"/>
              </w:rPr>
            </w:pPr>
            <w:r>
              <w:rPr>
                <w:rFonts w:ascii="宋体" w:hAnsi="宋体" w:cs="宋体"/>
                <w:szCs w:val="21"/>
              </w:rPr>
              <w:t>2.1.1</w:t>
            </w:r>
          </w:p>
        </w:tc>
        <w:tc>
          <w:tcPr>
            <w:tcW w:w="1720" w:type="dxa"/>
            <w:vAlign w:val="center"/>
          </w:tcPr>
          <w:p w14:paraId="34992446">
            <w:pPr>
              <w:autoSpaceDE w:val="0"/>
              <w:autoSpaceDN w:val="0"/>
              <w:spacing w:after="0" w:line="240" w:lineRule="auto"/>
              <w:rPr>
                <w:rFonts w:hint="eastAsia" w:ascii="宋体" w:hAnsi="宋体" w:cs="宋体"/>
                <w:szCs w:val="21"/>
              </w:rPr>
            </w:pPr>
            <w:r>
              <w:rPr>
                <w:rFonts w:hint="eastAsia" w:ascii="宋体" w:hAnsi="宋体" w:cs="宋体"/>
                <w:szCs w:val="21"/>
              </w:rPr>
              <w:t>招标文件的组成</w:t>
            </w:r>
          </w:p>
        </w:tc>
        <w:tc>
          <w:tcPr>
            <w:tcW w:w="7473" w:type="dxa"/>
            <w:vAlign w:val="center"/>
          </w:tcPr>
          <w:p w14:paraId="721153BD">
            <w:pPr>
              <w:autoSpaceDE w:val="0"/>
              <w:autoSpaceDN w:val="0"/>
              <w:spacing w:after="0" w:line="240" w:lineRule="auto"/>
              <w:rPr>
                <w:rFonts w:hint="eastAsia" w:ascii="宋体" w:hAnsi="宋体" w:cs="宋体"/>
                <w:szCs w:val="21"/>
              </w:rPr>
            </w:pPr>
            <w:r>
              <w:rPr>
                <w:rFonts w:hint="eastAsia" w:ascii="宋体" w:hAnsi="宋体"/>
                <w:szCs w:val="21"/>
              </w:rPr>
              <w:t>本条款替换为：</w:t>
            </w:r>
          </w:p>
          <w:p w14:paraId="1DC67059">
            <w:pPr>
              <w:autoSpaceDE w:val="0"/>
              <w:autoSpaceDN w:val="0"/>
              <w:spacing w:after="0" w:line="240" w:lineRule="auto"/>
              <w:rPr>
                <w:rFonts w:hint="eastAsia" w:ascii="宋体" w:hAnsi="宋体" w:cs="宋体"/>
                <w:szCs w:val="21"/>
              </w:rPr>
            </w:pPr>
            <w:r>
              <w:rPr>
                <w:rFonts w:hint="eastAsia" w:ascii="宋体" w:hAnsi="宋体" w:cs="宋体"/>
                <w:szCs w:val="21"/>
              </w:rPr>
              <w:t>第一章</w:t>
            </w:r>
            <w:r>
              <w:rPr>
                <w:rFonts w:ascii="宋体" w:hAnsi="宋体" w:cs="宋体"/>
                <w:szCs w:val="21"/>
              </w:rPr>
              <w:tab/>
            </w:r>
            <w:r>
              <w:rPr>
                <w:rFonts w:hint="eastAsia" w:ascii="宋体" w:hAnsi="宋体" w:cs="宋体"/>
                <w:szCs w:val="21"/>
              </w:rPr>
              <w:t>招标公告</w:t>
            </w:r>
          </w:p>
          <w:p w14:paraId="60D0D561">
            <w:pPr>
              <w:autoSpaceDE w:val="0"/>
              <w:autoSpaceDN w:val="0"/>
              <w:spacing w:after="0" w:line="240" w:lineRule="auto"/>
              <w:rPr>
                <w:rFonts w:hint="eastAsia" w:ascii="宋体" w:hAnsi="宋体" w:cs="宋体"/>
                <w:szCs w:val="21"/>
              </w:rPr>
            </w:pPr>
            <w:r>
              <w:rPr>
                <w:rFonts w:hint="eastAsia" w:ascii="宋体" w:hAnsi="宋体" w:cs="宋体"/>
                <w:szCs w:val="21"/>
              </w:rPr>
              <w:t>第二章</w:t>
            </w:r>
            <w:r>
              <w:rPr>
                <w:rFonts w:ascii="宋体" w:hAnsi="宋体" w:cs="宋体"/>
                <w:szCs w:val="21"/>
              </w:rPr>
              <w:tab/>
            </w:r>
            <w:r>
              <w:rPr>
                <w:rFonts w:hint="eastAsia" w:ascii="宋体" w:hAnsi="宋体" w:cs="宋体"/>
                <w:szCs w:val="21"/>
              </w:rPr>
              <w:t>投标人须知</w:t>
            </w:r>
          </w:p>
          <w:p w14:paraId="4696DC47">
            <w:pPr>
              <w:autoSpaceDE w:val="0"/>
              <w:autoSpaceDN w:val="0"/>
              <w:spacing w:after="0" w:line="240" w:lineRule="auto"/>
              <w:rPr>
                <w:rFonts w:hint="eastAsia" w:ascii="宋体" w:hAnsi="宋体" w:cs="宋体"/>
                <w:szCs w:val="21"/>
              </w:rPr>
            </w:pPr>
            <w:r>
              <w:rPr>
                <w:rFonts w:hint="eastAsia" w:ascii="宋体" w:hAnsi="宋体" w:cs="宋体"/>
                <w:szCs w:val="21"/>
              </w:rPr>
              <w:t>第三章</w:t>
            </w:r>
            <w:r>
              <w:rPr>
                <w:rFonts w:ascii="宋体" w:hAnsi="宋体" w:cs="宋体"/>
                <w:szCs w:val="21"/>
              </w:rPr>
              <w:tab/>
            </w:r>
            <w:r>
              <w:rPr>
                <w:rFonts w:hint="eastAsia" w:ascii="宋体" w:hAnsi="宋体" w:cs="宋体"/>
                <w:szCs w:val="21"/>
              </w:rPr>
              <w:t>评审办法</w:t>
            </w:r>
          </w:p>
          <w:p w14:paraId="248D7B2B">
            <w:pPr>
              <w:autoSpaceDE w:val="0"/>
              <w:autoSpaceDN w:val="0"/>
              <w:spacing w:after="0" w:line="240" w:lineRule="auto"/>
              <w:rPr>
                <w:rFonts w:hint="eastAsia" w:ascii="宋体" w:hAnsi="宋体" w:cs="宋体"/>
                <w:szCs w:val="21"/>
              </w:rPr>
            </w:pPr>
            <w:r>
              <w:rPr>
                <w:rFonts w:hint="eastAsia" w:ascii="宋体" w:hAnsi="宋体" w:cs="宋体"/>
                <w:szCs w:val="21"/>
              </w:rPr>
              <w:t>第四章</w:t>
            </w:r>
            <w:r>
              <w:rPr>
                <w:rFonts w:ascii="宋体" w:hAnsi="宋体" w:cs="宋体"/>
                <w:szCs w:val="21"/>
              </w:rPr>
              <w:tab/>
            </w:r>
            <w:r>
              <w:rPr>
                <w:rFonts w:hint="eastAsia" w:ascii="宋体" w:hAnsi="宋体" w:cs="宋体"/>
                <w:szCs w:val="21"/>
              </w:rPr>
              <w:t>合同条款</w:t>
            </w:r>
          </w:p>
          <w:p w14:paraId="62BADF42">
            <w:pPr>
              <w:autoSpaceDE w:val="0"/>
              <w:autoSpaceDN w:val="0"/>
              <w:spacing w:after="0" w:line="240" w:lineRule="auto"/>
              <w:rPr>
                <w:rFonts w:hint="eastAsia" w:ascii="宋体" w:hAnsi="宋体" w:cs="宋体"/>
                <w:szCs w:val="21"/>
              </w:rPr>
            </w:pPr>
            <w:r>
              <w:rPr>
                <w:rFonts w:hint="eastAsia" w:ascii="宋体" w:hAnsi="宋体" w:cs="宋体"/>
                <w:szCs w:val="21"/>
              </w:rPr>
              <w:t>第五章</w:t>
            </w:r>
            <w:r>
              <w:rPr>
                <w:rFonts w:ascii="宋体" w:hAnsi="宋体" w:cs="宋体"/>
                <w:szCs w:val="21"/>
              </w:rPr>
              <w:tab/>
            </w:r>
            <w:r>
              <w:rPr>
                <w:rFonts w:hint="eastAsia" w:ascii="宋体" w:hAnsi="宋体" w:cs="宋体"/>
                <w:szCs w:val="21"/>
              </w:rPr>
              <w:t>项目需求书</w:t>
            </w:r>
          </w:p>
          <w:p w14:paraId="3613E17C">
            <w:pPr>
              <w:autoSpaceDE w:val="0"/>
              <w:autoSpaceDN w:val="0"/>
              <w:spacing w:after="0" w:line="240" w:lineRule="auto"/>
              <w:rPr>
                <w:rFonts w:hint="eastAsia" w:ascii="宋体" w:hAnsi="宋体" w:cs="宋体"/>
                <w:szCs w:val="21"/>
              </w:rPr>
            </w:pPr>
            <w:r>
              <w:rPr>
                <w:rFonts w:hint="eastAsia" w:ascii="宋体" w:hAnsi="宋体" w:cs="宋体"/>
                <w:szCs w:val="21"/>
              </w:rPr>
              <w:t>第六章</w:t>
            </w:r>
            <w:r>
              <w:rPr>
                <w:rFonts w:ascii="宋体" w:hAnsi="宋体" w:cs="宋体"/>
                <w:szCs w:val="21"/>
              </w:rPr>
              <w:tab/>
            </w:r>
            <w:r>
              <w:rPr>
                <w:rFonts w:hint="eastAsia" w:ascii="宋体" w:hAnsi="宋体" w:cs="宋体"/>
                <w:szCs w:val="21"/>
              </w:rPr>
              <w:t>投标文件格式</w:t>
            </w:r>
          </w:p>
        </w:tc>
      </w:tr>
      <w:tr w14:paraId="5C76E5B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218C964E">
            <w:pPr>
              <w:autoSpaceDE w:val="0"/>
              <w:autoSpaceDN w:val="0"/>
              <w:spacing w:after="0" w:line="240" w:lineRule="auto"/>
              <w:jc w:val="center"/>
              <w:rPr>
                <w:rFonts w:hint="eastAsia" w:ascii="宋体" w:hAnsi="宋体" w:cs="宋体"/>
                <w:szCs w:val="21"/>
              </w:rPr>
            </w:pPr>
            <w:r>
              <w:rPr>
                <w:rFonts w:ascii="宋体" w:hAnsi="宋体" w:cs="宋体"/>
                <w:szCs w:val="21"/>
              </w:rPr>
              <w:t>2.1.3</w:t>
            </w:r>
          </w:p>
        </w:tc>
        <w:tc>
          <w:tcPr>
            <w:tcW w:w="1720" w:type="dxa"/>
            <w:vAlign w:val="center"/>
          </w:tcPr>
          <w:p w14:paraId="296EE017">
            <w:pPr>
              <w:autoSpaceDE w:val="0"/>
              <w:autoSpaceDN w:val="0"/>
              <w:spacing w:after="0" w:line="240" w:lineRule="auto"/>
              <w:rPr>
                <w:rFonts w:hint="eastAsia" w:ascii="宋体" w:hAnsi="宋体" w:cs="宋体"/>
                <w:szCs w:val="21"/>
              </w:rPr>
            </w:pPr>
            <w:r>
              <w:rPr>
                <w:rFonts w:hint="eastAsia" w:ascii="宋体" w:hAnsi="宋体" w:cs="宋体"/>
                <w:szCs w:val="21"/>
              </w:rPr>
              <w:t>★招标文件实质性要求的标识及非实质性要求的偏离要求</w:t>
            </w:r>
          </w:p>
        </w:tc>
        <w:tc>
          <w:tcPr>
            <w:tcW w:w="7473" w:type="dxa"/>
            <w:vAlign w:val="center"/>
          </w:tcPr>
          <w:p w14:paraId="1D979D36">
            <w:pPr>
              <w:autoSpaceDE w:val="0"/>
              <w:autoSpaceDN w:val="0"/>
              <w:spacing w:after="0" w:line="240" w:lineRule="auto"/>
              <w:rPr>
                <w:rFonts w:hint="eastAsia" w:ascii="宋体" w:hAnsi="宋体" w:cs="宋体"/>
                <w:szCs w:val="21"/>
              </w:rPr>
            </w:pPr>
            <w:r>
              <w:rPr>
                <w:rFonts w:hint="eastAsia" w:ascii="宋体" w:hAnsi="宋体" w:cs="宋体"/>
                <w:szCs w:val="21"/>
              </w:rPr>
              <w:t>招标文件标识★的条款，均为实质性条款，投标人任何不满足实质性条款的投标均将被否决。</w:t>
            </w:r>
          </w:p>
        </w:tc>
      </w:tr>
      <w:tr w14:paraId="714F5A6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871" w:hRule="atLeast"/>
        </w:trPr>
        <w:tc>
          <w:tcPr>
            <w:tcW w:w="0" w:type="auto"/>
            <w:vAlign w:val="center"/>
          </w:tcPr>
          <w:p w14:paraId="5856EFFF">
            <w:pPr>
              <w:autoSpaceDE w:val="0"/>
              <w:autoSpaceDN w:val="0"/>
              <w:spacing w:after="0" w:line="240" w:lineRule="auto"/>
              <w:jc w:val="center"/>
              <w:rPr>
                <w:rFonts w:hint="eastAsia" w:ascii="宋体" w:hAnsi="宋体" w:cs="宋体"/>
                <w:szCs w:val="21"/>
              </w:rPr>
            </w:pPr>
            <w:r>
              <w:rPr>
                <w:rFonts w:ascii="宋体" w:hAnsi="宋体" w:cs="宋体"/>
                <w:szCs w:val="21"/>
              </w:rPr>
              <w:t>2.1.4</w:t>
            </w:r>
          </w:p>
        </w:tc>
        <w:tc>
          <w:tcPr>
            <w:tcW w:w="1720" w:type="dxa"/>
            <w:vAlign w:val="center"/>
          </w:tcPr>
          <w:p w14:paraId="1A420007">
            <w:pPr>
              <w:autoSpaceDE w:val="0"/>
              <w:autoSpaceDN w:val="0"/>
              <w:spacing w:after="0" w:line="240" w:lineRule="auto"/>
              <w:rPr>
                <w:rFonts w:hint="eastAsia" w:ascii="宋体" w:hAnsi="宋体" w:cs="宋体"/>
                <w:szCs w:val="21"/>
              </w:rPr>
            </w:pPr>
            <w:r>
              <w:rPr>
                <w:rFonts w:hint="eastAsia" w:ascii="宋体" w:hAnsi="宋体" w:cs="宋体"/>
                <w:szCs w:val="21"/>
              </w:rPr>
              <w:t>★是否以单项报价核定低于成本</w:t>
            </w:r>
          </w:p>
        </w:tc>
        <w:tc>
          <w:tcPr>
            <w:tcW w:w="7473" w:type="dxa"/>
            <w:vAlign w:val="center"/>
          </w:tcPr>
          <w:p w14:paraId="7107BFB7">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不要求</w:t>
            </w:r>
          </w:p>
          <w:p w14:paraId="5152D201">
            <w:pPr>
              <w:autoSpaceDE w:val="0"/>
              <w:autoSpaceDN w:val="0"/>
              <w:spacing w:after="0" w:line="240" w:lineRule="auto"/>
              <w:rPr>
                <w:rFonts w:hint="eastAsia" w:ascii="宋体" w:hAnsi="宋体" w:cs="宋体"/>
                <w:szCs w:val="21"/>
              </w:rPr>
            </w:pPr>
            <w:r>
              <w:rPr>
                <w:rFonts w:hint="eastAsia" w:ascii="宋体" w:hAnsi="宋体" w:cs="宋体"/>
                <w:szCs w:val="21"/>
              </w:rPr>
              <w:t xml:space="preserve">□要求。 </w:t>
            </w:r>
          </w:p>
        </w:tc>
      </w:tr>
      <w:tr w14:paraId="3E7AEB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0C4B62A2">
            <w:pPr>
              <w:autoSpaceDE w:val="0"/>
              <w:autoSpaceDN w:val="0"/>
              <w:spacing w:after="0" w:line="240" w:lineRule="auto"/>
              <w:jc w:val="center"/>
              <w:rPr>
                <w:rFonts w:hint="eastAsia" w:ascii="宋体" w:hAnsi="宋体" w:cs="宋体"/>
                <w:szCs w:val="21"/>
              </w:rPr>
            </w:pPr>
            <w:r>
              <w:rPr>
                <w:rFonts w:ascii="宋体" w:hAnsi="宋体" w:cs="宋体"/>
                <w:szCs w:val="21"/>
              </w:rPr>
              <w:t>2.2.1</w:t>
            </w:r>
          </w:p>
        </w:tc>
        <w:tc>
          <w:tcPr>
            <w:tcW w:w="1720" w:type="dxa"/>
            <w:vAlign w:val="center"/>
          </w:tcPr>
          <w:p w14:paraId="43138C3C">
            <w:pPr>
              <w:autoSpaceDE w:val="0"/>
              <w:autoSpaceDN w:val="0"/>
              <w:spacing w:after="0" w:line="240" w:lineRule="auto"/>
              <w:rPr>
                <w:rFonts w:hint="eastAsia" w:ascii="宋体" w:hAnsi="宋体" w:cs="宋体"/>
                <w:szCs w:val="21"/>
              </w:rPr>
            </w:pPr>
            <w:r>
              <w:rPr>
                <w:rFonts w:hint="eastAsia" w:ascii="宋体" w:hAnsi="宋体" w:cs="宋体"/>
                <w:szCs w:val="21"/>
              </w:rPr>
              <w:t>踏勘现场</w:t>
            </w:r>
          </w:p>
        </w:tc>
        <w:tc>
          <w:tcPr>
            <w:tcW w:w="7473" w:type="dxa"/>
            <w:vAlign w:val="center"/>
          </w:tcPr>
          <w:p w14:paraId="5FF7BA27">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不组织</w:t>
            </w:r>
          </w:p>
          <w:p w14:paraId="3DAD5AA3">
            <w:pPr>
              <w:autoSpaceDE w:val="0"/>
              <w:autoSpaceDN w:val="0"/>
              <w:spacing w:after="0" w:line="240" w:lineRule="auto"/>
              <w:rPr>
                <w:rFonts w:hint="eastAsia" w:ascii="宋体" w:hAnsi="宋体" w:cs="宋体"/>
                <w:szCs w:val="21"/>
              </w:rPr>
            </w:pPr>
            <w:r>
              <w:rPr>
                <w:rFonts w:hint="eastAsia" w:ascii="宋体" w:hAnsi="宋体" w:cs="宋体"/>
                <w:szCs w:val="21"/>
              </w:rPr>
              <w:t xml:space="preserve">□组织，踏勘现场的时间、地点： </w:t>
            </w:r>
          </w:p>
        </w:tc>
      </w:tr>
      <w:tr w14:paraId="1887DAF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32" w:hRule="atLeast"/>
        </w:trPr>
        <w:tc>
          <w:tcPr>
            <w:tcW w:w="0" w:type="auto"/>
            <w:vAlign w:val="center"/>
          </w:tcPr>
          <w:p w14:paraId="0CA3576E">
            <w:pPr>
              <w:autoSpaceDE w:val="0"/>
              <w:autoSpaceDN w:val="0"/>
              <w:spacing w:after="0" w:line="240" w:lineRule="auto"/>
              <w:jc w:val="center"/>
              <w:rPr>
                <w:rFonts w:hint="eastAsia" w:ascii="宋体" w:hAnsi="宋体" w:cs="宋体"/>
                <w:szCs w:val="21"/>
              </w:rPr>
            </w:pPr>
            <w:r>
              <w:rPr>
                <w:rFonts w:ascii="宋体" w:hAnsi="宋体" w:cs="宋体"/>
                <w:szCs w:val="21"/>
              </w:rPr>
              <w:t>2.3</w:t>
            </w:r>
          </w:p>
        </w:tc>
        <w:tc>
          <w:tcPr>
            <w:tcW w:w="1720" w:type="dxa"/>
            <w:vAlign w:val="center"/>
          </w:tcPr>
          <w:p w14:paraId="715DBCDF">
            <w:pPr>
              <w:autoSpaceDE w:val="0"/>
              <w:autoSpaceDN w:val="0"/>
              <w:spacing w:after="0" w:line="240" w:lineRule="auto"/>
              <w:rPr>
                <w:rFonts w:hint="eastAsia" w:ascii="宋体" w:hAnsi="宋体" w:cs="宋体"/>
                <w:szCs w:val="21"/>
              </w:rPr>
            </w:pPr>
            <w:r>
              <w:rPr>
                <w:rFonts w:hint="eastAsia" w:ascii="宋体" w:hAnsi="宋体" w:cs="宋体"/>
                <w:szCs w:val="21"/>
              </w:rPr>
              <w:t>投标预备会</w:t>
            </w:r>
          </w:p>
        </w:tc>
        <w:tc>
          <w:tcPr>
            <w:tcW w:w="7473" w:type="dxa"/>
            <w:vAlign w:val="center"/>
          </w:tcPr>
          <w:p w14:paraId="3423B3C5">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不召开</w:t>
            </w:r>
          </w:p>
          <w:p w14:paraId="58B450AD">
            <w:pPr>
              <w:autoSpaceDE w:val="0"/>
              <w:autoSpaceDN w:val="0"/>
              <w:spacing w:after="0" w:line="240" w:lineRule="auto"/>
              <w:rPr>
                <w:rFonts w:hint="eastAsia" w:ascii="宋体" w:hAnsi="宋体" w:cs="宋体"/>
                <w:szCs w:val="21"/>
              </w:rPr>
            </w:pPr>
            <w:r>
              <w:rPr>
                <w:rFonts w:hint="eastAsia" w:ascii="宋体" w:hAnsi="宋体" w:cs="宋体"/>
                <w:szCs w:val="21"/>
              </w:rPr>
              <w:t>□召开，召开投标预备会时间、地点：</w:t>
            </w:r>
            <w:r>
              <w:rPr>
                <w:rFonts w:ascii="宋体" w:hAnsi="宋体" w:cs="宋体"/>
                <w:szCs w:val="21"/>
              </w:rPr>
              <w:t>/</w:t>
            </w:r>
          </w:p>
        </w:tc>
      </w:tr>
      <w:tr w14:paraId="0F2BDB9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2EE7C83D">
            <w:pPr>
              <w:autoSpaceDE w:val="0"/>
              <w:autoSpaceDN w:val="0"/>
              <w:spacing w:after="0" w:line="240" w:lineRule="auto"/>
              <w:jc w:val="center"/>
              <w:rPr>
                <w:rFonts w:hint="eastAsia" w:ascii="宋体" w:hAnsi="宋体" w:cs="宋体"/>
                <w:szCs w:val="21"/>
              </w:rPr>
            </w:pPr>
            <w:r>
              <w:rPr>
                <w:rFonts w:ascii="宋体" w:hAnsi="宋体" w:cs="宋体"/>
                <w:szCs w:val="21"/>
              </w:rPr>
              <w:t>2.4.1</w:t>
            </w:r>
          </w:p>
        </w:tc>
        <w:tc>
          <w:tcPr>
            <w:tcW w:w="1720" w:type="dxa"/>
            <w:vAlign w:val="center"/>
          </w:tcPr>
          <w:p w14:paraId="0CF9A0D5">
            <w:pPr>
              <w:autoSpaceDE w:val="0"/>
              <w:autoSpaceDN w:val="0"/>
              <w:spacing w:after="0" w:line="240" w:lineRule="auto"/>
              <w:rPr>
                <w:rFonts w:hint="eastAsia" w:ascii="宋体" w:hAnsi="宋体" w:cs="宋体"/>
                <w:szCs w:val="21"/>
              </w:rPr>
            </w:pPr>
            <w:r>
              <w:rPr>
                <w:rFonts w:hint="eastAsia" w:ascii="宋体" w:hAnsi="宋体" w:cs="宋体"/>
                <w:szCs w:val="21"/>
              </w:rPr>
              <w:t>投标人提出澄清问题的截止时间和方式</w:t>
            </w:r>
          </w:p>
        </w:tc>
        <w:tc>
          <w:tcPr>
            <w:tcW w:w="7473" w:type="dxa"/>
            <w:vAlign w:val="center"/>
          </w:tcPr>
          <w:p w14:paraId="7C2CF6E7">
            <w:pPr>
              <w:autoSpaceDE w:val="0"/>
              <w:autoSpaceDN w:val="0"/>
              <w:spacing w:after="0" w:line="240" w:lineRule="auto"/>
              <w:rPr>
                <w:rFonts w:hint="eastAsia" w:ascii="宋体" w:hAnsi="宋体" w:cs="宋体"/>
                <w:szCs w:val="21"/>
              </w:rPr>
            </w:pPr>
            <w:r>
              <w:rPr>
                <w:rFonts w:hint="eastAsia" w:ascii="宋体" w:hAnsi="宋体" w:cs="宋体"/>
                <w:szCs w:val="21"/>
              </w:rPr>
              <w:t>截止时间：2025年11月</w:t>
            </w:r>
            <w:r>
              <w:rPr>
                <w:rFonts w:hint="eastAsia" w:ascii="宋体" w:hAnsi="宋体" w:cs="宋体"/>
                <w:szCs w:val="21"/>
                <w:lang w:val="en-US" w:eastAsia="zh-CN"/>
              </w:rPr>
              <w:t>29</w:t>
            </w:r>
            <w:r>
              <w:rPr>
                <w:rFonts w:hint="eastAsia" w:ascii="宋体" w:hAnsi="宋体" w:cs="宋体"/>
                <w:szCs w:val="21"/>
              </w:rPr>
              <w:t>日12时00分（北京时间）</w:t>
            </w:r>
          </w:p>
          <w:p w14:paraId="1E3B31A3">
            <w:pPr>
              <w:autoSpaceDE w:val="0"/>
              <w:autoSpaceDN w:val="0"/>
              <w:spacing w:after="0" w:line="240" w:lineRule="auto"/>
              <w:rPr>
                <w:rFonts w:hint="eastAsia" w:ascii="宋体" w:hAnsi="宋体" w:cs="宋体"/>
                <w:szCs w:val="21"/>
              </w:rPr>
            </w:pPr>
            <w:r>
              <w:rPr>
                <w:rFonts w:hint="eastAsia" w:ascii="宋体" w:hAnsi="宋体" w:cs="宋体"/>
                <w:szCs w:val="21"/>
              </w:rPr>
              <w:t>提出澄清的方式：书面方式</w:t>
            </w:r>
          </w:p>
        </w:tc>
      </w:tr>
      <w:tr w14:paraId="66B311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2094C850">
            <w:pPr>
              <w:autoSpaceDE w:val="0"/>
              <w:autoSpaceDN w:val="0"/>
              <w:spacing w:after="0" w:line="240" w:lineRule="auto"/>
              <w:jc w:val="center"/>
              <w:rPr>
                <w:rFonts w:hint="eastAsia" w:ascii="宋体" w:hAnsi="宋体" w:cs="宋体"/>
                <w:szCs w:val="21"/>
              </w:rPr>
            </w:pPr>
            <w:r>
              <w:rPr>
                <w:rFonts w:ascii="宋体" w:hAnsi="宋体" w:cs="宋体"/>
                <w:szCs w:val="21"/>
              </w:rPr>
              <w:t>2.4.2</w:t>
            </w:r>
          </w:p>
        </w:tc>
        <w:tc>
          <w:tcPr>
            <w:tcW w:w="1720" w:type="dxa"/>
            <w:vAlign w:val="center"/>
          </w:tcPr>
          <w:p w14:paraId="06D57A56">
            <w:pPr>
              <w:autoSpaceDE w:val="0"/>
              <w:autoSpaceDN w:val="0"/>
              <w:spacing w:after="0" w:line="240" w:lineRule="auto"/>
              <w:rPr>
                <w:rFonts w:hint="eastAsia" w:ascii="宋体" w:hAnsi="宋体" w:cs="宋体"/>
                <w:szCs w:val="21"/>
              </w:rPr>
            </w:pPr>
            <w:r>
              <w:rPr>
                <w:rFonts w:hint="eastAsia" w:ascii="宋体" w:hAnsi="宋体" w:cs="宋体"/>
                <w:szCs w:val="21"/>
              </w:rPr>
              <w:t>招标人发出招标文件澄清或者修改的截止时间和方式</w:t>
            </w:r>
          </w:p>
        </w:tc>
        <w:tc>
          <w:tcPr>
            <w:tcW w:w="7473" w:type="dxa"/>
            <w:vAlign w:val="center"/>
          </w:tcPr>
          <w:p w14:paraId="3CB77FEA">
            <w:pPr>
              <w:autoSpaceDE w:val="0"/>
              <w:autoSpaceDN w:val="0"/>
              <w:spacing w:after="0" w:line="240" w:lineRule="auto"/>
              <w:rPr>
                <w:rFonts w:hint="eastAsia" w:ascii="宋体" w:hAnsi="宋体" w:cs="宋体"/>
                <w:szCs w:val="21"/>
              </w:rPr>
            </w:pPr>
            <w:r>
              <w:rPr>
                <w:rFonts w:hint="eastAsia" w:ascii="宋体" w:hAnsi="宋体" w:cs="宋体"/>
                <w:szCs w:val="21"/>
              </w:rPr>
              <w:t>发出澄清或修改的方式：书面方式</w:t>
            </w:r>
          </w:p>
        </w:tc>
      </w:tr>
      <w:tr w14:paraId="14D523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7EBC88C7">
            <w:pPr>
              <w:autoSpaceDE w:val="0"/>
              <w:autoSpaceDN w:val="0"/>
              <w:spacing w:after="0" w:line="240" w:lineRule="auto"/>
              <w:jc w:val="center"/>
              <w:rPr>
                <w:rFonts w:hint="eastAsia" w:ascii="宋体" w:hAnsi="宋体" w:cs="宋体"/>
                <w:szCs w:val="21"/>
              </w:rPr>
            </w:pPr>
            <w:r>
              <w:rPr>
                <w:rFonts w:ascii="宋体" w:hAnsi="宋体" w:cs="宋体"/>
                <w:szCs w:val="21"/>
              </w:rPr>
              <w:t>2.4.4</w:t>
            </w:r>
          </w:p>
        </w:tc>
        <w:tc>
          <w:tcPr>
            <w:tcW w:w="1720" w:type="dxa"/>
            <w:vAlign w:val="center"/>
          </w:tcPr>
          <w:p w14:paraId="21D82392">
            <w:pPr>
              <w:autoSpaceDE w:val="0"/>
              <w:autoSpaceDN w:val="0"/>
              <w:spacing w:after="0" w:line="240" w:lineRule="auto"/>
              <w:rPr>
                <w:rFonts w:hint="eastAsia" w:ascii="宋体" w:hAnsi="宋体" w:cs="宋体"/>
                <w:szCs w:val="21"/>
              </w:rPr>
            </w:pPr>
            <w:r>
              <w:rPr>
                <w:rFonts w:hint="eastAsia" w:ascii="宋体" w:hAnsi="宋体" w:cs="宋体"/>
                <w:szCs w:val="21"/>
              </w:rPr>
              <w:t>投标人确认收到澄清或者修改的时间和方式</w:t>
            </w:r>
          </w:p>
        </w:tc>
        <w:tc>
          <w:tcPr>
            <w:tcW w:w="7473" w:type="dxa"/>
            <w:vAlign w:val="center"/>
          </w:tcPr>
          <w:p w14:paraId="3884B469">
            <w:pPr>
              <w:autoSpaceDE w:val="0"/>
              <w:autoSpaceDN w:val="0"/>
              <w:spacing w:after="0" w:line="240" w:lineRule="auto"/>
              <w:rPr>
                <w:rFonts w:hint="eastAsia" w:ascii="宋体" w:hAnsi="宋体" w:cs="宋体"/>
                <w:szCs w:val="21"/>
              </w:rPr>
            </w:pPr>
            <w:r>
              <w:rPr>
                <w:rFonts w:hint="eastAsia" w:ascii="宋体" w:hAnsi="宋体" w:cs="宋体"/>
                <w:szCs w:val="21"/>
              </w:rPr>
              <w:t>确认收到澄清或修改的时间：收到澄清文件一个工作日内</w:t>
            </w:r>
          </w:p>
          <w:p w14:paraId="4C9AE33E">
            <w:pPr>
              <w:autoSpaceDE w:val="0"/>
              <w:autoSpaceDN w:val="0"/>
              <w:spacing w:after="0" w:line="240" w:lineRule="auto"/>
              <w:rPr>
                <w:rFonts w:hint="eastAsia" w:ascii="宋体" w:hAnsi="宋体" w:cs="宋体"/>
                <w:szCs w:val="21"/>
              </w:rPr>
            </w:pPr>
            <w:r>
              <w:rPr>
                <w:rFonts w:hint="eastAsia" w:ascii="宋体" w:hAnsi="宋体" w:cs="宋体"/>
                <w:szCs w:val="21"/>
              </w:rPr>
              <w:t>确认收到澄清或修改文件的方式：书面方式</w:t>
            </w:r>
          </w:p>
        </w:tc>
      </w:tr>
      <w:tr w14:paraId="339238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4FD00AAC">
            <w:pPr>
              <w:autoSpaceDE w:val="0"/>
              <w:autoSpaceDN w:val="0"/>
              <w:spacing w:after="0" w:line="240" w:lineRule="auto"/>
              <w:jc w:val="center"/>
              <w:rPr>
                <w:rFonts w:hint="eastAsia" w:ascii="宋体" w:hAnsi="宋体" w:cs="宋体"/>
                <w:szCs w:val="21"/>
              </w:rPr>
            </w:pPr>
            <w:r>
              <w:rPr>
                <w:rFonts w:ascii="宋体" w:hAnsi="宋体" w:cs="宋体"/>
                <w:szCs w:val="21"/>
              </w:rPr>
              <w:t>3.1</w:t>
            </w:r>
          </w:p>
        </w:tc>
        <w:tc>
          <w:tcPr>
            <w:tcW w:w="1720" w:type="dxa"/>
            <w:vAlign w:val="center"/>
          </w:tcPr>
          <w:p w14:paraId="7B363E93">
            <w:pPr>
              <w:autoSpaceDE w:val="0"/>
              <w:autoSpaceDN w:val="0"/>
              <w:spacing w:after="0" w:line="240" w:lineRule="auto"/>
              <w:rPr>
                <w:rFonts w:hint="eastAsia" w:ascii="宋体" w:hAnsi="宋体" w:cs="宋体"/>
                <w:szCs w:val="21"/>
              </w:rPr>
            </w:pPr>
            <w:r>
              <w:rPr>
                <w:rFonts w:hint="eastAsia" w:ascii="宋体" w:hAnsi="宋体" w:cs="宋体"/>
                <w:szCs w:val="21"/>
              </w:rPr>
              <w:t>投标文件组成</w:t>
            </w:r>
          </w:p>
        </w:tc>
        <w:tc>
          <w:tcPr>
            <w:tcW w:w="7473" w:type="dxa"/>
            <w:vAlign w:val="center"/>
          </w:tcPr>
          <w:p w14:paraId="6B0B824A">
            <w:pPr>
              <w:autoSpaceDE w:val="0"/>
              <w:autoSpaceDN w:val="0"/>
              <w:spacing w:after="0" w:line="240" w:lineRule="auto"/>
              <w:rPr>
                <w:rFonts w:hint="eastAsia" w:ascii="宋体" w:hAnsi="宋体" w:cs="宋体"/>
                <w:szCs w:val="21"/>
              </w:rPr>
            </w:pPr>
            <w:r>
              <w:rPr>
                <w:rFonts w:hint="eastAsia" w:ascii="宋体" w:hAnsi="宋体" w:cs="宋体"/>
                <w:szCs w:val="21"/>
              </w:rPr>
              <w:t>投标文件按照招标文件第六章格式进行编制：</w:t>
            </w:r>
          </w:p>
        </w:tc>
      </w:tr>
      <w:tr w14:paraId="5C60BA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0B8EB529">
            <w:pPr>
              <w:autoSpaceDE w:val="0"/>
              <w:autoSpaceDN w:val="0"/>
              <w:spacing w:after="0" w:line="240" w:lineRule="auto"/>
              <w:jc w:val="center"/>
              <w:rPr>
                <w:rFonts w:hint="eastAsia" w:ascii="宋体" w:hAnsi="宋体" w:cs="宋体"/>
                <w:szCs w:val="21"/>
              </w:rPr>
            </w:pPr>
            <w:r>
              <w:rPr>
                <w:rFonts w:ascii="宋体" w:hAnsi="宋体" w:cs="宋体"/>
                <w:szCs w:val="21"/>
              </w:rPr>
              <w:t>3.2.2</w:t>
            </w:r>
          </w:p>
        </w:tc>
        <w:tc>
          <w:tcPr>
            <w:tcW w:w="1720" w:type="dxa"/>
            <w:vAlign w:val="center"/>
          </w:tcPr>
          <w:p w14:paraId="7CC8A8E1">
            <w:pPr>
              <w:autoSpaceDE w:val="0"/>
              <w:autoSpaceDN w:val="0"/>
              <w:spacing w:after="0" w:line="240" w:lineRule="auto"/>
              <w:rPr>
                <w:rFonts w:hint="eastAsia" w:ascii="宋体" w:hAnsi="宋体" w:cs="宋体"/>
                <w:szCs w:val="21"/>
              </w:rPr>
            </w:pPr>
            <w:r>
              <w:rPr>
                <w:rFonts w:hint="eastAsia" w:ascii="宋体" w:hAnsi="宋体" w:cs="宋体"/>
                <w:szCs w:val="21"/>
              </w:rPr>
              <w:t>投标文件应答和编写</w:t>
            </w:r>
          </w:p>
        </w:tc>
        <w:tc>
          <w:tcPr>
            <w:tcW w:w="7473" w:type="dxa"/>
            <w:vAlign w:val="center"/>
          </w:tcPr>
          <w:p w14:paraId="3903A86A">
            <w:pPr>
              <w:autoSpaceDE w:val="0"/>
              <w:autoSpaceDN w:val="0"/>
              <w:spacing w:after="0" w:line="240" w:lineRule="auto"/>
              <w:rPr>
                <w:rFonts w:hint="eastAsia" w:ascii="宋体" w:hAnsi="宋体" w:cs="宋体"/>
                <w:szCs w:val="21"/>
              </w:rPr>
            </w:pPr>
            <w:r>
              <w:rPr>
                <w:rFonts w:hint="eastAsia" w:ascii="宋体" w:hAnsi="宋体" w:cs="宋体"/>
                <w:szCs w:val="21"/>
              </w:rPr>
              <w:t>本条款增加以下规定：</w:t>
            </w:r>
            <w:r>
              <w:rPr>
                <w:rFonts w:ascii="宋体" w:hAnsi="宋体" w:cs="宋体"/>
                <w:szCs w:val="21"/>
              </w:rPr>
              <w:t>/</w:t>
            </w:r>
          </w:p>
        </w:tc>
      </w:tr>
      <w:tr w14:paraId="5E4C29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501" w:hRule="atLeast"/>
        </w:trPr>
        <w:tc>
          <w:tcPr>
            <w:tcW w:w="0" w:type="auto"/>
            <w:vAlign w:val="center"/>
          </w:tcPr>
          <w:p w14:paraId="05EF2C4E">
            <w:pPr>
              <w:autoSpaceDE w:val="0"/>
              <w:autoSpaceDN w:val="0"/>
              <w:spacing w:after="0" w:line="240" w:lineRule="auto"/>
              <w:jc w:val="center"/>
              <w:rPr>
                <w:rFonts w:hint="eastAsia" w:ascii="宋体" w:hAnsi="宋体" w:cs="宋体"/>
                <w:szCs w:val="21"/>
              </w:rPr>
            </w:pPr>
            <w:r>
              <w:rPr>
                <w:rFonts w:ascii="宋体" w:hAnsi="宋体" w:cs="宋体"/>
                <w:szCs w:val="21"/>
              </w:rPr>
              <w:t>3.2.4</w:t>
            </w:r>
          </w:p>
        </w:tc>
        <w:tc>
          <w:tcPr>
            <w:tcW w:w="1720" w:type="dxa"/>
            <w:vAlign w:val="center"/>
          </w:tcPr>
          <w:p w14:paraId="43834D87">
            <w:pPr>
              <w:autoSpaceDE w:val="0"/>
              <w:autoSpaceDN w:val="0"/>
              <w:spacing w:after="0" w:line="240" w:lineRule="auto"/>
              <w:rPr>
                <w:rFonts w:hint="eastAsia" w:ascii="宋体" w:hAnsi="宋体" w:cs="宋体"/>
                <w:szCs w:val="21"/>
              </w:rPr>
            </w:pPr>
            <w:r>
              <w:rPr>
                <w:rFonts w:hint="eastAsia" w:ascii="宋体" w:hAnsi="宋体" w:cs="宋体"/>
                <w:szCs w:val="21"/>
              </w:rPr>
              <w:t>★投标文件的盖章或者签字</w:t>
            </w:r>
          </w:p>
        </w:tc>
        <w:tc>
          <w:tcPr>
            <w:tcW w:w="7473" w:type="dxa"/>
            <w:vAlign w:val="center"/>
          </w:tcPr>
          <w:p w14:paraId="4146B784">
            <w:pPr>
              <w:autoSpaceDE w:val="0"/>
              <w:autoSpaceDN w:val="0"/>
              <w:spacing w:after="0" w:line="240" w:lineRule="auto"/>
              <w:rPr>
                <w:rFonts w:hint="eastAsia" w:ascii="宋体" w:hAnsi="宋体" w:cs="宋体"/>
                <w:szCs w:val="21"/>
              </w:rPr>
            </w:pPr>
            <w:r>
              <w:rPr>
                <w:rFonts w:hint="eastAsia" w:ascii="宋体" w:hAnsi="宋体" w:cs="宋体"/>
                <w:szCs w:val="21"/>
              </w:rPr>
              <w:t>本条款增加规定：</w:t>
            </w:r>
          </w:p>
          <w:p w14:paraId="19B7A2EF">
            <w:pPr>
              <w:autoSpaceDE w:val="0"/>
              <w:autoSpaceDN w:val="0"/>
              <w:spacing w:after="0" w:line="240" w:lineRule="auto"/>
              <w:rPr>
                <w:rFonts w:hint="eastAsia" w:ascii="宋体" w:hAnsi="宋体" w:cs="宋体"/>
                <w:szCs w:val="21"/>
              </w:rPr>
            </w:pPr>
            <w:r>
              <w:rPr>
                <w:rFonts w:hint="eastAsia" w:ascii="宋体" w:hAnsi="宋体" w:cs="宋体"/>
                <w:szCs w:val="21"/>
              </w:rPr>
              <w:t>1、投标文件编制完成后按规定使用信鉴易电子印章阅读器进行电子签章，完成电子签章后上传到中易电子交易平台（http://www.cotenders.cn）。</w:t>
            </w:r>
          </w:p>
          <w:p w14:paraId="0C063919">
            <w:pPr>
              <w:autoSpaceDE w:val="0"/>
              <w:autoSpaceDN w:val="0"/>
              <w:spacing w:after="0" w:line="240" w:lineRule="auto"/>
              <w:rPr>
                <w:rFonts w:hint="eastAsia" w:ascii="宋体" w:hAnsi="宋体" w:cs="宋体"/>
                <w:szCs w:val="21"/>
              </w:rPr>
            </w:pPr>
            <w:r>
              <w:rPr>
                <w:rFonts w:hint="eastAsia" w:ascii="宋体" w:hAnsi="宋体" w:cs="宋体"/>
                <w:szCs w:val="21"/>
              </w:rPr>
              <w:t>2、投标文件每一页均须进行电子签章，投标单位在选择电子签章方式时，可选择“批量签章”方式。</w:t>
            </w:r>
          </w:p>
          <w:p w14:paraId="7A309D82">
            <w:pPr>
              <w:autoSpaceDE w:val="0"/>
              <w:autoSpaceDN w:val="0"/>
              <w:spacing w:after="0" w:line="240" w:lineRule="auto"/>
              <w:rPr>
                <w:rFonts w:hint="eastAsia" w:ascii="宋体" w:hAnsi="宋体" w:cs="宋体"/>
                <w:szCs w:val="21"/>
              </w:rPr>
            </w:pPr>
            <w:r>
              <w:rPr>
                <w:rFonts w:hint="eastAsia" w:ascii="宋体" w:hAnsi="宋体" w:cs="宋体"/>
                <w:szCs w:val="21"/>
              </w:rPr>
              <w:t>在电子投标（响应）文件及相关的其他电子资料中，涉及“法定代表人签字”或“委托代理人签字”应在纸质投标（响应）文件上进行手写签名，或通过中证客户端使用电子签名完成。</w:t>
            </w:r>
          </w:p>
          <w:p w14:paraId="2194B678">
            <w:pPr>
              <w:autoSpaceDE w:val="0"/>
              <w:autoSpaceDN w:val="0"/>
              <w:spacing w:after="0" w:line="240" w:lineRule="auto"/>
              <w:rPr>
                <w:rFonts w:hint="eastAsia" w:ascii="宋体" w:hAnsi="宋体" w:cs="宋体"/>
                <w:szCs w:val="21"/>
              </w:rPr>
            </w:pPr>
            <w:r>
              <w:rPr>
                <w:rFonts w:hint="eastAsia" w:ascii="宋体" w:hAnsi="宋体" w:cs="宋体"/>
                <w:szCs w:val="21"/>
              </w:rPr>
              <w:t>3、须进行电子签章的地方，在该页有签章即可，未加盖在指定位置的也视为有效。</w:t>
            </w:r>
          </w:p>
          <w:p w14:paraId="73B74ABC">
            <w:pPr>
              <w:autoSpaceDE w:val="0"/>
              <w:autoSpaceDN w:val="0"/>
              <w:spacing w:after="0" w:line="240" w:lineRule="auto"/>
              <w:rPr>
                <w:rFonts w:hint="eastAsia" w:ascii="宋体" w:hAnsi="宋体" w:cs="宋体"/>
                <w:szCs w:val="21"/>
              </w:rPr>
            </w:pPr>
            <w:r>
              <w:rPr>
                <w:rFonts w:hint="eastAsia" w:ascii="宋体" w:hAnsi="宋体" w:cs="宋体"/>
                <w:szCs w:val="21"/>
              </w:rPr>
              <w:t>4、投标文件中凡出现投标人单位落款的地方应盖单位公章;凡出现投标人的法定代表人(负责人)或其授权人签字的地方应签字，如使用依照国家行政部门要求已备案的投标专用章、业务专用章的，应提供所使用印章的合法备案证明(复印件需加盖公章)。(联合体投标的，除资格性文件和《联合体协议书》需联合体各方各自盖章签字外，投标文件其他内容中的“投标人”由联合体牵头方盖章或签字)</w:t>
            </w:r>
          </w:p>
          <w:p w14:paraId="46CA69DD">
            <w:pPr>
              <w:autoSpaceDE w:val="0"/>
              <w:autoSpaceDN w:val="0"/>
              <w:spacing w:after="0" w:line="240" w:lineRule="auto"/>
              <w:rPr>
                <w:rFonts w:hint="eastAsia" w:ascii="宋体" w:hAnsi="宋体" w:cs="宋体"/>
                <w:szCs w:val="21"/>
              </w:rPr>
            </w:pPr>
            <w:r>
              <w:rPr>
                <w:rFonts w:hint="eastAsia" w:ascii="宋体" w:hAnsi="宋体" w:cs="宋体"/>
                <w:szCs w:val="21"/>
              </w:rPr>
              <w:t>请按上述要求制作投标文件，否则其投标将被否决。</w:t>
            </w:r>
          </w:p>
        </w:tc>
      </w:tr>
      <w:tr w14:paraId="03467F9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18" w:hRule="atLeast"/>
        </w:trPr>
        <w:tc>
          <w:tcPr>
            <w:tcW w:w="0" w:type="auto"/>
            <w:vAlign w:val="center"/>
          </w:tcPr>
          <w:p w14:paraId="2AD4F17A">
            <w:pPr>
              <w:autoSpaceDE w:val="0"/>
              <w:autoSpaceDN w:val="0"/>
              <w:spacing w:after="0" w:line="240" w:lineRule="auto"/>
              <w:jc w:val="center"/>
              <w:rPr>
                <w:rFonts w:hint="eastAsia" w:ascii="宋体" w:hAnsi="宋体" w:cs="宋体"/>
                <w:szCs w:val="21"/>
              </w:rPr>
            </w:pPr>
            <w:r>
              <w:rPr>
                <w:rFonts w:ascii="宋体" w:hAnsi="宋体" w:cs="宋体"/>
                <w:szCs w:val="21"/>
              </w:rPr>
              <w:t>3.3.3</w:t>
            </w:r>
          </w:p>
        </w:tc>
        <w:tc>
          <w:tcPr>
            <w:tcW w:w="1720" w:type="dxa"/>
            <w:vAlign w:val="center"/>
          </w:tcPr>
          <w:p w14:paraId="4640A365">
            <w:pPr>
              <w:autoSpaceDE w:val="0"/>
              <w:autoSpaceDN w:val="0"/>
              <w:spacing w:after="0" w:line="240" w:lineRule="auto"/>
              <w:rPr>
                <w:rFonts w:hint="eastAsia" w:ascii="宋体" w:hAnsi="宋体" w:cs="宋体"/>
                <w:szCs w:val="21"/>
              </w:rPr>
            </w:pPr>
            <w:r>
              <w:rPr>
                <w:rFonts w:hint="eastAsia" w:ascii="宋体" w:hAnsi="宋体" w:cs="宋体"/>
                <w:szCs w:val="21"/>
              </w:rPr>
              <w:t>★</w:t>
            </w:r>
            <w:r>
              <w:rPr>
                <w:rFonts w:hint="eastAsia" w:ascii="宋体" w:hAnsi="宋体"/>
                <w:szCs w:val="21"/>
              </w:rPr>
              <w:t>最高投标限价或者其计算方法</w:t>
            </w:r>
          </w:p>
        </w:tc>
        <w:tc>
          <w:tcPr>
            <w:tcW w:w="7473" w:type="dxa"/>
            <w:vAlign w:val="center"/>
          </w:tcPr>
          <w:p w14:paraId="38C93DDF">
            <w:pPr>
              <w:autoSpaceDE w:val="0"/>
              <w:autoSpaceDN w:val="0"/>
              <w:spacing w:after="0" w:line="240" w:lineRule="auto"/>
              <w:rPr>
                <w:rFonts w:hint="eastAsia" w:ascii="宋体" w:hAnsi="宋体" w:cs="宋体"/>
                <w:szCs w:val="21"/>
              </w:rPr>
            </w:pPr>
            <w:r>
              <w:rPr>
                <w:rFonts w:hint="eastAsia" w:ascii="宋体" w:hAnsi="宋体" w:cs="宋体"/>
                <w:szCs w:val="21"/>
              </w:rPr>
              <w:t>□不设置最高投标限价</w:t>
            </w:r>
          </w:p>
          <w:p w14:paraId="1B57683C">
            <w:pPr>
              <w:autoSpaceDE w:val="0"/>
              <w:autoSpaceDN w:val="0"/>
              <w:spacing w:after="0" w:line="240" w:lineRule="auto"/>
              <w:rPr>
                <w:rFonts w:hint="eastAsia" w:ascii="宋体" w:hAnsi="宋体" w:cs="宋体"/>
                <w:szCs w:val="21"/>
                <w:u w:val="single"/>
              </w:rPr>
            </w:pPr>
            <w:r>
              <w:rPr>
                <w:rFonts w:hint="eastAsia" w:ascii="宋体" w:hAnsi="宋体" w:cs="宋体"/>
                <w:szCs w:val="21"/>
              </w:rPr>
              <w:sym w:font="Wingdings 2" w:char="F052"/>
            </w:r>
            <w:r>
              <w:rPr>
                <w:rFonts w:hint="eastAsia" w:ascii="宋体" w:hAnsi="宋体" w:cs="宋体"/>
                <w:szCs w:val="21"/>
              </w:rPr>
              <w:t>设置最高投标限价。</w:t>
            </w:r>
            <w:r>
              <w:rPr>
                <w:rFonts w:hint="eastAsia" w:ascii="宋体" w:hAnsi="宋体" w:cs="宋体"/>
                <w:b/>
                <w:szCs w:val="21"/>
              </w:rPr>
              <w:t>投标报价不得超过最高限价，</w:t>
            </w:r>
            <w:r>
              <w:rPr>
                <w:rFonts w:hint="eastAsia" w:ascii="宋体" w:hAnsi="宋体" w:cs="宋体"/>
                <w:szCs w:val="21"/>
              </w:rPr>
              <w:t>详见第六章 十</w:t>
            </w:r>
            <w:r>
              <w:rPr>
                <w:rFonts w:hint="eastAsia" w:ascii="宋体" w:hAnsi="宋体" w:cs="宋体"/>
                <w:szCs w:val="21"/>
                <w:lang w:val="en-US" w:eastAsia="zh-CN"/>
              </w:rPr>
              <w:t>六</w:t>
            </w:r>
            <w:r>
              <w:rPr>
                <w:rFonts w:hint="eastAsia" w:ascii="宋体" w:hAnsi="宋体" w:cs="宋体"/>
                <w:szCs w:val="21"/>
              </w:rPr>
              <w:t>、报价一览表</w:t>
            </w:r>
            <w:r>
              <w:rPr>
                <w:rFonts w:ascii="宋体" w:hAnsi="宋体" w:cs="宋体"/>
                <w:szCs w:val="21"/>
              </w:rPr>
              <w:t>。</w:t>
            </w:r>
          </w:p>
        </w:tc>
      </w:tr>
      <w:tr w14:paraId="4F3565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4298B93D">
            <w:pPr>
              <w:autoSpaceDE w:val="0"/>
              <w:autoSpaceDN w:val="0"/>
              <w:spacing w:after="0" w:line="240" w:lineRule="auto"/>
              <w:jc w:val="center"/>
              <w:rPr>
                <w:rFonts w:hint="eastAsia" w:ascii="宋体" w:hAnsi="宋体" w:cs="宋体"/>
                <w:szCs w:val="21"/>
              </w:rPr>
            </w:pPr>
            <w:r>
              <w:rPr>
                <w:rFonts w:ascii="宋体" w:hAnsi="宋体" w:cs="宋体"/>
                <w:szCs w:val="21"/>
              </w:rPr>
              <w:t>3.3.5</w:t>
            </w:r>
          </w:p>
        </w:tc>
        <w:tc>
          <w:tcPr>
            <w:tcW w:w="1720" w:type="dxa"/>
            <w:vAlign w:val="center"/>
          </w:tcPr>
          <w:p w14:paraId="780731A6">
            <w:pPr>
              <w:autoSpaceDE w:val="0"/>
              <w:autoSpaceDN w:val="0"/>
              <w:spacing w:after="0" w:line="240" w:lineRule="auto"/>
              <w:rPr>
                <w:rFonts w:hint="eastAsia" w:ascii="宋体" w:hAnsi="宋体" w:cs="宋体"/>
                <w:szCs w:val="21"/>
              </w:rPr>
            </w:pPr>
            <w:r>
              <w:rPr>
                <w:rFonts w:hint="eastAsia" w:ascii="宋体" w:hAnsi="宋体" w:cs="宋体"/>
                <w:szCs w:val="21"/>
              </w:rPr>
              <w:t>投标报价</w:t>
            </w:r>
            <w:r>
              <w:rPr>
                <w:rFonts w:hint="eastAsia" w:ascii="宋体" w:hAnsi="宋体"/>
                <w:szCs w:val="21"/>
              </w:rPr>
              <w:t>优惠条件</w:t>
            </w:r>
          </w:p>
        </w:tc>
        <w:tc>
          <w:tcPr>
            <w:tcW w:w="7473" w:type="dxa"/>
            <w:vAlign w:val="center"/>
          </w:tcPr>
          <w:p w14:paraId="4708B201">
            <w:pPr>
              <w:autoSpaceDE w:val="0"/>
              <w:autoSpaceDN w:val="0"/>
              <w:spacing w:after="0" w:line="240" w:lineRule="auto"/>
              <w:rPr>
                <w:rFonts w:hint="eastAsia" w:ascii="宋体" w:hAnsi="宋体" w:cs="宋体"/>
                <w:szCs w:val="21"/>
              </w:rPr>
            </w:pPr>
            <w:r>
              <w:rPr>
                <w:rFonts w:hint="eastAsia" w:ascii="宋体" w:hAnsi="宋体" w:cs="宋体"/>
                <w:szCs w:val="21"/>
              </w:rPr>
              <w:t>□报优惠价</w:t>
            </w:r>
          </w:p>
          <w:p w14:paraId="33A19E37">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不接受报优惠价</w:t>
            </w:r>
          </w:p>
          <w:p w14:paraId="5A3F7341">
            <w:pPr>
              <w:autoSpaceDE w:val="0"/>
              <w:autoSpaceDN w:val="0"/>
              <w:spacing w:after="0" w:line="240" w:lineRule="auto"/>
              <w:rPr>
                <w:rFonts w:hint="eastAsia" w:ascii="宋体" w:hAnsi="宋体" w:cs="宋体"/>
                <w:szCs w:val="21"/>
                <w:u w:val="single"/>
              </w:rPr>
            </w:pPr>
            <w:r>
              <w:rPr>
                <w:rFonts w:hint="eastAsia" w:ascii="宋体" w:hAnsi="宋体" w:cs="宋体"/>
                <w:szCs w:val="21"/>
              </w:rPr>
              <w:t>□报优惠价的其他方式：</w:t>
            </w:r>
          </w:p>
        </w:tc>
      </w:tr>
      <w:tr w14:paraId="7DF2DBB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4E780E2C">
            <w:pPr>
              <w:autoSpaceDE w:val="0"/>
              <w:autoSpaceDN w:val="0"/>
              <w:spacing w:after="0" w:line="240" w:lineRule="auto"/>
              <w:jc w:val="center"/>
              <w:rPr>
                <w:rFonts w:hint="eastAsia" w:ascii="宋体" w:hAnsi="宋体" w:cs="宋体"/>
                <w:szCs w:val="21"/>
              </w:rPr>
            </w:pPr>
            <w:r>
              <w:rPr>
                <w:rFonts w:ascii="宋体" w:hAnsi="宋体" w:cs="宋体"/>
                <w:szCs w:val="21"/>
              </w:rPr>
              <w:t>3.3.6</w:t>
            </w:r>
          </w:p>
        </w:tc>
        <w:tc>
          <w:tcPr>
            <w:tcW w:w="1720" w:type="dxa"/>
            <w:vAlign w:val="center"/>
          </w:tcPr>
          <w:p w14:paraId="6EC4941C">
            <w:pPr>
              <w:autoSpaceDE w:val="0"/>
              <w:autoSpaceDN w:val="0"/>
              <w:spacing w:after="0" w:line="240" w:lineRule="auto"/>
              <w:rPr>
                <w:rFonts w:hint="eastAsia" w:ascii="宋体" w:hAnsi="宋体" w:cs="宋体"/>
                <w:szCs w:val="21"/>
              </w:rPr>
            </w:pPr>
            <w:r>
              <w:rPr>
                <w:rFonts w:hint="eastAsia" w:ascii="宋体" w:hAnsi="宋体" w:cs="宋体"/>
                <w:szCs w:val="21"/>
              </w:rPr>
              <w:t>投标报价具体要求</w:t>
            </w:r>
          </w:p>
        </w:tc>
        <w:tc>
          <w:tcPr>
            <w:tcW w:w="7473" w:type="dxa"/>
            <w:vAlign w:val="center"/>
          </w:tcPr>
          <w:p w14:paraId="0672E61E">
            <w:pPr>
              <w:autoSpaceDE w:val="0"/>
              <w:autoSpaceDN w:val="0"/>
              <w:spacing w:after="0" w:line="240" w:lineRule="auto"/>
              <w:rPr>
                <w:rFonts w:hint="eastAsia" w:ascii="宋体" w:hAnsi="宋体" w:cs="宋体"/>
                <w:b/>
                <w:szCs w:val="21"/>
              </w:rPr>
            </w:pPr>
            <w:r>
              <w:rPr>
                <w:rFonts w:hint="eastAsia" w:ascii="宋体" w:hAnsi="宋体" w:cs="宋体"/>
                <w:b/>
                <w:szCs w:val="21"/>
              </w:rPr>
              <w:t>本项目</w:t>
            </w:r>
            <w:r>
              <w:rPr>
                <w:rFonts w:hint="eastAsia" w:ascii="宋体" w:hAnsi="宋体" w:cs="宋体"/>
                <w:b/>
                <w:bCs/>
                <w:szCs w:val="21"/>
              </w:rPr>
              <w:t>投标报价方式采用</w:t>
            </w:r>
            <w:r>
              <w:rPr>
                <w:rFonts w:hint="eastAsia" w:ascii="宋体" w:hAnsi="宋体" w:cs="宋体"/>
                <w:b/>
                <w:szCs w:val="21"/>
              </w:rPr>
              <w:t>总价报价，所报总价不得超过总价金额最高限价，</w:t>
            </w:r>
            <w:r>
              <w:rPr>
                <w:rFonts w:hint="eastAsia" w:ascii="宋体" w:hAnsi="宋体" w:cs="宋体"/>
                <w:szCs w:val="21"/>
              </w:rPr>
              <w:t>总价以四舍五入的方式精确到小数点后两位</w:t>
            </w:r>
            <w:r>
              <w:rPr>
                <w:rFonts w:hint="eastAsia" w:ascii="宋体" w:hAnsi="宋体" w:cs="宋体"/>
                <w:b/>
                <w:szCs w:val="21"/>
              </w:rPr>
              <w:t>。</w:t>
            </w:r>
            <w:r>
              <w:rPr>
                <w:rFonts w:hint="eastAsia" w:ascii="宋体" w:hAnsi="宋体" w:cs="宋体"/>
                <w:bCs/>
                <w:szCs w:val="21"/>
              </w:rPr>
              <w:t>同时投标人须提供</w:t>
            </w:r>
            <w:r>
              <w:rPr>
                <w:rFonts w:hint="eastAsia" w:ascii="宋体" w:hAnsi="宋体" w:cs="宋体"/>
                <w:b/>
                <w:szCs w:val="21"/>
              </w:rPr>
              <w:t>附件：分项报价表</w:t>
            </w:r>
          </w:p>
          <w:p w14:paraId="00F2CEC4">
            <w:pPr>
              <w:autoSpaceDE w:val="0"/>
              <w:autoSpaceDN w:val="0"/>
              <w:spacing w:after="0" w:line="240" w:lineRule="auto"/>
              <w:rPr>
                <w:rFonts w:hint="eastAsia" w:ascii="宋体" w:hAnsi="宋体" w:cs="宋体"/>
                <w:szCs w:val="21"/>
              </w:rPr>
            </w:pPr>
            <w:r>
              <w:rPr>
                <w:rFonts w:hint="eastAsia" w:ascii="宋体" w:hAnsi="宋体" w:cs="宋体"/>
                <w:szCs w:val="21"/>
              </w:rPr>
              <w:t>具体要求详见：报价一览表。</w:t>
            </w:r>
          </w:p>
        </w:tc>
      </w:tr>
      <w:tr w14:paraId="35F2D8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47" w:hRule="atLeast"/>
        </w:trPr>
        <w:tc>
          <w:tcPr>
            <w:tcW w:w="0" w:type="auto"/>
            <w:vAlign w:val="center"/>
          </w:tcPr>
          <w:p w14:paraId="68E3E341">
            <w:pPr>
              <w:autoSpaceDE w:val="0"/>
              <w:autoSpaceDN w:val="0"/>
              <w:spacing w:after="0" w:line="240" w:lineRule="auto"/>
              <w:jc w:val="center"/>
              <w:rPr>
                <w:rFonts w:hint="eastAsia" w:ascii="宋体" w:hAnsi="宋体" w:cs="宋体"/>
                <w:szCs w:val="21"/>
              </w:rPr>
            </w:pPr>
            <w:r>
              <w:rPr>
                <w:rFonts w:ascii="宋体" w:hAnsi="宋体" w:cs="宋体"/>
                <w:szCs w:val="21"/>
              </w:rPr>
              <w:t>3.4.1</w:t>
            </w:r>
          </w:p>
        </w:tc>
        <w:tc>
          <w:tcPr>
            <w:tcW w:w="1720" w:type="dxa"/>
            <w:vAlign w:val="center"/>
          </w:tcPr>
          <w:p w14:paraId="09923006">
            <w:pPr>
              <w:autoSpaceDE w:val="0"/>
              <w:autoSpaceDN w:val="0"/>
              <w:spacing w:after="0" w:line="240" w:lineRule="auto"/>
              <w:rPr>
                <w:rFonts w:hint="eastAsia" w:ascii="宋体" w:hAnsi="宋体" w:cs="宋体"/>
                <w:szCs w:val="21"/>
              </w:rPr>
            </w:pPr>
            <w:r>
              <w:rPr>
                <w:rFonts w:hint="eastAsia" w:ascii="宋体" w:hAnsi="宋体" w:cs="宋体"/>
                <w:szCs w:val="21"/>
              </w:rPr>
              <w:t>★投标有效期</w:t>
            </w:r>
          </w:p>
        </w:tc>
        <w:tc>
          <w:tcPr>
            <w:tcW w:w="7473" w:type="dxa"/>
            <w:vAlign w:val="center"/>
          </w:tcPr>
          <w:p w14:paraId="48490FE0">
            <w:pPr>
              <w:autoSpaceDE w:val="0"/>
              <w:autoSpaceDN w:val="0"/>
              <w:spacing w:after="0" w:line="240" w:lineRule="auto"/>
              <w:rPr>
                <w:rFonts w:hint="eastAsia" w:ascii="宋体" w:hAnsi="宋体" w:cs="宋体"/>
                <w:szCs w:val="21"/>
              </w:rPr>
            </w:pPr>
            <w:r>
              <w:rPr>
                <w:rFonts w:hint="eastAsia" w:ascii="宋体" w:hAnsi="宋体" w:cs="宋体"/>
                <w:szCs w:val="21"/>
              </w:rPr>
              <w:t>投标有效期：</w:t>
            </w:r>
            <w:r>
              <w:rPr>
                <w:rFonts w:ascii="宋体" w:hAnsi="宋体" w:cs="宋体"/>
                <w:szCs w:val="21"/>
              </w:rPr>
              <w:t>120</w:t>
            </w:r>
            <w:r>
              <w:rPr>
                <w:rFonts w:hint="eastAsia" w:ascii="宋体" w:hAnsi="宋体" w:cs="宋体"/>
                <w:szCs w:val="21"/>
              </w:rPr>
              <w:t>天。</w:t>
            </w:r>
          </w:p>
        </w:tc>
      </w:tr>
      <w:tr w14:paraId="1D68F6C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42" w:hRule="atLeast"/>
        </w:trPr>
        <w:tc>
          <w:tcPr>
            <w:tcW w:w="0" w:type="auto"/>
            <w:vAlign w:val="center"/>
          </w:tcPr>
          <w:p w14:paraId="407A7EB5">
            <w:pPr>
              <w:autoSpaceDE w:val="0"/>
              <w:autoSpaceDN w:val="0"/>
              <w:spacing w:after="0" w:line="240" w:lineRule="auto"/>
              <w:jc w:val="center"/>
              <w:rPr>
                <w:rFonts w:hint="eastAsia" w:ascii="宋体" w:hAnsi="宋体" w:cs="宋体"/>
                <w:szCs w:val="21"/>
              </w:rPr>
            </w:pPr>
            <w:r>
              <w:rPr>
                <w:rFonts w:ascii="宋体" w:hAnsi="宋体" w:cs="宋体"/>
                <w:szCs w:val="21"/>
              </w:rPr>
              <w:t>3.5.1</w:t>
            </w:r>
          </w:p>
        </w:tc>
        <w:tc>
          <w:tcPr>
            <w:tcW w:w="1720" w:type="dxa"/>
            <w:vAlign w:val="center"/>
          </w:tcPr>
          <w:p w14:paraId="365BACB6">
            <w:pPr>
              <w:autoSpaceDE w:val="0"/>
              <w:autoSpaceDN w:val="0"/>
              <w:spacing w:after="0" w:line="240" w:lineRule="auto"/>
              <w:rPr>
                <w:rFonts w:hint="eastAsia" w:ascii="宋体" w:hAnsi="宋体" w:cs="宋体"/>
                <w:szCs w:val="21"/>
              </w:rPr>
            </w:pPr>
            <w:r>
              <w:rPr>
                <w:rFonts w:hint="eastAsia" w:ascii="宋体" w:hAnsi="宋体" w:cs="宋体"/>
                <w:szCs w:val="21"/>
              </w:rPr>
              <w:t>★保证金金额</w:t>
            </w:r>
          </w:p>
        </w:tc>
        <w:tc>
          <w:tcPr>
            <w:tcW w:w="7473" w:type="dxa"/>
            <w:vAlign w:val="center"/>
          </w:tcPr>
          <w:p w14:paraId="75FD9C7A">
            <w:pPr>
              <w:autoSpaceDE w:val="0"/>
              <w:autoSpaceDN w:val="0"/>
              <w:spacing w:after="0" w:line="240" w:lineRule="auto"/>
              <w:jc w:val="left"/>
              <w:rPr>
                <w:rFonts w:hint="eastAsia" w:ascii="宋体" w:hAnsi="宋体" w:cs="宋体"/>
                <w:b/>
                <w:szCs w:val="21"/>
              </w:rPr>
            </w:pPr>
            <w:r>
              <w:rPr>
                <w:rFonts w:hint="eastAsia" w:ascii="宋体" w:hAnsi="宋体" w:cs="宋体"/>
                <w:b/>
                <w:szCs w:val="21"/>
              </w:rPr>
              <w:t>本项目不需要缴纳投标保证金。</w:t>
            </w:r>
          </w:p>
        </w:tc>
      </w:tr>
      <w:tr w14:paraId="0B4B675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5ECFC68C">
            <w:pPr>
              <w:autoSpaceDE w:val="0"/>
              <w:autoSpaceDN w:val="0"/>
              <w:spacing w:after="0" w:line="240" w:lineRule="auto"/>
              <w:jc w:val="center"/>
              <w:rPr>
                <w:rFonts w:hint="eastAsia" w:ascii="宋体" w:hAnsi="宋体" w:cs="宋体"/>
                <w:szCs w:val="21"/>
              </w:rPr>
            </w:pPr>
            <w:r>
              <w:rPr>
                <w:rFonts w:ascii="宋体" w:hAnsi="宋体" w:cs="宋体"/>
                <w:szCs w:val="21"/>
              </w:rPr>
              <w:t>3.5.2</w:t>
            </w:r>
          </w:p>
        </w:tc>
        <w:tc>
          <w:tcPr>
            <w:tcW w:w="1720" w:type="dxa"/>
            <w:vAlign w:val="center"/>
          </w:tcPr>
          <w:p w14:paraId="6400C0AC">
            <w:pPr>
              <w:autoSpaceDE w:val="0"/>
              <w:autoSpaceDN w:val="0"/>
              <w:spacing w:after="0" w:line="240" w:lineRule="auto"/>
              <w:rPr>
                <w:rFonts w:hint="eastAsia" w:ascii="宋体" w:hAnsi="宋体" w:cs="宋体"/>
                <w:szCs w:val="21"/>
              </w:rPr>
            </w:pPr>
            <w:r>
              <w:rPr>
                <w:rFonts w:hint="eastAsia" w:ascii="宋体" w:hAnsi="宋体" w:cs="宋体"/>
                <w:szCs w:val="21"/>
              </w:rPr>
              <w:t>★保证金形式</w:t>
            </w:r>
          </w:p>
        </w:tc>
        <w:tc>
          <w:tcPr>
            <w:tcW w:w="7473" w:type="dxa"/>
            <w:vAlign w:val="center"/>
          </w:tcPr>
          <w:p w14:paraId="0BEC8232">
            <w:pPr>
              <w:autoSpaceDE w:val="0"/>
              <w:autoSpaceDN w:val="0"/>
              <w:spacing w:after="0" w:line="240" w:lineRule="auto"/>
              <w:rPr>
                <w:rFonts w:hint="eastAsia" w:ascii="宋体" w:hAnsi="宋体"/>
                <w:szCs w:val="21"/>
              </w:rPr>
            </w:pPr>
            <w:r>
              <w:rPr>
                <w:rFonts w:hint="eastAsia" w:ascii="宋体" w:hAnsi="宋体" w:cs="宋体"/>
                <w:b/>
                <w:szCs w:val="21"/>
              </w:rPr>
              <w:t>本项目不需要缴纳投标保证金。</w:t>
            </w:r>
          </w:p>
        </w:tc>
      </w:tr>
      <w:tr w14:paraId="6CDA1D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66C96B9F">
            <w:pPr>
              <w:autoSpaceDE w:val="0"/>
              <w:autoSpaceDN w:val="0"/>
              <w:spacing w:after="0" w:line="240" w:lineRule="auto"/>
              <w:jc w:val="center"/>
              <w:rPr>
                <w:rFonts w:hint="eastAsia" w:ascii="宋体" w:hAnsi="宋体" w:cs="宋体"/>
                <w:szCs w:val="21"/>
              </w:rPr>
            </w:pPr>
            <w:r>
              <w:rPr>
                <w:rFonts w:ascii="宋体" w:hAnsi="宋体" w:cs="宋体"/>
                <w:szCs w:val="21"/>
              </w:rPr>
              <w:t>3.5.4</w:t>
            </w:r>
          </w:p>
        </w:tc>
        <w:tc>
          <w:tcPr>
            <w:tcW w:w="1720" w:type="dxa"/>
            <w:vAlign w:val="center"/>
          </w:tcPr>
          <w:p w14:paraId="583290DF">
            <w:pPr>
              <w:autoSpaceDE w:val="0"/>
              <w:autoSpaceDN w:val="0"/>
              <w:spacing w:after="0" w:line="240" w:lineRule="auto"/>
              <w:rPr>
                <w:rFonts w:hint="eastAsia" w:ascii="宋体" w:hAnsi="宋体" w:cs="宋体"/>
                <w:szCs w:val="21"/>
              </w:rPr>
            </w:pPr>
            <w:r>
              <w:rPr>
                <w:rFonts w:hint="eastAsia" w:ascii="宋体" w:hAnsi="宋体" w:cs="宋体"/>
                <w:szCs w:val="21"/>
              </w:rPr>
              <w:t>投标保证金不予退还的其他规定</w:t>
            </w:r>
          </w:p>
        </w:tc>
        <w:tc>
          <w:tcPr>
            <w:tcW w:w="7473" w:type="dxa"/>
            <w:vAlign w:val="center"/>
          </w:tcPr>
          <w:p w14:paraId="26EC9A3F">
            <w:pPr>
              <w:autoSpaceDE w:val="0"/>
              <w:autoSpaceDN w:val="0"/>
              <w:spacing w:after="0" w:line="240" w:lineRule="auto"/>
              <w:rPr>
                <w:rFonts w:hint="eastAsia" w:ascii="宋体" w:hAnsi="宋体" w:cs="宋体"/>
                <w:szCs w:val="21"/>
              </w:rPr>
            </w:pPr>
            <w:r>
              <w:rPr>
                <w:rFonts w:hint="eastAsia" w:ascii="宋体" w:hAnsi="宋体" w:cs="宋体"/>
                <w:szCs w:val="21"/>
              </w:rPr>
              <w:t>本条款增加以下规定：</w:t>
            </w:r>
          </w:p>
          <w:p w14:paraId="5DE6378E">
            <w:pPr>
              <w:autoSpaceDE w:val="0"/>
              <w:autoSpaceDN w:val="0"/>
              <w:spacing w:after="0" w:line="240" w:lineRule="auto"/>
              <w:rPr>
                <w:rFonts w:hint="eastAsia" w:ascii="宋体" w:hAnsi="宋体" w:cs="宋体"/>
                <w:szCs w:val="21"/>
              </w:rPr>
            </w:pPr>
            <w:r>
              <w:rPr>
                <w:rFonts w:ascii="宋体" w:hAnsi="宋体" w:cs="宋体"/>
                <w:szCs w:val="21"/>
              </w:rPr>
              <w:t>1</w:t>
            </w:r>
            <w:r>
              <w:rPr>
                <w:rFonts w:hint="eastAsia" w:ascii="宋体" w:hAnsi="宋体" w:cs="宋体"/>
                <w:szCs w:val="21"/>
              </w:rPr>
              <w:t>、投标人在投标文件中提供虚假的文件和材料，意图骗取成交的。</w:t>
            </w:r>
          </w:p>
          <w:p w14:paraId="63EE262A">
            <w:pPr>
              <w:autoSpaceDE w:val="0"/>
              <w:autoSpaceDN w:val="0"/>
              <w:spacing w:after="0" w:line="240" w:lineRule="auto"/>
              <w:rPr>
                <w:rFonts w:hint="eastAsia" w:ascii="宋体" w:hAnsi="宋体" w:cs="宋体"/>
                <w:szCs w:val="21"/>
              </w:rPr>
            </w:pPr>
            <w:r>
              <w:rPr>
                <w:rFonts w:ascii="宋体" w:hAnsi="宋体" w:cs="宋体"/>
                <w:szCs w:val="21"/>
              </w:rPr>
              <w:t>2</w:t>
            </w:r>
            <w:r>
              <w:rPr>
                <w:rFonts w:hint="eastAsia" w:ascii="宋体" w:hAnsi="宋体" w:cs="宋体"/>
                <w:szCs w:val="21"/>
              </w:rPr>
              <w:t>、投标人相互串通投标或者与招标人串通投标的，投标人向招标人或者评审委员会成员行贿谋取成交的。</w:t>
            </w:r>
          </w:p>
          <w:p w14:paraId="423B0275">
            <w:pPr>
              <w:autoSpaceDE w:val="0"/>
              <w:autoSpaceDN w:val="0"/>
              <w:spacing w:after="0" w:line="240" w:lineRule="auto"/>
              <w:rPr>
                <w:rFonts w:hint="eastAsia" w:ascii="宋体" w:hAnsi="宋体" w:cs="宋体"/>
                <w:szCs w:val="21"/>
              </w:rPr>
            </w:pPr>
            <w:r>
              <w:rPr>
                <w:rFonts w:ascii="宋体" w:hAnsi="宋体" w:cs="宋体"/>
                <w:szCs w:val="21"/>
              </w:rPr>
              <w:t>3</w:t>
            </w:r>
            <w:r>
              <w:rPr>
                <w:rFonts w:hint="eastAsia" w:ascii="宋体" w:hAnsi="宋体" w:cs="宋体"/>
                <w:szCs w:val="21"/>
              </w:rPr>
              <w:t>、中标人未能按照招标文件规定提交招标代理服务费的。</w:t>
            </w:r>
          </w:p>
        </w:tc>
      </w:tr>
      <w:tr w14:paraId="574C95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06A0AC18">
            <w:pPr>
              <w:autoSpaceDE w:val="0"/>
              <w:autoSpaceDN w:val="0"/>
              <w:spacing w:after="0" w:line="240" w:lineRule="auto"/>
              <w:jc w:val="center"/>
              <w:rPr>
                <w:rFonts w:hint="eastAsia" w:ascii="宋体" w:hAnsi="宋体" w:cs="宋体"/>
                <w:szCs w:val="21"/>
              </w:rPr>
            </w:pPr>
            <w:r>
              <w:rPr>
                <w:rFonts w:ascii="宋体" w:hAnsi="宋体" w:cs="宋体"/>
                <w:szCs w:val="21"/>
              </w:rPr>
              <w:t>3.6.1</w:t>
            </w:r>
          </w:p>
        </w:tc>
        <w:tc>
          <w:tcPr>
            <w:tcW w:w="1720" w:type="dxa"/>
            <w:vAlign w:val="center"/>
          </w:tcPr>
          <w:p w14:paraId="5CF6BCCE">
            <w:pPr>
              <w:autoSpaceDE w:val="0"/>
              <w:autoSpaceDN w:val="0"/>
              <w:spacing w:after="0" w:line="240" w:lineRule="auto"/>
              <w:rPr>
                <w:rFonts w:hint="eastAsia" w:ascii="宋体" w:hAnsi="宋体" w:cs="宋体"/>
                <w:szCs w:val="21"/>
              </w:rPr>
            </w:pPr>
            <w:r>
              <w:rPr>
                <w:rFonts w:hint="eastAsia" w:ascii="宋体" w:hAnsi="宋体" w:cs="宋体"/>
                <w:szCs w:val="21"/>
              </w:rPr>
              <w:t>备选投标方案</w:t>
            </w:r>
          </w:p>
        </w:tc>
        <w:tc>
          <w:tcPr>
            <w:tcW w:w="7473" w:type="dxa"/>
            <w:vAlign w:val="center"/>
          </w:tcPr>
          <w:p w14:paraId="00B60B7F">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不允许</w:t>
            </w:r>
          </w:p>
          <w:p w14:paraId="62E3C6C0">
            <w:pPr>
              <w:autoSpaceDE w:val="0"/>
              <w:autoSpaceDN w:val="0"/>
              <w:spacing w:after="0" w:line="240" w:lineRule="auto"/>
              <w:rPr>
                <w:rFonts w:hint="eastAsia" w:ascii="宋体" w:hAnsi="宋体" w:cs="宋体"/>
                <w:szCs w:val="21"/>
              </w:rPr>
            </w:pPr>
            <w:r>
              <w:rPr>
                <w:rFonts w:hint="eastAsia" w:ascii="宋体" w:hAnsi="宋体" w:cs="宋体"/>
                <w:szCs w:val="21"/>
              </w:rPr>
              <w:t>□允许</w:t>
            </w:r>
          </w:p>
        </w:tc>
      </w:tr>
      <w:tr w14:paraId="524E0D2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301A08E5">
            <w:pPr>
              <w:autoSpaceDE w:val="0"/>
              <w:autoSpaceDN w:val="0"/>
              <w:spacing w:after="0" w:line="240" w:lineRule="auto"/>
              <w:jc w:val="center"/>
              <w:rPr>
                <w:rFonts w:hint="eastAsia" w:ascii="宋体" w:hAnsi="宋体" w:cs="宋体"/>
                <w:szCs w:val="21"/>
              </w:rPr>
            </w:pPr>
            <w:r>
              <w:rPr>
                <w:rFonts w:ascii="宋体" w:hAnsi="宋体" w:cs="宋体"/>
                <w:szCs w:val="21"/>
              </w:rPr>
              <w:t>3.7.1</w:t>
            </w:r>
          </w:p>
        </w:tc>
        <w:tc>
          <w:tcPr>
            <w:tcW w:w="1720" w:type="dxa"/>
            <w:vAlign w:val="center"/>
          </w:tcPr>
          <w:p w14:paraId="71D415BA">
            <w:pPr>
              <w:autoSpaceDE w:val="0"/>
              <w:autoSpaceDN w:val="0"/>
              <w:spacing w:after="0" w:line="240" w:lineRule="auto"/>
              <w:rPr>
                <w:rFonts w:hint="eastAsia" w:ascii="宋体" w:hAnsi="宋体" w:cs="宋体"/>
                <w:szCs w:val="21"/>
              </w:rPr>
            </w:pPr>
            <w:r>
              <w:rPr>
                <w:rFonts w:hint="eastAsia" w:ascii="宋体" w:hAnsi="宋体" w:cs="宋体"/>
                <w:szCs w:val="21"/>
              </w:rPr>
              <w:t>★投标文件份数</w:t>
            </w:r>
          </w:p>
        </w:tc>
        <w:tc>
          <w:tcPr>
            <w:tcW w:w="7473" w:type="dxa"/>
            <w:vAlign w:val="center"/>
          </w:tcPr>
          <w:p w14:paraId="19094DD2">
            <w:pPr>
              <w:autoSpaceDE w:val="0"/>
              <w:autoSpaceDN w:val="0"/>
              <w:spacing w:after="0" w:line="240" w:lineRule="auto"/>
              <w:rPr>
                <w:rFonts w:hint="eastAsia"/>
              </w:rPr>
            </w:pPr>
            <w:r>
              <w:rPr>
                <w:rFonts w:hint="eastAsia"/>
              </w:rPr>
              <w:t>电子投标文件一份（上传至中易电子交易平台）。同时提交2份纸质文件,一正一副。</w:t>
            </w:r>
          </w:p>
          <w:p w14:paraId="5147F5D8">
            <w:pPr>
              <w:autoSpaceDE w:val="0"/>
              <w:autoSpaceDN w:val="0"/>
              <w:spacing w:after="0" w:line="240" w:lineRule="auto"/>
              <w:rPr>
                <w:rFonts w:hint="eastAsia"/>
              </w:rPr>
            </w:pPr>
            <w:r>
              <w:rPr>
                <w:rFonts w:hint="eastAsia"/>
              </w:rPr>
              <w:t>纸质文件递交截止时间：2025年1</w:t>
            </w:r>
            <w:r>
              <w:rPr>
                <w:rFonts w:hint="eastAsia"/>
                <w:lang w:val="en-US" w:eastAsia="zh-CN"/>
              </w:rPr>
              <w:t>2</w:t>
            </w:r>
            <w:r>
              <w:rPr>
                <w:rFonts w:hint="eastAsia"/>
              </w:rPr>
              <w:t>月2日09时30分（北京时间）</w:t>
            </w:r>
          </w:p>
          <w:p w14:paraId="79EEBD3E">
            <w:pPr>
              <w:autoSpaceDE w:val="0"/>
              <w:autoSpaceDN w:val="0"/>
              <w:spacing w:after="0" w:line="240" w:lineRule="auto"/>
              <w:rPr>
                <w:rFonts w:hint="eastAsia"/>
              </w:rPr>
            </w:pPr>
            <w:r>
              <w:rPr>
                <w:rFonts w:hint="eastAsia"/>
              </w:rPr>
              <w:t>纸质文件递交方式：</w:t>
            </w:r>
          </w:p>
          <w:p w14:paraId="7DD9E2EF">
            <w:pPr>
              <w:autoSpaceDE w:val="0"/>
              <w:autoSpaceDN w:val="0"/>
              <w:spacing w:after="0" w:line="240" w:lineRule="auto"/>
              <w:rPr>
                <w:rFonts w:hint="eastAsia"/>
              </w:rPr>
            </w:pPr>
            <w:r>
              <w:rPr>
                <w:rFonts w:hint="eastAsia"/>
              </w:rPr>
              <w:t>1、现场递交：广东中正国标公共资源交易有限公司（详细地址：惠州市惠城区菊花一路真维斯办公大楼5楼）</w:t>
            </w:r>
          </w:p>
          <w:p w14:paraId="5FB7BE10">
            <w:pPr>
              <w:autoSpaceDE w:val="0"/>
              <w:autoSpaceDN w:val="0"/>
              <w:spacing w:after="0" w:line="240" w:lineRule="auto"/>
              <w:rPr>
                <w:rFonts w:hint="eastAsia"/>
              </w:rPr>
            </w:pPr>
            <w:r>
              <w:rPr>
                <w:rFonts w:hint="eastAsia"/>
              </w:rPr>
              <w:t>2、邮寄递交：在投标文件递交截止时间前寄送到广东省惠州市惠城区江北云山东路4号2栋3楼公诚咨询，</w:t>
            </w:r>
            <w:r>
              <w:rPr>
                <w:rFonts w:hint="eastAsia"/>
                <w:lang w:val="en-US" w:eastAsia="zh-CN"/>
              </w:rPr>
              <w:t>王工</w:t>
            </w:r>
            <w:r>
              <w:rPr>
                <w:rFonts w:hint="eastAsia"/>
              </w:rPr>
              <w:t>收，电话：</w:t>
            </w:r>
            <w:r>
              <w:rPr>
                <w:rFonts w:hint="eastAsia"/>
                <w:lang w:val="en-US" w:eastAsia="zh-CN"/>
              </w:rPr>
              <w:t>19267589834</w:t>
            </w:r>
            <w:r>
              <w:rPr>
                <w:rFonts w:hint="eastAsia"/>
              </w:rPr>
              <w:t>。寄件应在投标文件递交的截止时间送达，因寄件不能按时送到或破损的责任由投标人自行承担。</w:t>
            </w:r>
          </w:p>
          <w:p w14:paraId="4488E1DF">
            <w:pPr>
              <w:autoSpaceDE w:val="0"/>
              <w:autoSpaceDN w:val="0"/>
              <w:spacing w:after="0" w:line="240" w:lineRule="auto"/>
              <w:rPr>
                <w:rFonts w:hint="eastAsia" w:ascii="宋体" w:hAnsi="宋体" w:cs="宋体"/>
                <w:szCs w:val="21"/>
              </w:rPr>
            </w:pPr>
            <w:r>
              <w:rPr>
                <w:rFonts w:hint="eastAsia"/>
              </w:rPr>
              <w:t>注：纸质版文件作为归档使用，当纸质版文件与电子版不一致时，以电子版为准。</w:t>
            </w:r>
          </w:p>
        </w:tc>
      </w:tr>
      <w:tr w14:paraId="296D3AB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175BE657">
            <w:pPr>
              <w:autoSpaceDE w:val="0"/>
              <w:autoSpaceDN w:val="0"/>
              <w:spacing w:after="0" w:line="240" w:lineRule="auto"/>
              <w:jc w:val="center"/>
              <w:rPr>
                <w:rFonts w:hint="eastAsia" w:ascii="宋体" w:hAnsi="宋体" w:cs="宋体"/>
                <w:szCs w:val="21"/>
              </w:rPr>
            </w:pPr>
            <w:r>
              <w:rPr>
                <w:rFonts w:ascii="宋体" w:hAnsi="宋体" w:cs="宋体"/>
                <w:szCs w:val="21"/>
              </w:rPr>
              <w:t>3.7.6</w:t>
            </w:r>
          </w:p>
        </w:tc>
        <w:tc>
          <w:tcPr>
            <w:tcW w:w="1720" w:type="dxa"/>
            <w:vAlign w:val="center"/>
          </w:tcPr>
          <w:p w14:paraId="3BA06887">
            <w:pPr>
              <w:autoSpaceDE w:val="0"/>
              <w:autoSpaceDN w:val="0"/>
              <w:spacing w:after="0" w:line="240" w:lineRule="auto"/>
              <w:rPr>
                <w:rFonts w:hint="eastAsia" w:ascii="宋体" w:hAnsi="宋体" w:cs="宋体"/>
                <w:szCs w:val="21"/>
              </w:rPr>
            </w:pPr>
            <w:r>
              <w:rPr>
                <w:rFonts w:hint="eastAsia" w:ascii="宋体" w:hAnsi="宋体" w:cs="宋体"/>
                <w:szCs w:val="21"/>
              </w:rPr>
              <w:t>投标文件的密封和标记要求</w:t>
            </w:r>
          </w:p>
        </w:tc>
        <w:tc>
          <w:tcPr>
            <w:tcW w:w="7473" w:type="dxa"/>
            <w:vAlign w:val="center"/>
          </w:tcPr>
          <w:p w14:paraId="0D862379">
            <w:pPr>
              <w:autoSpaceDE w:val="0"/>
              <w:autoSpaceDN w:val="0"/>
              <w:spacing w:after="0" w:line="240" w:lineRule="auto"/>
              <w:rPr>
                <w:rFonts w:hint="eastAsia" w:ascii="宋体" w:hAnsi="宋体"/>
                <w:szCs w:val="21"/>
              </w:rPr>
            </w:pPr>
            <w:r>
              <w:rPr>
                <w:rFonts w:hint="eastAsia" w:ascii="宋体" w:hAnsi="宋体"/>
                <w:szCs w:val="21"/>
              </w:rPr>
              <w:t xml:space="preserve">招标人名称： </w:t>
            </w:r>
          </w:p>
          <w:p w14:paraId="478F7CD6">
            <w:pPr>
              <w:autoSpaceDE w:val="0"/>
              <w:autoSpaceDN w:val="0"/>
              <w:spacing w:after="0" w:line="240" w:lineRule="auto"/>
              <w:rPr>
                <w:rFonts w:hint="eastAsia" w:ascii="宋体" w:hAnsi="宋体"/>
                <w:szCs w:val="21"/>
              </w:rPr>
            </w:pPr>
            <w:r>
              <w:rPr>
                <w:rFonts w:hint="eastAsia" w:ascii="宋体" w:hAnsi="宋体"/>
                <w:szCs w:val="21"/>
              </w:rPr>
              <w:t>招标代理机构名称：</w:t>
            </w:r>
          </w:p>
          <w:p w14:paraId="5D12D656">
            <w:pPr>
              <w:autoSpaceDE w:val="0"/>
              <w:autoSpaceDN w:val="0"/>
              <w:spacing w:after="0" w:line="240" w:lineRule="auto"/>
              <w:rPr>
                <w:rFonts w:hint="eastAsia" w:ascii="宋体" w:hAnsi="宋体"/>
                <w:szCs w:val="21"/>
              </w:rPr>
            </w:pPr>
            <w:r>
              <w:rPr>
                <w:rFonts w:hint="eastAsia" w:ascii="宋体" w:hAnsi="宋体"/>
                <w:szCs w:val="21"/>
              </w:rPr>
              <w:t xml:space="preserve">            （项目名称）投标文件</w:t>
            </w:r>
          </w:p>
          <w:p w14:paraId="67DD53E3">
            <w:pPr>
              <w:autoSpaceDE w:val="0"/>
              <w:autoSpaceDN w:val="0"/>
              <w:spacing w:after="0" w:line="240" w:lineRule="auto"/>
              <w:rPr>
                <w:rFonts w:hint="eastAsia" w:ascii="宋体" w:hAnsi="宋体"/>
                <w:szCs w:val="21"/>
              </w:rPr>
            </w:pPr>
            <w:r>
              <w:rPr>
                <w:rFonts w:hint="eastAsia" w:ascii="宋体" w:hAnsi="宋体"/>
                <w:szCs w:val="21"/>
              </w:rPr>
              <w:t>投标人名称：</w:t>
            </w:r>
          </w:p>
          <w:p w14:paraId="32452ED0">
            <w:pPr>
              <w:autoSpaceDE w:val="0"/>
              <w:autoSpaceDN w:val="0"/>
              <w:spacing w:after="0" w:line="240" w:lineRule="auto"/>
              <w:rPr>
                <w:rFonts w:hint="eastAsia" w:ascii="宋体" w:hAnsi="宋体"/>
                <w:szCs w:val="21"/>
              </w:rPr>
            </w:pPr>
            <w:r>
              <w:rPr>
                <w:rFonts w:hint="eastAsia" w:ascii="宋体" w:hAnsi="宋体"/>
                <w:szCs w:val="21"/>
              </w:rPr>
              <w:t>联系人：</w:t>
            </w:r>
          </w:p>
          <w:p w14:paraId="6449A910">
            <w:pPr>
              <w:autoSpaceDE w:val="0"/>
              <w:autoSpaceDN w:val="0"/>
              <w:spacing w:after="0" w:line="240" w:lineRule="auto"/>
              <w:rPr>
                <w:rFonts w:hint="eastAsia" w:ascii="宋体" w:hAnsi="宋体"/>
                <w:szCs w:val="21"/>
              </w:rPr>
            </w:pPr>
            <w:r>
              <w:rPr>
                <w:rFonts w:hint="eastAsia" w:ascii="宋体" w:hAnsi="宋体"/>
                <w:szCs w:val="21"/>
              </w:rPr>
              <w:t>联系方式：</w:t>
            </w:r>
          </w:p>
          <w:p w14:paraId="35E19065">
            <w:pPr>
              <w:autoSpaceDE w:val="0"/>
              <w:autoSpaceDN w:val="0"/>
              <w:spacing w:after="0" w:line="240" w:lineRule="auto"/>
              <w:rPr>
                <w:rFonts w:hint="eastAsia" w:ascii="宋体" w:hAnsi="宋体"/>
                <w:szCs w:val="21"/>
              </w:rPr>
            </w:pPr>
            <w:r>
              <w:rPr>
                <w:rFonts w:hint="eastAsia" w:ascii="宋体" w:hAnsi="宋体"/>
                <w:szCs w:val="21"/>
              </w:rPr>
              <w:t>在  年  月  日  时  分前不得开启</w:t>
            </w:r>
          </w:p>
        </w:tc>
      </w:tr>
      <w:tr w14:paraId="57D247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5E71ADDB">
            <w:pPr>
              <w:autoSpaceDE w:val="0"/>
              <w:autoSpaceDN w:val="0"/>
              <w:spacing w:after="0" w:line="240" w:lineRule="auto"/>
              <w:jc w:val="center"/>
              <w:rPr>
                <w:rFonts w:hint="eastAsia" w:ascii="宋体" w:hAnsi="宋体" w:cs="宋体"/>
                <w:szCs w:val="21"/>
              </w:rPr>
            </w:pPr>
            <w:r>
              <w:rPr>
                <w:rFonts w:ascii="宋体" w:hAnsi="宋体" w:cs="宋体"/>
                <w:szCs w:val="21"/>
              </w:rPr>
              <w:t>3.8</w:t>
            </w:r>
          </w:p>
        </w:tc>
        <w:tc>
          <w:tcPr>
            <w:tcW w:w="1720" w:type="dxa"/>
            <w:vAlign w:val="center"/>
          </w:tcPr>
          <w:p w14:paraId="4A2799AD">
            <w:pPr>
              <w:autoSpaceDE w:val="0"/>
              <w:autoSpaceDN w:val="0"/>
              <w:spacing w:after="0" w:line="240" w:lineRule="auto"/>
              <w:rPr>
                <w:rFonts w:hint="eastAsia" w:ascii="宋体" w:hAnsi="宋体" w:cs="宋体"/>
                <w:szCs w:val="21"/>
              </w:rPr>
            </w:pPr>
            <w:r>
              <w:rPr>
                <w:rFonts w:hint="eastAsia" w:ascii="宋体" w:hAnsi="宋体" w:cs="宋体"/>
                <w:szCs w:val="21"/>
              </w:rPr>
              <w:t>电子采购的投标文件上传形式</w:t>
            </w:r>
          </w:p>
        </w:tc>
        <w:tc>
          <w:tcPr>
            <w:tcW w:w="7473" w:type="dxa"/>
            <w:vAlign w:val="center"/>
          </w:tcPr>
          <w:p w14:paraId="6C3F69FF">
            <w:pPr>
              <w:autoSpaceDE w:val="0"/>
              <w:autoSpaceDN w:val="0"/>
              <w:spacing w:after="0" w:line="240" w:lineRule="auto"/>
              <w:rPr>
                <w:rFonts w:hint="eastAsia" w:ascii="宋体" w:hAnsi="宋体" w:cs="宋体"/>
                <w:szCs w:val="21"/>
              </w:rPr>
            </w:pPr>
            <w:r>
              <w:rPr>
                <w:rFonts w:hint="eastAsia" w:ascii="宋体" w:hAnsi="宋体" w:cs="宋体"/>
                <w:szCs w:val="21"/>
              </w:rPr>
              <w:t>详见第一章招标公告</w:t>
            </w:r>
          </w:p>
        </w:tc>
      </w:tr>
      <w:tr w14:paraId="2491524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391D7B41">
            <w:pPr>
              <w:autoSpaceDE w:val="0"/>
              <w:autoSpaceDN w:val="0"/>
              <w:spacing w:after="0" w:line="240" w:lineRule="auto"/>
              <w:jc w:val="center"/>
              <w:rPr>
                <w:rFonts w:hint="eastAsia" w:ascii="宋体" w:hAnsi="宋体" w:cs="宋体"/>
                <w:szCs w:val="21"/>
              </w:rPr>
            </w:pPr>
            <w:r>
              <w:rPr>
                <w:rFonts w:ascii="宋体" w:hAnsi="宋体" w:cs="宋体"/>
                <w:szCs w:val="21"/>
              </w:rPr>
              <w:t>4.1.1</w:t>
            </w:r>
          </w:p>
        </w:tc>
        <w:tc>
          <w:tcPr>
            <w:tcW w:w="1720" w:type="dxa"/>
            <w:vAlign w:val="center"/>
          </w:tcPr>
          <w:p w14:paraId="3B0E3CA3">
            <w:pPr>
              <w:autoSpaceDE w:val="0"/>
              <w:autoSpaceDN w:val="0"/>
              <w:spacing w:after="0" w:line="240" w:lineRule="auto"/>
              <w:rPr>
                <w:rFonts w:hint="eastAsia" w:ascii="宋体" w:hAnsi="宋体" w:cs="宋体"/>
                <w:szCs w:val="21"/>
              </w:rPr>
            </w:pPr>
            <w:r>
              <w:rPr>
                <w:rFonts w:hint="eastAsia" w:ascii="宋体" w:hAnsi="宋体"/>
                <w:szCs w:val="21"/>
              </w:rPr>
              <w:t>投标文件递交截止时间</w:t>
            </w:r>
          </w:p>
        </w:tc>
        <w:tc>
          <w:tcPr>
            <w:tcW w:w="7473" w:type="dxa"/>
            <w:vAlign w:val="center"/>
          </w:tcPr>
          <w:p w14:paraId="2C3912C1">
            <w:pPr>
              <w:autoSpaceDE w:val="0"/>
              <w:autoSpaceDN w:val="0"/>
              <w:spacing w:after="0" w:line="240" w:lineRule="auto"/>
              <w:rPr>
                <w:rFonts w:hint="eastAsia" w:ascii="宋体" w:hAnsi="宋体" w:cs="宋体"/>
                <w:szCs w:val="21"/>
              </w:rPr>
            </w:pPr>
            <w:r>
              <w:rPr>
                <w:rFonts w:hint="eastAsia" w:ascii="宋体" w:hAnsi="宋体" w:cs="宋体"/>
                <w:szCs w:val="21"/>
              </w:rPr>
              <w:t>详见第一章招标公告</w:t>
            </w:r>
          </w:p>
        </w:tc>
      </w:tr>
      <w:tr w14:paraId="181BD5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760E314D">
            <w:pPr>
              <w:autoSpaceDE w:val="0"/>
              <w:autoSpaceDN w:val="0"/>
              <w:spacing w:after="0" w:line="240" w:lineRule="auto"/>
              <w:jc w:val="center"/>
              <w:rPr>
                <w:rFonts w:hint="eastAsia" w:ascii="宋体" w:hAnsi="宋体" w:cs="宋体"/>
                <w:szCs w:val="21"/>
              </w:rPr>
            </w:pPr>
            <w:r>
              <w:rPr>
                <w:rFonts w:ascii="宋体" w:hAnsi="宋体" w:cs="宋体"/>
                <w:szCs w:val="21"/>
              </w:rPr>
              <w:t>4.1.2</w:t>
            </w:r>
          </w:p>
        </w:tc>
        <w:tc>
          <w:tcPr>
            <w:tcW w:w="1720" w:type="dxa"/>
            <w:vAlign w:val="center"/>
          </w:tcPr>
          <w:p w14:paraId="19864A11">
            <w:pPr>
              <w:autoSpaceDE w:val="0"/>
              <w:autoSpaceDN w:val="0"/>
              <w:spacing w:after="0" w:line="240" w:lineRule="auto"/>
              <w:rPr>
                <w:rFonts w:hint="eastAsia" w:ascii="宋体" w:hAnsi="宋体"/>
                <w:szCs w:val="21"/>
              </w:rPr>
            </w:pPr>
            <w:r>
              <w:rPr>
                <w:rFonts w:hint="eastAsia" w:ascii="宋体" w:hAnsi="宋体"/>
                <w:szCs w:val="21"/>
              </w:rPr>
              <w:t>投标文件递交地点</w:t>
            </w:r>
          </w:p>
        </w:tc>
        <w:tc>
          <w:tcPr>
            <w:tcW w:w="7473" w:type="dxa"/>
            <w:vAlign w:val="center"/>
          </w:tcPr>
          <w:p w14:paraId="4FD421A7">
            <w:pPr>
              <w:autoSpaceDE w:val="0"/>
              <w:autoSpaceDN w:val="0"/>
              <w:spacing w:after="0" w:line="240" w:lineRule="auto"/>
              <w:rPr>
                <w:rFonts w:hint="eastAsia" w:ascii="宋体" w:hAnsi="宋体" w:cs="宋体"/>
                <w:szCs w:val="21"/>
              </w:rPr>
            </w:pPr>
            <w:r>
              <w:rPr>
                <w:rFonts w:hint="eastAsia" w:ascii="宋体" w:hAnsi="宋体" w:cs="宋体"/>
                <w:szCs w:val="21"/>
              </w:rPr>
              <w:t>详见第一章招标公告</w:t>
            </w:r>
          </w:p>
        </w:tc>
      </w:tr>
      <w:tr w14:paraId="62A5018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7ED443FE">
            <w:pPr>
              <w:autoSpaceDE w:val="0"/>
              <w:autoSpaceDN w:val="0"/>
              <w:spacing w:after="0" w:line="240" w:lineRule="auto"/>
              <w:jc w:val="center"/>
              <w:rPr>
                <w:rFonts w:hint="eastAsia" w:ascii="宋体" w:hAnsi="宋体" w:cs="宋体"/>
                <w:szCs w:val="21"/>
              </w:rPr>
            </w:pPr>
            <w:r>
              <w:rPr>
                <w:rFonts w:ascii="宋体" w:hAnsi="宋体" w:cs="宋体"/>
                <w:szCs w:val="21"/>
              </w:rPr>
              <w:t>4.1.4</w:t>
            </w:r>
          </w:p>
        </w:tc>
        <w:tc>
          <w:tcPr>
            <w:tcW w:w="1720" w:type="dxa"/>
            <w:vAlign w:val="center"/>
          </w:tcPr>
          <w:p w14:paraId="30415BDD">
            <w:pPr>
              <w:autoSpaceDE w:val="0"/>
              <w:autoSpaceDN w:val="0"/>
              <w:spacing w:after="0" w:line="240" w:lineRule="auto"/>
              <w:rPr>
                <w:rFonts w:hint="eastAsia" w:ascii="宋体" w:hAnsi="宋体"/>
                <w:szCs w:val="21"/>
              </w:rPr>
            </w:pPr>
            <w:r>
              <w:rPr>
                <w:rFonts w:hint="eastAsia" w:ascii="宋体" w:hAnsi="宋体"/>
                <w:szCs w:val="21"/>
              </w:rPr>
              <w:t>投标文件退还</w:t>
            </w:r>
          </w:p>
        </w:tc>
        <w:tc>
          <w:tcPr>
            <w:tcW w:w="7473" w:type="dxa"/>
            <w:vAlign w:val="center"/>
          </w:tcPr>
          <w:p w14:paraId="566DF909">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不退还</w:t>
            </w:r>
          </w:p>
          <w:p w14:paraId="53F7C09C">
            <w:pPr>
              <w:autoSpaceDE w:val="0"/>
              <w:autoSpaceDN w:val="0"/>
              <w:spacing w:after="0" w:line="240" w:lineRule="auto"/>
              <w:rPr>
                <w:rFonts w:hint="eastAsia" w:ascii="宋体" w:hAnsi="宋体" w:cs="宋体"/>
                <w:szCs w:val="21"/>
              </w:rPr>
            </w:pPr>
            <w:r>
              <w:rPr>
                <w:rFonts w:hint="eastAsia" w:ascii="宋体" w:hAnsi="宋体" w:cs="宋体"/>
                <w:szCs w:val="21"/>
              </w:rPr>
              <w:t>□退还</w:t>
            </w:r>
          </w:p>
        </w:tc>
      </w:tr>
      <w:tr w14:paraId="52C17D3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6F39791A">
            <w:pPr>
              <w:autoSpaceDE w:val="0"/>
              <w:autoSpaceDN w:val="0"/>
              <w:spacing w:after="0" w:line="240" w:lineRule="auto"/>
              <w:jc w:val="center"/>
              <w:rPr>
                <w:rFonts w:hint="eastAsia" w:ascii="宋体" w:hAnsi="宋体" w:cs="宋体"/>
                <w:szCs w:val="21"/>
              </w:rPr>
            </w:pPr>
            <w:r>
              <w:rPr>
                <w:rFonts w:ascii="宋体" w:hAnsi="宋体" w:cs="宋体"/>
                <w:szCs w:val="21"/>
              </w:rPr>
              <w:t>4.1.6</w:t>
            </w:r>
          </w:p>
        </w:tc>
        <w:tc>
          <w:tcPr>
            <w:tcW w:w="1720" w:type="dxa"/>
            <w:vAlign w:val="center"/>
          </w:tcPr>
          <w:p w14:paraId="0AE7D675">
            <w:pPr>
              <w:autoSpaceDE w:val="0"/>
              <w:autoSpaceDN w:val="0"/>
              <w:spacing w:after="0" w:line="240" w:lineRule="auto"/>
              <w:rPr>
                <w:rFonts w:hint="eastAsia" w:ascii="宋体" w:hAnsi="宋体" w:cs="宋体"/>
                <w:szCs w:val="21"/>
              </w:rPr>
            </w:pPr>
            <w:r>
              <w:rPr>
                <w:rFonts w:hint="eastAsia" w:ascii="宋体" w:hAnsi="宋体" w:cs="宋体"/>
                <w:szCs w:val="21"/>
              </w:rPr>
              <w:t>电子采购投标文件递交</w:t>
            </w:r>
            <w:r>
              <w:rPr>
                <w:rFonts w:hint="eastAsia" w:ascii="宋体" w:hAnsi="宋体"/>
                <w:szCs w:val="21"/>
              </w:rPr>
              <w:t>异常的处理方式</w:t>
            </w:r>
          </w:p>
        </w:tc>
        <w:tc>
          <w:tcPr>
            <w:tcW w:w="7473" w:type="dxa"/>
            <w:vAlign w:val="center"/>
          </w:tcPr>
          <w:p w14:paraId="7B1AEB4A">
            <w:pPr>
              <w:autoSpaceDE w:val="0"/>
              <w:autoSpaceDN w:val="0"/>
              <w:spacing w:after="0" w:line="240" w:lineRule="auto"/>
              <w:rPr>
                <w:rFonts w:hint="eastAsia" w:ascii="宋体" w:hAnsi="宋体" w:cs="宋体"/>
                <w:szCs w:val="21"/>
              </w:rPr>
            </w:pPr>
            <w:r>
              <w:rPr>
                <w:rFonts w:hint="eastAsia" w:ascii="宋体" w:hAnsi="宋体" w:cs="宋体"/>
                <w:szCs w:val="21"/>
              </w:rPr>
              <w:t>详见第一章招标公告</w:t>
            </w:r>
          </w:p>
        </w:tc>
      </w:tr>
      <w:tr w14:paraId="60D11D1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63ED0F87">
            <w:pPr>
              <w:autoSpaceDE w:val="0"/>
              <w:autoSpaceDN w:val="0"/>
              <w:spacing w:after="0" w:line="240" w:lineRule="auto"/>
              <w:jc w:val="center"/>
              <w:rPr>
                <w:rFonts w:hint="eastAsia" w:ascii="宋体" w:hAnsi="宋体" w:cs="宋体"/>
                <w:szCs w:val="21"/>
              </w:rPr>
            </w:pPr>
            <w:r>
              <w:rPr>
                <w:rFonts w:ascii="宋体" w:hAnsi="宋体" w:cs="宋体"/>
                <w:szCs w:val="21"/>
              </w:rPr>
              <w:t>5.1</w:t>
            </w:r>
          </w:p>
        </w:tc>
        <w:tc>
          <w:tcPr>
            <w:tcW w:w="1720" w:type="dxa"/>
            <w:vAlign w:val="center"/>
          </w:tcPr>
          <w:p w14:paraId="18798D81">
            <w:pPr>
              <w:autoSpaceDE w:val="0"/>
              <w:autoSpaceDN w:val="0"/>
              <w:spacing w:after="0" w:line="240" w:lineRule="auto"/>
              <w:rPr>
                <w:rFonts w:hint="eastAsia" w:ascii="宋体" w:hAnsi="宋体" w:cs="宋体"/>
                <w:szCs w:val="21"/>
              </w:rPr>
            </w:pPr>
            <w:r>
              <w:rPr>
                <w:rFonts w:hint="eastAsia" w:ascii="宋体" w:hAnsi="宋体" w:cs="宋体"/>
                <w:szCs w:val="21"/>
              </w:rPr>
              <w:t>开标时间和地点</w:t>
            </w:r>
          </w:p>
        </w:tc>
        <w:tc>
          <w:tcPr>
            <w:tcW w:w="7473" w:type="dxa"/>
            <w:vAlign w:val="center"/>
          </w:tcPr>
          <w:p w14:paraId="0A365114">
            <w:pPr>
              <w:autoSpaceDE w:val="0"/>
              <w:autoSpaceDN w:val="0"/>
              <w:spacing w:after="0" w:line="240" w:lineRule="auto"/>
              <w:rPr>
                <w:rFonts w:hint="eastAsia" w:ascii="宋体" w:hAnsi="宋体" w:cs="宋体"/>
                <w:szCs w:val="21"/>
              </w:rPr>
            </w:pPr>
            <w:r>
              <w:rPr>
                <w:rFonts w:hint="eastAsia" w:ascii="宋体" w:hAnsi="宋体" w:cs="宋体"/>
                <w:szCs w:val="21"/>
              </w:rPr>
              <w:t>同投标文件递交截止时间和地点。</w:t>
            </w:r>
          </w:p>
        </w:tc>
      </w:tr>
      <w:tr w14:paraId="0D9738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5156F239">
            <w:pPr>
              <w:autoSpaceDE w:val="0"/>
              <w:autoSpaceDN w:val="0"/>
              <w:spacing w:after="0" w:line="240" w:lineRule="auto"/>
              <w:jc w:val="center"/>
              <w:rPr>
                <w:rFonts w:hint="eastAsia" w:ascii="宋体" w:hAnsi="宋体" w:cs="宋体"/>
                <w:szCs w:val="21"/>
              </w:rPr>
            </w:pPr>
            <w:r>
              <w:rPr>
                <w:rFonts w:ascii="宋体" w:hAnsi="宋体" w:cs="宋体"/>
                <w:szCs w:val="21"/>
              </w:rPr>
              <w:t>5.4</w:t>
            </w:r>
          </w:p>
        </w:tc>
        <w:tc>
          <w:tcPr>
            <w:tcW w:w="1720" w:type="dxa"/>
            <w:vAlign w:val="center"/>
          </w:tcPr>
          <w:p w14:paraId="0F9744E2">
            <w:pPr>
              <w:autoSpaceDE w:val="0"/>
              <w:autoSpaceDN w:val="0"/>
              <w:spacing w:after="0" w:line="240" w:lineRule="auto"/>
              <w:rPr>
                <w:rFonts w:hint="eastAsia" w:ascii="宋体" w:hAnsi="宋体" w:cs="宋体"/>
                <w:szCs w:val="21"/>
              </w:rPr>
            </w:pPr>
            <w:r>
              <w:rPr>
                <w:rFonts w:hint="eastAsia" w:ascii="宋体" w:hAnsi="宋体" w:cs="宋体"/>
                <w:szCs w:val="21"/>
              </w:rPr>
              <w:t>电子采购开标的其他要求及异常处理</w:t>
            </w:r>
          </w:p>
        </w:tc>
        <w:tc>
          <w:tcPr>
            <w:tcW w:w="7473" w:type="dxa"/>
            <w:vAlign w:val="center"/>
          </w:tcPr>
          <w:p w14:paraId="393A5337">
            <w:pPr>
              <w:autoSpaceDE w:val="0"/>
              <w:autoSpaceDN w:val="0"/>
              <w:spacing w:after="0" w:line="240" w:lineRule="auto"/>
              <w:rPr>
                <w:rFonts w:hint="eastAsia" w:ascii="宋体" w:hAnsi="宋体" w:cs="宋体"/>
                <w:szCs w:val="21"/>
              </w:rPr>
            </w:pPr>
            <w:r>
              <w:rPr>
                <w:rFonts w:hint="eastAsia" w:ascii="宋体" w:hAnsi="宋体" w:cs="宋体"/>
                <w:szCs w:val="21"/>
              </w:rPr>
              <w:t>详见第一章招标公告</w:t>
            </w:r>
          </w:p>
        </w:tc>
      </w:tr>
      <w:tr w14:paraId="7AB85FB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7D6EBA2D">
            <w:pPr>
              <w:autoSpaceDE w:val="0"/>
              <w:autoSpaceDN w:val="0"/>
              <w:spacing w:after="0" w:line="240" w:lineRule="auto"/>
              <w:jc w:val="center"/>
              <w:rPr>
                <w:rFonts w:hint="eastAsia" w:ascii="宋体" w:hAnsi="宋体" w:cs="宋体"/>
                <w:szCs w:val="21"/>
              </w:rPr>
            </w:pPr>
            <w:r>
              <w:rPr>
                <w:rFonts w:ascii="宋体" w:hAnsi="宋体" w:cs="宋体"/>
                <w:szCs w:val="21"/>
              </w:rPr>
              <w:t>6.1.1</w:t>
            </w:r>
          </w:p>
        </w:tc>
        <w:tc>
          <w:tcPr>
            <w:tcW w:w="1720" w:type="dxa"/>
            <w:vAlign w:val="center"/>
          </w:tcPr>
          <w:p w14:paraId="1BE93C66">
            <w:pPr>
              <w:autoSpaceDE w:val="0"/>
              <w:autoSpaceDN w:val="0"/>
              <w:spacing w:after="0" w:line="240" w:lineRule="auto"/>
              <w:rPr>
                <w:rFonts w:hint="eastAsia" w:ascii="宋体" w:hAnsi="宋体" w:cs="宋体"/>
                <w:szCs w:val="21"/>
              </w:rPr>
            </w:pPr>
            <w:r>
              <w:rPr>
                <w:rFonts w:hint="eastAsia" w:ascii="宋体" w:hAnsi="宋体" w:cs="宋体"/>
                <w:szCs w:val="21"/>
              </w:rPr>
              <w:t>评审委员会组成人数</w:t>
            </w:r>
          </w:p>
        </w:tc>
        <w:tc>
          <w:tcPr>
            <w:tcW w:w="7473" w:type="dxa"/>
            <w:vAlign w:val="center"/>
          </w:tcPr>
          <w:p w14:paraId="5DBEC5D5">
            <w:pPr>
              <w:widowControl/>
              <w:spacing w:after="0" w:line="240" w:lineRule="auto"/>
              <w:jc w:val="left"/>
              <w:rPr>
                <w:rFonts w:hint="eastAsia" w:ascii="宋体" w:hAnsi="宋体" w:cs="宋体"/>
                <w:szCs w:val="21"/>
              </w:rPr>
            </w:pPr>
            <w:r>
              <w:rPr>
                <w:rFonts w:ascii="宋体" w:hAnsi="宋体" w:cs="宋体"/>
                <w:szCs w:val="21"/>
              </w:rPr>
              <w:t>评审委员会构成：</w:t>
            </w:r>
            <w:r>
              <w:rPr>
                <w:rFonts w:hint="eastAsia" w:ascii="宋体" w:hAnsi="宋体" w:cs="宋体"/>
                <w:szCs w:val="21"/>
              </w:rPr>
              <w:t>7</w:t>
            </w:r>
            <w:r>
              <w:rPr>
                <w:rFonts w:ascii="宋体" w:hAnsi="宋体" w:cs="宋体"/>
                <w:szCs w:val="21"/>
              </w:rPr>
              <w:t xml:space="preserve">人； </w:t>
            </w:r>
          </w:p>
        </w:tc>
      </w:tr>
      <w:tr w14:paraId="6EE51E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59" w:hRule="atLeast"/>
        </w:trPr>
        <w:tc>
          <w:tcPr>
            <w:tcW w:w="0" w:type="auto"/>
            <w:vAlign w:val="center"/>
          </w:tcPr>
          <w:p w14:paraId="0E3D8398">
            <w:pPr>
              <w:autoSpaceDE w:val="0"/>
              <w:autoSpaceDN w:val="0"/>
              <w:spacing w:after="0" w:line="240" w:lineRule="auto"/>
              <w:jc w:val="center"/>
              <w:rPr>
                <w:rFonts w:hint="eastAsia" w:ascii="宋体" w:hAnsi="宋体" w:cs="宋体"/>
                <w:szCs w:val="21"/>
              </w:rPr>
            </w:pPr>
            <w:r>
              <w:rPr>
                <w:rFonts w:ascii="宋体" w:hAnsi="宋体" w:cs="宋体"/>
                <w:szCs w:val="21"/>
              </w:rPr>
              <w:t>6.3</w:t>
            </w:r>
          </w:p>
        </w:tc>
        <w:tc>
          <w:tcPr>
            <w:tcW w:w="1720" w:type="dxa"/>
            <w:vAlign w:val="center"/>
          </w:tcPr>
          <w:p w14:paraId="68EE1F08">
            <w:pPr>
              <w:autoSpaceDE w:val="0"/>
              <w:autoSpaceDN w:val="0"/>
              <w:spacing w:after="0" w:line="240" w:lineRule="auto"/>
              <w:rPr>
                <w:rFonts w:hint="eastAsia" w:ascii="宋体" w:hAnsi="宋体" w:cs="宋体"/>
                <w:szCs w:val="21"/>
              </w:rPr>
            </w:pPr>
            <w:r>
              <w:rPr>
                <w:rFonts w:hint="eastAsia" w:ascii="宋体" w:hAnsi="宋体" w:cs="宋体"/>
                <w:szCs w:val="21"/>
              </w:rPr>
              <w:t>评审方法</w:t>
            </w:r>
          </w:p>
        </w:tc>
        <w:tc>
          <w:tcPr>
            <w:tcW w:w="7473" w:type="dxa"/>
            <w:vAlign w:val="center"/>
          </w:tcPr>
          <w:p w14:paraId="12295452">
            <w:pPr>
              <w:autoSpaceDE w:val="0"/>
              <w:autoSpaceDN w:val="0"/>
              <w:spacing w:after="0" w:line="240" w:lineRule="auto"/>
              <w:rPr>
                <w:rFonts w:hint="eastAsia" w:ascii="宋体" w:hAnsi="宋体" w:cs="宋体"/>
                <w:szCs w:val="21"/>
              </w:rPr>
            </w:pPr>
            <w:r>
              <w:rPr>
                <w:rFonts w:hint="eastAsia" w:ascii="宋体" w:hAnsi="宋体" w:cs="宋体"/>
                <w:szCs w:val="21"/>
              </w:rPr>
              <w:t>□经评审的最低投标价法</w:t>
            </w:r>
          </w:p>
          <w:p w14:paraId="56947C2B">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F052"/>
            </w:r>
            <w:r>
              <w:rPr>
                <w:rFonts w:hint="eastAsia" w:ascii="宋体" w:hAnsi="宋体" w:cs="宋体"/>
                <w:szCs w:val="21"/>
              </w:rPr>
              <w:t>综合评估法</w:t>
            </w:r>
          </w:p>
          <w:p w14:paraId="196C682C">
            <w:pPr>
              <w:autoSpaceDE w:val="0"/>
              <w:autoSpaceDN w:val="0"/>
              <w:spacing w:after="0" w:line="240" w:lineRule="auto"/>
              <w:rPr>
                <w:rFonts w:hint="eastAsia" w:ascii="宋体" w:hAnsi="宋体" w:cs="宋体"/>
                <w:szCs w:val="21"/>
                <w:u w:val="single"/>
              </w:rPr>
            </w:pPr>
            <w:r>
              <w:rPr>
                <w:rFonts w:hint="eastAsia" w:ascii="宋体" w:hAnsi="宋体" w:cs="宋体"/>
                <w:szCs w:val="21"/>
              </w:rPr>
              <w:t>□其他：</w:t>
            </w:r>
          </w:p>
        </w:tc>
      </w:tr>
      <w:tr w14:paraId="34CD6C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66D79423">
            <w:pPr>
              <w:autoSpaceDE w:val="0"/>
              <w:autoSpaceDN w:val="0"/>
              <w:spacing w:after="0" w:line="240" w:lineRule="auto"/>
              <w:jc w:val="center"/>
              <w:rPr>
                <w:rFonts w:hint="eastAsia" w:ascii="宋体" w:hAnsi="宋体" w:cs="宋体"/>
                <w:szCs w:val="21"/>
              </w:rPr>
            </w:pPr>
            <w:r>
              <w:rPr>
                <w:rFonts w:ascii="宋体" w:hAnsi="宋体" w:cs="宋体"/>
                <w:szCs w:val="21"/>
              </w:rPr>
              <w:t xml:space="preserve">6.4 </w:t>
            </w:r>
          </w:p>
        </w:tc>
        <w:tc>
          <w:tcPr>
            <w:tcW w:w="1720" w:type="dxa"/>
            <w:vAlign w:val="center"/>
          </w:tcPr>
          <w:p w14:paraId="775AFE1E">
            <w:pPr>
              <w:autoSpaceDE w:val="0"/>
              <w:autoSpaceDN w:val="0"/>
              <w:spacing w:after="0" w:line="240" w:lineRule="auto"/>
              <w:rPr>
                <w:rFonts w:hint="eastAsia" w:ascii="宋体" w:hAnsi="宋体" w:cs="宋体"/>
                <w:szCs w:val="21"/>
              </w:rPr>
            </w:pPr>
            <w:r>
              <w:rPr>
                <w:rFonts w:hint="eastAsia" w:ascii="宋体" w:hAnsi="宋体" w:cs="宋体"/>
                <w:szCs w:val="21"/>
              </w:rPr>
              <w:t>中标候选人推荐原则</w:t>
            </w:r>
          </w:p>
        </w:tc>
        <w:tc>
          <w:tcPr>
            <w:tcW w:w="7473" w:type="dxa"/>
            <w:vAlign w:val="center"/>
          </w:tcPr>
          <w:p w14:paraId="78D3CB51">
            <w:pPr>
              <w:autoSpaceDE w:val="0"/>
              <w:autoSpaceDN w:val="0"/>
              <w:spacing w:after="0" w:line="240" w:lineRule="auto"/>
              <w:rPr>
                <w:rFonts w:hint="eastAsia" w:ascii="宋体" w:hAnsi="宋体" w:cs="宋体"/>
                <w:szCs w:val="21"/>
              </w:rPr>
            </w:pPr>
            <w:r>
              <w:rPr>
                <w:rFonts w:hint="eastAsia" w:ascii="宋体" w:hAnsi="宋体" w:cs="宋体"/>
                <w:szCs w:val="21"/>
              </w:rPr>
              <w:t>本项目推荐3名中标候选人</w:t>
            </w:r>
          </w:p>
          <w:p w14:paraId="702BDD88">
            <w:pPr>
              <w:autoSpaceDE w:val="0"/>
              <w:autoSpaceDN w:val="0"/>
              <w:spacing w:after="0" w:line="240" w:lineRule="auto"/>
              <w:rPr>
                <w:rFonts w:hint="eastAsia" w:ascii="宋体" w:hAnsi="宋体" w:cs="宋体"/>
                <w:szCs w:val="21"/>
              </w:rPr>
            </w:pPr>
            <w:r>
              <w:rPr>
                <w:rFonts w:hint="eastAsia" w:ascii="宋体" w:hAnsi="宋体" w:cs="宋体"/>
                <w:szCs w:val="21"/>
              </w:rPr>
              <w:t xml:space="preserve">1）在本项目中，推荐综合得分排名第一的投标人为第一中标候选人，综合得分排名第二的投标人为第二中标候选人，综合得分排名第三的投标人为第三中标候选人。 </w:t>
            </w:r>
          </w:p>
          <w:p w14:paraId="5DDE9507">
            <w:pPr>
              <w:autoSpaceDE w:val="0"/>
              <w:autoSpaceDN w:val="0"/>
              <w:spacing w:after="0" w:line="240" w:lineRule="auto"/>
              <w:rPr>
                <w:rFonts w:hint="eastAsia" w:ascii="宋体" w:hAnsi="宋体" w:cs="宋体"/>
                <w:szCs w:val="21"/>
              </w:rPr>
            </w:pPr>
            <w:r>
              <w:rPr>
                <w:rFonts w:hint="eastAsia" w:ascii="宋体" w:hAnsi="宋体" w:cs="宋体"/>
                <w:szCs w:val="21"/>
              </w:rPr>
              <w:t xml:space="preserve">2）排名第一的中标候选人放弃成交、因不可抗力不能履行合同、不按照招标文件要求提交履约保证金（如有），或者被查实存在影响成交结果的违法行为等情形，不符合成交条件的，可以按照评审委员会提出的中标候选人名单排序依次确定其他中标候选人为中标人，也可以重新采购。 </w:t>
            </w:r>
          </w:p>
          <w:p w14:paraId="3F0819AA">
            <w:pPr>
              <w:autoSpaceDE w:val="0"/>
              <w:autoSpaceDN w:val="0"/>
              <w:spacing w:after="0" w:line="240" w:lineRule="auto"/>
              <w:rPr>
                <w:rFonts w:hint="eastAsia" w:ascii="宋体" w:hAnsi="宋体" w:cs="宋体"/>
                <w:szCs w:val="21"/>
              </w:rPr>
            </w:pPr>
            <w:r>
              <w:rPr>
                <w:rFonts w:hint="eastAsia" w:ascii="宋体" w:hAnsi="宋体" w:cs="宋体"/>
                <w:szCs w:val="21"/>
              </w:rPr>
              <w:t>3）如果综合得分出现一致，优先选择商务技术得分较高者；如商务技术得分也出现一致，则由评审委员会投票表决，需在评标报告中说明投票理由。</w:t>
            </w:r>
          </w:p>
        </w:tc>
      </w:tr>
      <w:tr w14:paraId="054A87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47D0A024">
            <w:pPr>
              <w:autoSpaceDE w:val="0"/>
              <w:autoSpaceDN w:val="0"/>
              <w:spacing w:after="0" w:line="240" w:lineRule="auto"/>
              <w:jc w:val="center"/>
              <w:rPr>
                <w:rFonts w:hint="eastAsia" w:ascii="宋体" w:hAnsi="宋体" w:cs="宋体"/>
                <w:szCs w:val="21"/>
              </w:rPr>
            </w:pPr>
            <w:r>
              <w:rPr>
                <w:rFonts w:ascii="宋体" w:hAnsi="宋体" w:cs="宋体"/>
                <w:szCs w:val="21"/>
              </w:rPr>
              <w:t>7.1.2</w:t>
            </w:r>
          </w:p>
        </w:tc>
        <w:tc>
          <w:tcPr>
            <w:tcW w:w="1720" w:type="dxa"/>
            <w:vAlign w:val="center"/>
          </w:tcPr>
          <w:p w14:paraId="299C61FE">
            <w:pPr>
              <w:autoSpaceDE w:val="0"/>
              <w:autoSpaceDN w:val="0"/>
              <w:spacing w:after="0" w:line="240" w:lineRule="auto"/>
              <w:rPr>
                <w:rFonts w:hint="eastAsia" w:ascii="宋体" w:hAnsi="宋体" w:cs="宋体"/>
                <w:szCs w:val="21"/>
              </w:rPr>
            </w:pPr>
            <w:r>
              <w:rPr>
                <w:rFonts w:hint="eastAsia" w:ascii="宋体" w:hAnsi="宋体" w:cs="宋体"/>
                <w:szCs w:val="21"/>
              </w:rPr>
              <w:t>公开招标中标候选人公示的其他媒体</w:t>
            </w:r>
          </w:p>
        </w:tc>
        <w:tc>
          <w:tcPr>
            <w:tcW w:w="7473" w:type="dxa"/>
            <w:vAlign w:val="center"/>
          </w:tcPr>
          <w:p w14:paraId="6F6809BD">
            <w:pPr>
              <w:autoSpaceDE w:val="0"/>
              <w:autoSpaceDN w:val="0"/>
              <w:spacing w:after="0" w:line="240" w:lineRule="auto"/>
              <w:rPr>
                <w:rFonts w:hint="eastAsia" w:ascii="宋体" w:hAnsi="宋体" w:cs="宋体"/>
                <w:szCs w:val="21"/>
              </w:rPr>
            </w:pPr>
            <w:r>
              <w:rPr>
                <w:rFonts w:hint="eastAsia" w:ascii="宋体" w:hAnsi="宋体" w:cs="宋体"/>
                <w:szCs w:val="21"/>
              </w:rPr>
              <w:t>本条款增加以下规定：</w:t>
            </w:r>
            <w:r>
              <w:rPr>
                <w:rFonts w:ascii="宋体" w:hAnsi="宋体" w:cs="宋体"/>
                <w:szCs w:val="21"/>
              </w:rPr>
              <w:t>/</w:t>
            </w:r>
          </w:p>
        </w:tc>
      </w:tr>
      <w:tr w14:paraId="3055BC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174C86A8">
            <w:pPr>
              <w:autoSpaceDE w:val="0"/>
              <w:autoSpaceDN w:val="0"/>
              <w:spacing w:after="0" w:line="240" w:lineRule="auto"/>
              <w:jc w:val="center"/>
              <w:rPr>
                <w:rFonts w:hint="eastAsia" w:ascii="宋体" w:hAnsi="宋体" w:cs="宋体"/>
                <w:szCs w:val="21"/>
              </w:rPr>
            </w:pPr>
            <w:r>
              <w:rPr>
                <w:rFonts w:ascii="宋体" w:hAnsi="宋体" w:cs="宋体"/>
                <w:szCs w:val="21"/>
              </w:rPr>
              <w:t>7.2.1</w:t>
            </w:r>
          </w:p>
        </w:tc>
        <w:tc>
          <w:tcPr>
            <w:tcW w:w="1720" w:type="dxa"/>
            <w:vAlign w:val="center"/>
          </w:tcPr>
          <w:p w14:paraId="6DD6976C">
            <w:pPr>
              <w:autoSpaceDE w:val="0"/>
              <w:autoSpaceDN w:val="0"/>
              <w:spacing w:after="0" w:line="240" w:lineRule="auto"/>
              <w:rPr>
                <w:rFonts w:hint="eastAsia" w:ascii="宋体" w:hAnsi="宋体" w:cs="宋体"/>
                <w:szCs w:val="21"/>
              </w:rPr>
            </w:pPr>
            <w:r>
              <w:rPr>
                <w:rFonts w:hint="eastAsia" w:ascii="宋体" w:hAnsi="宋体" w:cs="宋体"/>
                <w:szCs w:val="21"/>
              </w:rPr>
              <w:t>中标人确定</w:t>
            </w:r>
          </w:p>
        </w:tc>
        <w:tc>
          <w:tcPr>
            <w:tcW w:w="7473" w:type="dxa"/>
            <w:vAlign w:val="center"/>
          </w:tcPr>
          <w:p w14:paraId="5C7BF382">
            <w:pPr>
              <w:autoSpaceDE w:val="0"/>
              <w:autoSpaceDN w:val="0"/>
              <w:spacing w:after="0" w:line="240" w:lineRule="auto"/>
              <w:rPr>
                <w:rFonts w:hint="eastAsia" w:ascii="宋体" w:hAnsi="宋体" w:cs="宋体"/>
                <w:szCs w:val="21"/>
              </w:rPr>
            </w:pPr>
            <w:r>
              <w:rPr>
                <w:rFonts w:hint="eastAsia" w:ascii="宋体" w:hAnsi="宋体" w:cs="宋体"/>
                <w:szCs w:val="21"/>
              </w:rPr>
              <w:t>□</w:t>
            </w:r>
            <w:r>
              <w:rPr>
                <w:rFonts w:hint="eastAsia" w:ascii="宋体" w:hAnsi="宋体"/>
                <w:szCs w:val="21"/>
              </w:rPr>
              <w:t>评审委员会直接确定中标人</w:t>
            </w:r>
            <w:r>
              <w:rPr>
                <w:rFonts w:hint="eastAsia" w:ascii="宋体" w:hAnsi="宋体" w:cs="宋体"/>
                <w:szCs w:val="21"/>
              </w:rPr>
              <w:t>，</w:t>
            </w:r>
            <w:r>
              <w:rPr>
                <w:rFonts w:hint="eastAsia" w:ascii="宋体" w:hAnsi="宋体"/>
                <w:szCs w:val="21"/>
              </w:rPr>
              <w:t>中标人数量：</w:t>
            </w:r>
            <w:r>
              <w:rPr>
                <w:rFonts w:hint="eastAsia" w:ascii="宋体" w:hAnsi="宋体" w:cs="宋体"/>
                <w:szCs w:val="21"/>
              </w:rPr>
              <w:t>人</w:t>
            </w:r>
          </w:p>
          <w:p w14:paraId="1A39A403">
            <w:pPr>
              <w:autoSpaceDE w:val="0"/>
              <w:autoSpaceDN w:val="0"/>
              <w:spacing w:after="0" w:line="240" w:lineRule="auto"/>
              <w:rPr>
                <w:rFonts w:hint="eastAsia" w:ascii="宋体" w:hAnsi="宋体" w:cs="宋体"/>
                <w:szCs w:val="21"/>
              </w:rPr>
            </w:pPr>
            <w:r>
              <w:rPr>
                <w:rFonts w:hint="eastAsia" w:ascii="宋体" w:hAnsi="宋体" w:cs="宋体"/>
                <w:szCs w:val="21"/>
              </w:rPr>
              <w:sym w:font="Wingdings 2" w:char="0052"/>
            </w:r>
            <w:r>
              <w:rPr>
                <w:rFonts w:hint="eastAsia" w:ascii="宋体" w:hAnsi="宋体" w:cs="宋体"/>
                <w:szCs w:val="21"/>
              </w:rPr>
              <w:t>招标人确定中标人，</w:t>
            </w:r>
            <w:r>
              <w:rPr>
                <w:rFonts w:hint="eastAsia" w:ascii="宋体" w:hAnsi="宋体"/>
                <w:szCs w:val="21"/>
              </w:rPr>
              <w:t>中标人数量：</w:t>
            </w:r>
            <w:r>
              <w:rPr>
                <w:rFonts w:ascii="宋体" w:hAnsi="宋体"/>
                <w:szCs w:val="21"/>
              </w:rPr>
              <w:t>1</w:t>
            </w:r>
            <w:r>
              <w:rPr>
                <w:rFonts w:hint="eastAsia" w:ascii="宋体" w:hAnsi="宋体" w:cs="宋体"/>
                <w:szCs w:val="21"/>
              </w:rPr>
              <w:t>人。</w:t>
            </w:r>
          </w:p>
        </w:tc>
      </w:tr>
      <w:tr w14:paraId="5233A0D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vAlign w:val="center"/>
          </w:tcPr>
          <w:p w14:paraId="641F7BA1">
            <w:pPr>
              <w:autoSpaceDE w:val="0"/>
              <w:autoSpaceDN w:val="0"/>
              <w:spacing w:after="0" w:line="240" w:lineRule="auto"/>
              <w:jc w:val="center"/>
              <w:rPr>
                <w:rFonts w:hint="eastAsia" w:ascii="宋体" w:hAnsi="宋体" w:cs="宋体"/>
                <w:szCs w:val="21"/>
              </w:rPr>
            </w:pPr>
            <w:r>
              <w:rPr>
                <w:rFonts w:ascii="宋体" w:hAnsi="宋体" w:cs="宋体"/>
                <w:szCs w:val="21"/>
              </w:rPr>
              <w:t>7.2.2</w:t>
            </w:r>
          </w:p>
        </w:tc>
        <w:tc>
          <w:tcPr>
            <w:tcW w:w="1720" w:type="dxa"/>
            <w:vAlign w:val="center"/>
          </w:tcPr>
          <w:p w14:paraId="26D6C56D">
            <w:pPr>
              <w:autoSpaceDE w:val="0"/>
              <w:autoSpaceDN w:val="0"/>
              <w:spacing w:after="0" w:line="240" w:lineRule="auto"/>
              <w:rPr>
                <w:rFonts w:hint="eastAsia" w:ascii="宋体" w:hAnsi="宋体" w:cs="宋体"/>
                <w:szCs w:val="21"/>
              </w:rPr>
            </w:pPr>
            <w:r>
              <w:rPr>
                <w:rFonts w:hint="eastAsia" w:ascii="宋体" w:hAnsi="宋体" w:cs="宋体"/>
                <w:szCs w:val="21"/>
              </w:rPr>
              <w:t>中标原则</w:t>
            </w:r>
          </w:p>
        </w:tc>
        <w:tc>
          <w:tcPr>
            <w:tcW w:w="7473" w:type="dxa"/>
            <w:vAlign w:val="center"/>
          </w:tcPr>
          <w:p w14:paraId="1860BCB1">
            <w:pPr>
              <w:autoSpaceDE w:val="0"/>
              <w:autoSpaceDN w:val="0"/>
              <w:spacing w:after="0" w:line="240" w:lineRule="auto"/>
              <w:rPr>
                <w:rFonts w:hint="eastAsia" w:ascii="宋体" w:hAnsi="宋体" w:cs="宋体"/>
                <w:szCs w:val="21"/>
              </w:rPr>
            </w:pPr>
            <w:r>
              <w:rPr>
                <w:rFonts w:hint="eastAsia" w:ascii="宋体" w:hAnsi="宋体" w:cs="宋体"/>
                <w:szCs w:val="21"/>
              </w:rPr>
              <w:t>招标人按照评审委员会推荐的中标候选人名单依次确定中标人数量</w:t>
            </w:r>
            <w:r>
              <w:rPr>
                <w:rFonts w:ascii="宋体" w:hAnsi="宋体" w:cs="宋体"/>
                <w:szCs w:val="21"/>
              </w:rPr>
              <w:t>1</w:t>
            </w:r>
            <w:r>
              <w:rPr>
                <w:rFonts w:hint="eastAsia" w:ascii="宋体" w:hAnsi="宋体" w:cs="宋体"/>
                <w:szCs w:val="21"/>
              </w:rPr>
              <w:t>名。</w:t>
            </w:r>
          </w:p>
        </w:tc>
      </w:tr>
      <w:tr w14:paraId="3432C0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723" w:hRule="atLeast"/>
        </w:trPr>
        <w:tc>
          <w:tcPr>
            <w:tcW w:w="0" w:type="auto"/>
            <w:vAlign w:val="center"/>
          </w:tcPr>
          <w:p w14:paraId="21ADA648">
            <w:pPr>
              <w:autoSpaceDE w:val="0"/>
              <w:autoSpaceDN w:val="0"/>
              <w:spacing w:after="0" w:line="240" w:lineRule="auto"/>
              <w:jc w:val="center"/>
              <w:rPr>
                <w:rFonts w:hint="eastAsia" w:ascii="宋体" w:hAnsi="宋体" w:cs="宋体"/>
                <w:szCs w:val="21"/>
              </w:rPr>
            </w:pPr>
            <w:r>
              <w:rPr>
                <w:rFonts w:ascii="宋体" w:hAnsi="宋体" w:cs="宋体"/>
                <w:szCs w:val="21"/>
              </w:rPr>
              <w:t>8.1.1</w:t>
            </w:r>
          </w:p>
        </w:tc>
        <w:tc>
          <w:tcPr>
            <w:tcW w:w="1720" w:type="dxa"/>
            <w:vAlign w:val="center"/>
          </w:tcPr>
          <w:p w14:paraId="1DD0D3A7">
            <w:pPr>
              <w:autoSpaceDE w:val="0"/>
              <w:autoSpaceDN w:val="0"/>
              <w:spacing w:after="0" w:line="240" w:lineRule="auto"/>
              <w:jc w:val="left"/>
              <w:rPr>
                <w:rFonts w:hint="eastAsia" w:ascii="宋体" w:hAnsi="宋体" w:cs="宋体"/>
                <w:szCs w:val="21"/>
              </w:rPr>
            </w:pPr>
            <w:r>
              <w:rPr>
                <w:rFonts w:hint="eastAsia" w:ascii="宋体" w:hAnsi="宋体" w:cs="宋体"/>
                <w:szCs w:val="21"/>
              </w:rPr>
              <w:t>履约保证金金额和形式</w:t>
            </w:r>
          </w:p>
        </w:tc>
        <w:tc>
          <w:tcPr>
            <w:tcW w:w="7473" w:type="dxa"/>
            <w:vAlign w:val="center"/>
          </w:tcPr>
          <w:p w14:paraId="6F5469AF">
            <w:pPr>
              <w:autoSpaceDE w:val="0"/>
              <w:autoSpaceDN w:val="0"/>
              <w:spacing w:line="240" w:lineRule="auto"/>
              <w:jc w:val="left"/>
              <w:rPr>
                <w:rFonts w:hint="eastAsia" w:ascii="宋体" w:hAnsi="宋体"/>
              </w:rPr>
            </w:pPr>
            <w:r>
              <w:rPr>
                <w:rFonts w:hint="eastAsia" w:ascii="宋体" w:hAnsi="宋体"/>
              </w:rPr>
              <w:t>履约保证金金额：中选合同金额的</w:t>
            </w:r>
            <w:r>
              <w:rPr>
                <w:rFonts w:ascii="宋体" w:hAnsi="宋体"/>
                <w:u w:val="single"/>
              </w:rPr>
              <w:t>10</w:t>
            </w:r>
            <w:r>
              <w:rPr>
                <w:rFonts w:ascii="宋体" w:hAnsi="宋体"/>
              </w:rPr>
              <w:t>%</w:t>
            </w:r>
          </w:p>
          <w:p w14:paraId="14674B60">
            <w:pPr>
              <w:spacing w:line="240" w:lineRule="auto"/>
              <w:rPr>
                <w:rFonts w:hint="eastAsia" w:ascii="宋体" w:hAnsi="宋体"/>
              </w:rPr>
            </w:pPr>
            <w:r>
              <w:rPr>
                <w:rFonts w:hint="eastAsia" w:ascii="宋体" w:hAnsi="宋体"/>
              </w:rPr>
              <w:t>履约保证金方式：（现金/银行汇票/银行支票/银行保函）</w:t>
            </w:r>
          </w:p>
          <w:p w14:paraId="59C34B75">
            <w:pPr>
              <w:autoSpaceDE w:val="0"/>
              <w:autoSpaceDN w:val="0"/>
              <w:spacing w:after="0" w:line="240" w:lineRule="auto"/>
              <w:jc w:val="left"/>
              <w:rPr>
                <w:rFonts w:hint="eastAsia" w:ascii="宋体" w:hAnsi="宋体" w:cs="宋体"/>
                <w:szCs w:val="21"/>
              </w:rPr>
            </w:pPr>
            <w:r>
              <w:rPr>
                <w:rFonts w:hint="eastAsia" w:ascii="宋体" w:hAnsi="宋体" w:cs="仿宋"/>
                <w:szCs w:val="21"/>
              </w:rPr>
              <w:t>递交时限：中选人应在收到中选通知书后</w:t>
            </w:r>
            <w:r>
              <w:rPr>
                <w:rFonts w:ascii="宋体" w:hAnsi="宋体" w:cs="仿宋"/>
                <w:szCs w:val="21"/>
              </w:rPr>
              <w:t>10</w:t>
            </w:r>
            <w:r>
              <w:rPr>
                <w:rFonts w:hint="eastAsia" w:ascii="宋体" w:hAnsi="宋体" w:cs="仿宋"/>
                <w:szCs w:val="21"/>
              </w:rPr>
              <w:t>日内向采购人递交履约保证金，否则取消中选资格。</w:t>
            </w:r>
          </w:p>
        </w:tc>
      </w:tr>
      <w:tr w14:paraId="6137CA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1176" w:hRule="atLeast"/>
        </w:trPr>
        <w:tc>
          <w:tcPr>
            <w:tcW w:w="0" w:type="auto"/>
            <w:vAlign w:val="center"/>
          </w:tcPr>
          <w:p w14:paraId="1A0D68F9">
            <w:pPr>
              <w:autoSpaceDE w:val="0"/>
              <w:autoSpaceDN w:val="0"/>
              <w:spacing w:after="0" w:line="240" w:lineRule="auto"/>
              <w:jc w:val="center"/>
              <w:rPr>
                <w:rFonts w:hint="eastAsia" w:ascii="宋体" w:hAnsi="宋体" w:cs="宋体"/>
                <w:szCs w:val="21"/>
              </w:rPr>
            </w:pPr>
            <w:r>
              <w:rPr>
                <w:rFonts w:ascii="宋体" w:hAnsi="宋体" w:cs="宋体"/>
                <w:szCs w:val="21"/>
              </w:rPr>
              <w:t>9</w:t>
            </w:r>
          </w:p>
        </w:tc>
        <w:tc>
          <w:tcPr>
            <w:tcW w:w="1720" w:type="dxa"/>
            <w:vAlign w:val="center"/>
          </w:tcPr>
          <w:p w14:paraId="0F80DB99">
            <w:pPr>
              <w:autoSpaceDE w:val="0"/>
              <w:autoSpaceDN w:val="0"/>
              <w:spacing w:after="0" w:line="240" w:lineRule="auto"/>
              <w:rPr>
                <w:rFonts w:hint="eastAsia" w:ascii="宋体" w:hAnsi="宋体" w:cs="宋体"/>
                <w:color w:val="auto"/>
                <w:szCs w:val="21"/>
              </w:rPr>
            </w:pPr>
            <w:r>
              <w:rPr>
                <w:rFonts w:hint="eastAsia" w:ascii="宋体" w:hAnsi="宋体" w:cs="宋体"/>
                <w:color w:val="auto"/>
                <w:szCs w:val="21"/>
              </w:rPr>
              <w:t>招标代理服务费金额、交纳方式和时限</w:t>
            </w:r>
          </w:p>
        </w:tc>
        <w:tc>
          <w:tcPr>
            <w:tcW w:w="7473" w:type="dxa"/>
            <w:vAlign w:val="center"/>
          </w:tcPr>
          <w:p w14:paraId="5D752677">
            <w:pPr>
              <w:autoSpaceDE w:val="0"/>
              <w:autoSpaceDN w:val="0"/>
              <w:spacing w:after="0" w:line="240" w:lineRule="auto"/>
              <w:jc w:val="left"/>
              <w:rPr>
                <w:rFonts w:hint="eastAsia" w:ascii="宋体" w:hAnsi="宋体" w:cs="宋体"/>
                <w:b/>
                <w:color w:val="auto"/>
                <w:szCs w:val="21"/>
              </w:rPr>
            </w:pPr>
            <w:r>
              <w:rPr>
                <w:rFonts w:hint="eastAsia" w:ascii="宋体" w:hAnsi="宋体" w:cs="宋体"/>
                <w:b/>
                <w:color w:val="auto"/>
                <w:szCs w:val="21"/>
              </w:rPr>
              <w:t>固定服务费金额：45728.34元。</w:t>
            </w:r>
          </w:p>
          <w:p w14:paraId="725191AC">
            <w:pPr>
              <w:autoSpaceDE w:val="0"/>
              <w:autoSpaceDN w:val="0"/>
              <w:spacing w:after="0" w:line="240" w:lineRule="auto"/>
              <w:jc w:val="left"/>
              <w:rPr>
                <w:rFonts w:hint="eastAsia" w:ascii="宋体" w:hAnsi="宋体" w:cs="仿宋"/>
                <w:color w:val="auto"/>
                <w:szCs w:val="21"/>
              </w:rPr>
            </w:pPr>
            <w:r>
              <w:rPr>
                <w:rFonts w:hint="eastAsia" w:ascii="宋体" w:hAnsi="宋体" w:cs="仿宋"/>
                <w:color w:val="auto"/>
                <w:szCs w:val="21"/>
              </w:rPr>
              <w:t>交纳方式：由中标人支付，银行电汇或转账。</w:t>
            </w:r>
          </w:p>
          <w:p w14:paraId="3E4E69A6">
            <w:pPr>
              <w:autoSpaceDE w:val="0"/>
              <w:autoSpaceDN w:val="0"/>
              <w:spacing w:after="0" w:line="240" w:lineRule="auto"/>
              <w:jc w:val="left"/>
              <w:rPr>
                <w:rFonts w:hint="eastAsia" w:ascii="宋体" w:hAnsi="宋体" w:cs="宋体"/>
                <w:b/>
                <w:color w:val="auto"/>
                <w:szCs w:val="21"/>
              </w:rPr>
            </w:pPr>
            <w:r>
              <w:rPr>
                <w:rFonts w:hint="eastAsia" w:ascii="宋体" w:hAnsi="宋体" w:cs="仿宋"/>
                <w:color w:val="auto"/>
                <w:szCs w:val="21"/>
              </w:rPr>
              <w:t>交纳时限：自发出中标通知书后5个工作日内。</w:t>
            </w:r>
          </w:p>
        </w:tc>
      </w:tr>
      <w:tr w14:paraId="64F3374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0" w:type="auto"/>
            <w:tcBorders>
              <w:bottom w:val="single" w:color="auto" w:sz="8" w:space="0"/>
            </w:tcBorders>
            <w:vAlign w:val="center"/>
          </w:tcPr>
          <w:p w14:paraId="344DC496">
            <w:pPr>
              <w:autoSpaceDE w:val="0"/>
              <w:autoSpaceDN w:val="0"/>
              <w:spacing w:after="0" w:line="240" w:lineRule="auto"/>
              <w:jc w:val="center"/>
              <w:rPr>
                <w:rFonts w:hint="eastAsia" w:ascii="宋体" w:hAnsi="宋体" w:cs="宋体"/>
                <w:szCs w:val="21"/>
              </w:rPr>
            </w:pPr>
            <w:r>
              <w:rPr>
                <w:rFonts w:ascii="宋体" w:hAnsi="宋体" w:cs="宋体"/>
                <w:szCs w:val="21"/>
              </w:rPr>
              <w:t>11</w:t>
            </w:r>
          </w:p>
        </w:tc>
        <w:tc>
          <w:tcPr>
            <w:tcW w:w="1720" w:type="dxa"/>
            <w:tcBorders>
              <w:bottom w:val="single" w:color="auto" w:sz="8" w:space="0"/>
            </w:tcBorders>
            <w:vAlign w:val="center"/>
          </w:tcPr>
          <w:p w14:paraId="267B6CC2">
            <w:pPr>
              <w:autoSpaceDE w:val="0"/>
              <w:autoSpaceDN w:val="0"/>
              <w:spacing w:after="0" w:line="240" w:lineRule="auto"/>
              <w:rPr>
                <w:rFonts w:hint="eastAsia" w:ascii="宋体" w:hAnsi="宋体" w:cs="宋体"/>
                <w:szCs w:val="21"/>
              </w:rPr>
            </w:pPr>
            <w:r>
              <w:rPr>
                <w:rFonts w:hint="eastAsia" w:ascii="宋体" w:hAnsi="宋体" w:cs="宋体"/>
                <w:szCs w:val="21"/>
              </w:rPr>
              <w:t>需要补充的其他内容</w:t>
            </w:r>
          </w:p>
        </w:tc>
        <w:tc>
          <w:tcPr>
            <w:tcW w:w="7473" w:type="dxa"/>
            <w:tcBorders>
              <w:bottom w:val="single" w:color="auto" w:sz="8" w:space="0"/>
            </w:tcBorders>
            <w:vAlign w:val="center"/>
          </w:tcPr>
          <w:p w14:paraId="68082624">
            <w:pPr>
              <w:autoSpaceDE w:val="0"/>
              <w:autoSpaceDN w:val="0"/>
              <w:spacing w:after="0" w:line="240" w:lineRule="auto"/>
              <w:rPr>
                <w:rFonts w:hint="eastAsia" w:ascii="宋体" w:hAnsi="宋体" w:cs="宋体"/>
                <w:szCs w:val="21"/>
              </w:rPr>
            </w:pPr>
            <w:r>
              <w:rPr>
                <w:rFonts w:hint="eastAsia" w:ascii="宋体" w:hAnsi="宋体" w:cs="宋体"/>
                <w:szCs w:val="21"/>
              </w:rPr>
              <w:t>1</w:t>
            </w:r>
            <w:r>
              <w:rPr>
                <w:rFonts w:ascii="宋体" w:hAnsi="宋体" w:cs="宋体"/>
                <w:szCs w:val="21"/>
              </w:rPr>
              <w:t xml:space="preserve">. </w:t>
            </w:r>
            <w:r>
              <w:rPr>
                <w:rFonts w:hint="eastAsia" w:ascii="宋体" w:hAnsi="宋体" w:cs="宋体"/>
                <w:szCs w:val="21"/>
              </w:rPr>
              <w:t>投标文件真实性要求：</w:t>
            </w:r>
          </w:p>
          <w:p w14:paraId="538FA2E1">
            <w:pPr>
              <w:autoSpaceDE w:val="0"/>
              <w:autoSpaceDN w:val="0"/>
              <w:spacing w:after="0" w:line="240" w:lineRule="auto"/>
              <w:rPr>
                <w:rFonts w:hint="eastAsia" w:ascii="宋体" w:hAnsi="宋体" w:cs="宋体"/>
                <w:szCs w:val="21"/>
              </w:rPr>
            </w:pPr>
            <w:r>
              <w:rPr>
                <w:rFonts w:hint="eastAsia" w:ascii="宋体" w:hAnsi="宋体" w:cs="宋体"/>
                <w:szCs w:val="21"/>
              </w:rPr>
              <w:t>投标人递交的投标文件须真实，评标委员会可以要求投标人提供的原件备查，如评标委员会发现投标文件弄虚作假，将作投标否决处理。</w:t>
            </w:r>
          </w:p>
          <w:p w14:paraId="654CA1D8">
            <w:pPr>
              <w:autoSpaceDE w:val="0"/>
              <w:autoSpaceDN w:val="0"/>
              <w:spacing w:after="0" w:line="240" w:lineRule="auto"/>
              <w:rPr>
                <w:rFonts w:hint="default" w:eastAsia="宋体"/>
                <w:lang w:val="en-US" w:eastAsia="zh-CN"/>
              </w:rPr>
            </w:pPr>
            <w:r>
              <w:rPr>
                <w:rFonts w:hint="eastAsia" w:ascii="宋体" w:hAnsi="宋体" w:cs="宋体"/>
                <w:szCs w:val="21"/>
              </w:rPr>
              <w:t>2</w:t>
            </w:r>
            <w:r>
              <w:rPr>
                <w:rFonts w:ascii="宋体" w:hAnsi="宋体" w:cs="宋体"/>
                <w:szCs w:val="21"/>
              </w:rPr>
              <w:t>.</w:t>
            </w:r>
            <w:r>
              <w:rPr>
                <w:rFonts w:hint="eastAsia" w:ascii="宋体" w:hAnsi="宋体" w:cs="宋体"/>
                <w:szCs w:val="21"/>
              </w:rPr>
              <w:t>投标人只允许有一个报价，招标人不接受任何有选择的报价。</w:t>
            </w:r>
          </w:p>
        </w:tc>
      </w:tr>
    </w:tbl>
    <w:p w14:paraId="619D6A20">
      <w:pPr>
        <w:autoSpaceDE w:val="0"/>
        <w:autoSpaceDN w:val="0"/>
        <w:ind w:firstLine="420" w:firstLineChars="200"/>
        <w:rPr>
          <w:rFonts w:hint="eastAsia" w:ascii="宋体" w:hAnsi="宋体" w:cs="宋体"/>
        </w:rPr>
      </w:pPr>
      <w:r>
        <w:rPr>
          <w:rFonts w:hint="eastAsia" w:ascii="宋体" w:hAnsi="宋体" w:cs="宋体"/>
          <w:szCs w:val="21"/>
        </w:rPr>
        <w:t>本投标人须知前附表是对投标人须知正文的具体补充和修改，如有矛盾，以本前附表为准。</w:t>
      </w:r>
    </w:p>
    <w:p w14:paraId="6EFD2FB4">
      <w:pPr>
        <w:pStyle w:val="40"/>
        <w:tabs>
          <w:tab w:val="left" w:pos="602"/>
        </w:tabs>
        <w:snapToGrid w:val="0"/>
        <w:spacing w:before="120" w:after="120" w:line="440" w:lineRule="exact"/>
        <w:jc w:val="left"/>
        <w:rPr>
          <w:rFonts w:hint="eastAsia" w:ascii="宋体" w:hAnsi="宋体"/>
          <w:sz w:val="28"/>
          <w:szCs w:val="28"/>
        </w:rPr>
        <w:sectPr>
          <w:footerReference r:id="rId9" w:type="first"/>
          <w:footerReference r:id="rId8" w:type="default"/>
          <w:type w:val="continuous"/>
          <w:pgSz w:w="11906" w:h="16838"/>
          <w:pgMar w:top="1440" w:right="1080" w:bottom="1440" w:left="1080" w:header="851" w:footer="992" w:gutter="0"/>
          <w:pgBorders>
            <w:top w:val="none" w:sz="0" w:space="0"/>
            <w:left w:val="none" w:sz="0" w:space="0"/>
            <w:bottom w:val="none" w:sz="0" w:space="0"/>
            <w:right w:val="none" w:sz="0" w:space="0"/>
          </w:pgBorders>
          <w:cols w:space="720" w:num="1"/>
          <w:titlePg/>
          <w:docGrid w:type="lines" w:linePitch="312" w:charSpace="0"/>
        </w:sectPr>
      </w:pPr>
      <w:bookmarkStart w:id="16" w:name="_Toc227057885"/>
      <w:bookmarkStart w:id="17" w:name="_Toc226969278"/>
      <w:bookmarkStart w:id="18" w:name="_Toc488655831"/>
      <w:bookmarkStart w:id="19" w:name="_Toc107822484"/>
      <w:bookmarkStart w:id="20" w:name="_Toc447188667"/>
    </w:p>
    <w:bookmarkEnd w:id="16"/>
    <w:bookmarkEnd w:id="17"/>
    <w:bookmarkEnd w:id="18"/>
    <w:bookmarkEnd w:id="19"/>
    <w:bookmarkEnd w:id="20"/>
    <w:p w14:paraId="021C03AE">
      <w:pPr>
        <w:pStyle w:val="3"/>
        <w:adjustRightInd w:val="0"/>
        <w:snapToGrid w:val="0"/>
        <w:spacing w:before="0" w:after="0" w:line="360" w:lineRule="auto"/>
        <w:jc w:val="left"/>
        <w:rPr>
          <w:rFonts w:hint="eastAsia" w:ascii="宋体" w:hAnsi="宋体" w:eastAsia="宋体"/>
          <w:sz w:val="21"/>
          <w:szCs w:val="21"/>
        </w:rPr>
      </w:pPr>
      <w:bookmarkStart w:id="21" w:name="_Toc151663699"/>
      <w:bookmarkStart w:id="22" w:name="_Toc214432833"/>
      <w:bookmarkStart w:id="23" w:name="_Toc474851055"/>
      <w:r>
        <w:rPr>
          <w:rFonts w:hint="eastAsia" w:ascii="宋体" w:hAnsi="宋体" w:eastAsia="宋体"/>
          <w:sz w:val="21"/>
          <w:szCs w:val="21"/>
        </w:rPr>
        <w:t>1</w:t>
      </w:r>
      <w:r>
        <w:rPr>
          <w:rFonts w:ascii="宋体" w:hAnsi="宋体" w:eastAsia="宋体"/>
          <w:sz w:val="21"/>
          <w:szCs w:val="21"/>
        </w:rPr>
        <w:t xml:space="preserve"> . </w:t>
      </w:r>
      <w:r>
        <w:rPr>
          <w:rFonts w:hint="eastAsia" w:ascii="宋体" w:hAnsi="宋体" w:eastAsia="宋体"/>
          <w:sz w:val="21"/>
          <w:szCs w:val="21"/>
        </w:rPr>
        <w:t>总则</w:t>
      </w:r>
      <w:bookmarkEnd w:id="21"/>
      <w:bookmarkEnd w:id="22"/>
    </w:p>
    <w:p w14:paraId="07C5E449">
      <w:pPr>
        <w:pStyle w:val="4"/>
        <w:snapToGrid w:val="0"/>
        <w:spacing w:before="0" w:after="0" w:line="360" w:lineRule="auto"/>
        <w:rPr>
          <w:rFonts w:hint="eastAsia" w:ascii="宋体" w:hAnsi="宋体" w:eastAsia="宋体"/>
          <w:sz w:val="21"/>
          <w:szCs w:val="21"/>
        </w:rPr>
      </w:pPr>
      <w:bookmarkStart w:id="24" w:name="_Toc479172310"/>
      <w:bookmarkStart w:id="25" w:name="_Toc246996919"/>
      <w:bookmarkStart w:id="26" w:name="_Toc447265503"/>
      <w:bookmarkStart w:id="27" w:name="_Toc472689488"/>
      <w:bookmarkStart w:id="28" w:name="_Toc152042306"/>
      <w:bookmarkStart w:id="29" w:name="_Toc508963691"/>
      <w:bookmarkStart w:id="30" w:name="_Toc144974498"/>
      <w:bookmarkStart w:id="31" w:name="_Toc179632547"/>
      <w:bookmarkStart w:id="32" w:name="_Toc247085690"/>
      <w:bookmarkStart w:id="33" w:name="_Toc296602421"/>
      <w:bookmarkStart w:id="34" w:name="_Toc152045530"/>
      <w:bookmarkStart w:id="35" w:name="_Toc246996176"/>
      <w:bookmarkStart w:id="36" w:name="_Toc447265217"/>
      <w:bookmarkStart w:id="37" w:name="_Toc485377408"/>
      <w:bookmarkStart w:id="38" w:name="_Toc447188668"/>
      <w:r>
        <w:rPr>
          <w:rFonts w:hint="eastAsia" w:ascii="宋体" w:hAnsi="宋体" w:eastAsia="宋体"/>
          <w:sz w:val="21"/>
          <w:szCs w:val="21"/>
        </w:rPr>
        <w:t>1.1  项目概况</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DD36F3B">
      <w:pPr>
        <w:pStyle w:val="102"/>
        <w:adjustRightInd w:val="0"/>
        <w:snapToGrid w:val="0"/>
        <w:spacing w:after="0"/>
        <w:ind w:firstLine="420"/>
        <w:rPr>
          <w:rFonts w:hint="eastAsia" w:ascii="宋体" w:hAnsi="宋体"/>
          <w:sz w:val="21"/>
        </w:rPr>
      </w:pPr>
      <w:r>
        <w:rPr>
          <w:rFonts w:hint="eastAsia" w:ascii="宋体" w:hAnsi="宋体"/>
          <w:sz w:val="21"/>
        </w:rPr>
        <w:t>1.</w:t>
      </w:r>
      <w:r>
        <w:rPr>
          <w:rFonts w:ascii="宋体" w:hAnsi="宋体"/>
          <w:sz w:val="21"/>
        </w:rPr>
        <w:t>1.1</w:t>
      </w:r>
      <w:r>
        <w:rPr>
          <w:rFonts w:hint="eastAsia" w:ascii="宋体" w:hAnsi="宋体"/>
          <w:sz w:val="21"/>
        </w:rPr>
        <w:t xml:space="preserve">  根据《中华人民共和国招标投标法》（以下简称《招标投标法》）《中国人民共和国招标投标法实施条例》（以下简称《实施条例》）《惠州市交通投资集团有限公司项目招标采购管理制度（修订）》等有关法律、法规和规章的规定，本招标项目已具备采购条件，现对本采购项目进行采购。</w:t>
      </w:r>
    </w:p>
    <w:p w14:paraId="435F096F">
      <w:pPr>
        <w:pStyle w:val="102"/>
        <w:adjustRightInd w:val="0"/>
        <w:snapToGrid w:val="0"/>
        <w:spacing w:after="0"/>
        <w:ind w:firstLine="420"/>
        <w:rPr>
          <w:rFonts w:hint="eastAsia" w:ascii="宋体" w:hAnsi="宋体"/>
          <w:sz w:val="21"/>
        </w:rPr>
      </w:pPr>
      <w:r>
        <w:rPr>
          <w:rFonts w:ascii="宋体" w:hAnsi="宋体"/>
          <w:sz w:val="21"/>
        </w:rPr>
        <w:t>1.1.2</w:t>
      </w:r>
      <w:r>
        <w:rPr>
          <w:rFonts w:hint="eastAsia" w:ascii="宋体" w:hAnsi="宋体"/>
          <w:sz w:val="21"/>
        </w:rPr>
        <w:t xml:space="preserve">  招标人：招标人单位名称及联系方式见投标人须知前附表。</w:t>
      </w:r>
    </w:p>
    <w:p w14:paraId="2FF9BE2B">
      <w:pPr>
        <w:pStyle w:val="102"/>
        <w:adjustRightInd w:val="0"/>
        <w:snapToGrid w:val="0"/>
        <w:spacing w:after="0"/>
        <w:ind w:firstLine="420"/>
        <w:rPr>
          <w:rFonts w:hint="eastAsia" w:ascii="宋体" w:hAnsi="宋体"/>
          <w:sz w:val="21"/>
        </w:rPr>
      </w:pPr>
      <w:r>
        <w:rPr>
          <w:rFonts w:hint="eastAsia" w:ascii="宋体" w:hAnsi="宋体"/>
          <w:sz w:val="21"/>
        </w:rPr>
        <w:t>1</w:t>
      </w:r>
      <w:r>
        <w:rPr>
          <w:rFonts w:ascii="宋体" w:hAnsi="宋体"/>
          <w:sz w:val="21"/>
        </w:rPr>
        <w:t>.1</w:t>
      </w:r>
      <w:r>
        <w:rPr>
          <w:rFonts w:hint="eastAsia" w:ascii="宋体" w:hAnsi="宋体"/>
          <w:sz w:val="21"/>
        </w:rPr>
        <w:t>.3  采购项目名称：项目名称见投标人须知前附表。</w:t>
      </w:r>
    </w:p>
    <w:p w14:paraId="1B013F1B">
      <w:pPr>
        <w:pStyle w:val="4"/>
        <w:snapToGrid w:val="0"/>
        <w:spacing w:before="0" w:after="0" w:line="360" w:lineRule="auto"/>
        <w:rPr>
          <w:rFonts w:hint="eastAsia" w:ascii="宋体" w:hAnsi="宋体" w:eastAsia="宋体"/>
          <w:sz w:val="21"/>
          <w:szCs w:val="21"/>
        </w:rPr>
      </w:pPr>
      <w:bookmarkStart w:id="39" w:name="_Toc447188669"/>
      <w:bookmarkStart w:id="40" w:name="_Toc227057886"/>
      <w:bookmarkStart w:id="41" w:name="_Toc226969279"/>
      <w:bookmarkStart w:id="42" w:name="_Toc508963692"/>
      <w:bookmarkStart w:id="43" w:name="_Toc485377409"/>
      <w:bookmarkStart w:id="44" w:name="_Toc479172311"/>
      <w:bookmarkStart w:id="45" w:name="_Toc447265504"/>
      <w:bookmarkStart w:id="46" w:name="_Toc447265218"/>
      <w:bookmarkStart w:id="47" w:name="_Toc472689489"/>
      <w:r>
        <w:rPr>
          <w:rFonts w:ascii="宋体" w:hAnsi="宋体" w:eastAsia="宋体"/>
          <w:sz w:val="21"/>
          <w:szCs w:val="21"/>
        </w:rPr>
        <w:t>1.2</w:t>
      </w:r>
      <w:r>
        <w:rPr>
          <w:rFonts w:hint="eastAsia" w:ascii="宋体" w:hAnsi="宋体" w:eastAsia="宋体"/>
          <w:sz w:val="21"/>
          <w:szCs w:val="21"/>
        </w:rPr>
        <w:t xml:space="preserve">  资金来源</w:t>
      </w:r>
      <w:bookmarkEnd w:id="39"/>
      <w:bookmarkEnd w:id="40"/>
      <w:bookmarkEnd w:id="41"/>
      <w:r>
        <w:rPr>
          <w:rFonts w:hint="eastAsia" w:ascii="宋体" w:hAnsi="宋体" w:eastAsia="宋体"/>
          <w:sz w:val="21"/>
          <w:szCs w:val="21"/>
        </w:rPr>
        <w:t>和落实情况</w:t>
      </w:r>
      <w:bookmarkEnd w:id="42"/>
      <w:bookmarkEnd w:id="43"/>
      <w:bookmarkEnd w:id="44"/>
      <w:bookmarkEnd w:id="45"/>
      <w:bookmarkEnd w:id="46"/>
      <w:bookmarkEnd w:id="47"/>
    </w:p>
    <w:p w14:paraId="19DEAD3A">
      <w:pPr>
        <w:pStyle w:val="102"/>
        <w:adjustRightInd w:val="0"/>
        <w:snapToGrid w:val="0"/>
        <w:spacing w:after="0"/>
        <w:ind w:firstLine="420"/>
        <w:rPr>
          <w:rFonts w:hint="eastAsia" w:ascii="宋体" w:hAnsi="宋体"/>
          <w:sz w:val="21"/>
        </w:rPr>
      </w:pPr>
      <w:r>
        <w:rPr>
          <w:rFonts w:hint="eastAsia" w:ascii="宋体" w:hAnsi="宋体"/>
          <w:sz w:val="21"/>
        </w:rPr>
        <w:t>本采购项目资金已落实，资金来源见投标人须知前附表。</w:t>
      </w:r>
    </w:p>
    <w:p w14:paraId="0EA84950">
      <w:pPr>
        <w:pStyle w:val="4"/>
        <w:snapToGrid w:val="0"/>
        <w:spacing w:before="0" w:after="0" w:line="360" w:lineRule="auto"/>
        <w:rPr>
          <w:rFonts w:hint="eastAsia" w:ascii="宋体" w:hAnsi="宋体" w:eastAsia="宋体"/>
          <w:sz w:val="21"/>
          <w:szCs w:val="21"/>
        </w:rPr>
      </w:pPr>
      <w:bookmarkStart w:id="48" w:name="_Toc472689490"/>
      <w:bookmarkStart w:id="49" w:name="_Toc508963693"/>
      <w:bookmarkStart w:id="50" w:name="_Toc479172312"/>
      <w:bookmarkStart w:id="51" w:name="_Toc447188670"/>
      <w:bookmarkStart w:id="52" w:name="_Toc485377410"/>
      <w:bookmarkStart w:id="53" w:name="_Toc447265505"/>
      <w:bookmarkStart w:id="54" w:name="_Toc447265219"/>
      <w:r>
        <w:rPr>
          <w:rFonts w:hint="eastAsia" w:ascii="宋体" w:hAnsi="宋体" w:eastAsia="宋体"/>
          <w:sz w:val="21"/>
          <w:szCs w:val="21"/>
        </w:rPr>
        <w:t>1.3  采购范围</w:t>
      </w:r>
      <w:bookmarkEnd w:id="48"/>
      <w:bookmarkEnd w:id="49"/>
      <w:bookmarkEnd w:id="50"/>
      <w:bookmarkEnd w:id="51"/>
      <w:bookmarkEnd w:id="52"/>
      <w:bookmarkEnd w:id="53"/>
      <w:bookmarkEnd w:id="54"/>
    </w:p>
    <w:p w14:paraId="6911413A">
      <w:pPr>
        <w:pStyle w:val="102"/>
        <w:adjustRightInd w:val="0"/>
        <w:snapToGrid w:val="0"/>
        <w:spacing w:after="0"/>
        <w:ind w:firstLine="420"/>
        <w:rPr>
          <w:rFonts w:hint="eastAsia" w:ascii="宋体" w:hAnsi="宋体"/>
          <w:sz w:val="21"/>
        </w:rPr>
      </w:pPr>
      <w:r>
        <w:rPr>
          <w:rFonts w:hint="eastAsia" w:ascii="宋体" w:hAnsi="宋体"/>
          <w:sz w:val="21"/>
        </w:rPr>
        <w:t>本项目采购范围：见投标人须知前附表。</w:t>
      </w:r>
    </w:p>
    <w:p w14:paraId="56002CA1">
      <w:pPr>
        <w:pStyle w:val="4"/>
        <w:snapToGrid w:val="0"/>
        <w:spacing w:before="0" w:after="0" w:line="360" w:lineRule="auto"/>
        <w:rPr>
          <w:rFonts w:hint="eastAsia" w:ascii="宋体" w:hAnsi="宋体" w:eastAsia="宋体"/>
          <w:sz w:val="21"/>
          <w:szCs w:val="21"/>
        </w:rPr>
      </w:pPr>
      <w:bookmarkStart w:id="55" w:name="_Toc508963694"/>
      <w:r>
        <w:rPr>
          <w:rFonts w:ascii="宋体" w:hAnsi="宋体" w:eastAsia="宋体"/>
          <w:sz w:val="21"/>
          <w:szCs w:val="21"/>
        </w:rPr>
        <w:t xml:space="preserve">1.4  </w:t>
      </w:r>
      <w:r>
        <w:rPr>
          <w:rFonts w:hint="eastAsia" w:ascii="宋体" w:hAnsi="宋体" w:eastAsia="宋体"/>
          <w:sz w:val="21"/>
          <w:szCs w:val="21"/>
        </w:rPr>
        <w:t>采购类型</w:t>
      </w:r>
      <w:bookmarkEnd w:id="55"/>
    </w:p>
    <w:p w14:paraId="5FBCFF2B">
      <w:pPr>
        <w:pStyle w:val="102"/>
        <w:adjustRightInd w:val="0"/>
        <w:snapToGrid w:val="0"/>
        <w:spacing w:after="0"/>
        <w:ind w:firstLine="420"/>
        <w:rPr>
          <w:rFonts w:hint="eastAsia" w:ascii="宋体" w:hAnsi="宋体"/>
          <w:sz w:val="21"/>
        </w:rPr>
      </w:pPr>
      <w:r>
        <w:rPr>
          <w:rFonts w:hint="eastAsia" w:ascii="宋体" w:hAnsi="宋体"/>
          <w:sz w:val="21"/>
        </w:rPr>
        <w:t>1.4.1  本项目采用的采购类型见投标人须知前附表。</w:t>
      </w:r>
    </w:p>
    <w:p w14:paraId="7095F6ED">
      <w:pPr>
        <w:pStyle w:val="102"/>
        <w:adjustRightInd w:val="0"/>
        <w:snapToGrid w:val="0"/>
        <w:spacing w:after="0"/>
        <w:ind w:firstLine="420"/>
        <w:rPr>
          <w:rFonts w:hint="eastAsia" w:ascii="宋体" w:hAnsi="宋体"/>
          <w:sz w:val="21"/>
        </w:rPr>
      </w:pPr>
      <w:r>
        <w:rPr>
          <w:rFonts w:hint="eastAsia" w:ascii="宋体" w:hAnsi="宋体"/>
          <w:sz w:val="21"/>
        </w:rPr>
        <w:t>1.4.2  标包采购：是指招标人将采购项目划分为若干个标包进行采购。标包划分情况见投标人须知前附表。</w:t>
      </w:r>
    </w:p>
    <w:p w14:paraId="442EC7ED">
      <w:pPr>
        <w:pStyle w:val="102"/>
        <w:adjustRightInd w:val="0"/>
        <w:snapToGrid w:val="0"/>
        <w:spacing w:after="0"/>
        <w:ind w:firstLine="420"/>
        <w:rPr>
          <w:rFonts w:hint="eastAsia" w:ascii="宋体" w:hAnsi="宋体"/>
          <w:sz w:val="21"/>
        </w:rPr>
      </w:pPr>
      <w:r>
        <w:rPr>
          <w:rFonts w:hint="eastAsia" w:ascii="宋体" w:hAnsi="宋体"/>
          <w:sz w:val="21"/>
        </w:rPr>
        <w:t>1.4.3  份额采购：是指招标人预估采购涉及的所有项目的总体规模，并将其分为若干份额，投标人对整个采购项目进行投标，根据评审排名顺序，依次成交相应份额。份额分配情况见投标人须知前附表。</w:t>
      </w:r>
    </w:p>
    <w:p w14:paraId="51B8A33E">
      <w:pPr>
        <w:pStyle w:val="102"/>
        <w:adjustRightInd w:val="0"/>
        <w:snapToGrid w:val="0"/>
        <w:spacing w:after="0"/>
        <w:ind w:firstLine="420"/>
        <w:rPr>
          <w:rFonts w:hint="eastAsia" w:ascii="宋体" w:hAnsi="宋体"/>
          <w:sz w:val="21"/>
        </w:rPr>
      </w:pPr>
      <w:r>
        <w:rPr>
          <w:rFonts w:ascii="宋体" w:hAnsi="宋体"/>
          <w:sz w:val="21"/>
        </w:rPr>
        <w:t xml:space="preserve">1.4.4  </w:t>
      </w:r>
      <w:r>
        <w:rPr>
          <w:rFonts w:hint="eastAsia" w:ascii="宋体" w:hAnsi="宋体"/>
          <w:sz w:val="21"/>
        </w:rPr>
        <w:t>混合采购：是指招标人将采购项目划分为若干个标包，并预估每个标包所包含项目的规模，将每个标包分成若干份额，要求投标人分别对每个标包独立投标，每个标包按照份额采购方式操作。标包划分及份额分配情况见投标人须知前附表。</w:t>
      </w:r>
    </w:p>
    <w:p w14:paraId="335B5AB0">
      <w:pPr>
        <w:pStyle w:val="4"/>
        <w:snapToGrid w:val="0"/>
        <w:spacing w:before="0" w:after="0" w:line="360" w:lineRule="auto"/>
        <w:rPr>
          <w:rFonts w:hint="eastAsia" w:ascii="宋体" w:hAnsi="宋体" w:eastAsia="宋体"/>
          <w:sz w:val="21"/>
          <w:szCs w:val="21"/>
        </w:rPr>
      </w:pPr>
      <w:bookmarkStart w:id="56" w:name="_Toc472689492"/>
      <w:bookmarkStart w:id="57" w:name="_Toc107822486"/>
      <w:bookmarkStart w:id="58" w:name="_Toc447188672"/>
      <w:bookmarkStart w:id="59" w:name="_Toc226969281"/>
      <w:bookmarkStart w:id="60" w:name="_Toc485377412"/>
      <w:bookmarkStart w:id="61" w:name="_Toc479172314"/>
      <w:bookmarkStart w:id="62" w:name="_Toc447265507"/>
      <w:bookmarkStart w:id="63" w:name="_Toc227057888"/>
      <w:bookmarkStart w:id="64" w:name="_Toc508963695"/>
      <w:bookmarkStart w:id="65" w:name="_Toc447265221"/>
      <w:r>
        <w:rPr>
          <w:rFonts w:hint="eastAsia" w:ascii="宋体" w:hAnsi="宋体" w:eastAsia="宋体"/>
          <w:sz w:val="21"/>
          <w:szCs w:val="21"/>
        </w:rPr>
        <w:t>1.5  采购方式</w:t>
      </w:r>
      <w:bookmarkEnd w:id="56"/>
      <w:bookmarkEnd w:id="57"/>
      <w:bookmarkEnd w:id="58"/>
      <w:bookmarkEnd w:id="59"/>
      <w:bookmarkEnd w:id="60"/>
      <w:bookmarkEnd w:id="61"/>
      <w:bookmarkEnd w:id="62"/>
      <w:bookmarkEnd w:id="63"/>
      <w:bookmarkEnd w:id="64"/>
      <w:bookmarkEnd w:id="65"/>
    </w:p>
    <w:p w14:paraId="52B2F19F">
      <w:pPr>
        <w:pStyle w:val="102"/>
        <w:adjustRightInd w:val="0"/>
        <w:snapToGrid w:val="0"/>
        <w:spacing w:after="0"/>
        <w:ind w:firstLine="420"/>
        <w:rPr>
          <w:rFonts w:hint="eastAsia" w:ascii="宋体" w:hAnsi="宋体"/>
          <w:sz w:val="21"/>
        </w:rPr>
      </w:pPr>
      <w:r>
        <w:rPr>
          <w:rFonts w:hint="eastAsia" w:ascii="宋体" w:hAnsi="宋体"/>
          <w:sz w:val="21"/>
        </w:rPr>
        <w:t>1.5.1  采购方式见投标人须知前附表。</w:t>
      </w:r>
    </w:p>
    <w:p w14:paraId="35EC38E1">
      <w:pPr>
        <w:pStyle w:val="102"/>
        <w:adjustRightInd w:val="0"/>
        <w:snapToGrid w:val="0"/>
        <w:spacing w:after="0"/>
        <w:ind w:firstLine="420"/>
        <w:rPr>
          <w:rFonts w:hint="eastAsia" w:ascii="宋体" w:hAnsi="宋体"/>
          <w:sz w:val="21"/>
        </w:rPr>
      </w:pPr>
      <w:r>
        <w:rPr>
          <w:rFonts w:hint="eastAsia" w:ascii="宋体" w:hAnsi="宋体"/>
          <w:sz w:val="21"/>
        </w:rPr>
        <w:t>1.5.2  公开招标：是指招标人以招标公告的方式邀请不特定的法人或者其他组织投标。</w:t>
      </w:r>
    </w:p>
    <w:p w14:paraId="424EDA98">
      <w:pPr>
        <w:pStyle w:val="102"/>
        <w:adjustRightInd w:val="0"/>
        <w:snapToGrid w:val="0"/>
        <w:spacing w:after="0"/>
        <w:ind w:firstLine="420"/>
        <w:rPr>
          <w:rFonts w:hint="eastAsia" w:ascii="宋体" w:hAnsi="宋体"/>
          <w:sz w:val="21"/>
        </w:rPr>
      </w:pPr>
      <w:r>
        <w:rPr>
          <w:rFonts w:ascii="宋体" w:hAnsi="宋体"/>
          <w:sz w:val="21"/>
        </w:rPr>
        <w:t>1.5.3</w:t>
      </w:r>
      <w:r>
        <w:rPr>
          <w:rFonts w:hint="eastAsia" w:ascii="宋体" w:hAnsi="宋体"/>
          <w:sz w:val="21"/>
        </w:rPr>
        <w:t xml:space="preserve">  邀请招标：是指招标人以采购邀请书的方式邀请特定的法人或者其他组织投标。</w:t>
      </w:r>
    </w:p>
    <w:p w14:paraId="6624BE4D">
      <w:pPr>
        <w:pStyle w:val="4"/>
        <w:snapToGrid w:val="0"/>
        <w:spacing w:before="0" w:after="0" w:line="360" w:lineRule="auto"/>
        <w:rPr>
          <w:rFonts w:hint="eastAsia" w:ascii="宋体" w:hAnsi="宋体" w:eastAsia="宋体"/>
          <w:sz w:val="21"/>
          <w:szCs w:val="21"/>
        </w:rPr>
      </w:pPr>
      <w:bookmarkStart w:id="66" w:name="_Toc227057887"/>
      <w:bookmarkStart w:id="67" w:name="_Toc508963696"/>
      <w:bookmarkStart w:id="68" w:name="_Toc479172315"/>
      <w:bookmarkStart w:id="69" w:name="_Toc226969280"/>
      <w:bookmarkStart w:id="70" w:name="_Toc447188673"/>
      <w:bookmarkStart w:id="71" w:name="_Toc107822485"/>
      <w:bookmarkStart w:id="72" w:name="_Toc472689493"/>
      <w:bookmarkStart w:id="73" w:name="_Toc447265222"/>
      <w:bookmarkStart w:id="74" w:name="_Toc447265508"/>
      <w:bookmarkStart w:id="75" w:name="_Toc485377413"/>
      <w:bookmarkStart w:id="76" w:name="_Toc227057889"/>
      <w:bookmarkStart w:id="77" w:name="_Toc226969282"/>
      <w:r>
        <w:rPr>
          <w:rFonts w:hint="eastAsia" w:ascii="宋体" w:hAnsi="宋体" w:eastAsia="宋体"/>
          <w:sz w:val="21"/>
          <w:szCs w:val="21"/>
        </w:rPr>
        <w:t>1.6  采购组织形式</w:t>
      </w:r>
      <w:bookmarkEnd w:id="66"/>
      <w:bookmarkEnd w:id="67"/>
      <w:bookmarkEnd w:id="68"/>
      <w:bookmarkEnd w:id="69"/>
      <w:bookmarkEnd w:id="70"/>
      <w:bookmarkEnd w:id="71"/>
      <w:bookmarkEnd w:id="72"/>
      <w:bookmarkEnd w:id="73"/>
      <w:bookmarkEnd w:id="74"/>
      <w:bookmarkEnd w:id="75"/>
    </w:p>
    <w:p w14:paraId="2AA57BF2">
      <w:pPr>
        <w:pStyle w:val="102"/>
        <w:adjustRightInd w:val="0"/>
        <w:snapToGrid w:val="0"/>
        <w:spacing w:after="0"/>
        <w:ind w:firstLine="420"/>
        <w:rPr>
          <w:rFonts w:hint="eastAsia" w:ascii="宋体" w:hAnsi="宋体"/>
          <w:sz w:val="21"/>
        </w:rPr>
      </w:pPr>
      <w:r>
        <w:rPr>
          <w:rFonts w:hint="eastAsia" w:ascii="宋体" w:hAnsi="宋体"/>
          <w:sz w:val="21"/>
        </w:rPr>
        <w:t>本项目由招标人自行组织</w:t>
      </w:r>
      <w:r>
        <w:rPr>
          <w:rFonts w:ascii="宋体" w:hAnsi="宋体"/>
          <w:sz w:val="21"/>
        </w:rPr>
        <w:t>/委托</w:t>
      </w:r>
      <w:r>
        <w:rPr>
          <w:rFonts w:hint="eastAsia" w:ascii="宋体" w:hAnsi="宋体"/>
          <w:sz w:val="21"/>
        </w:rPr>
        <w:t>招标代理机构采用代理采购的方式进行，采购组织形式、招标代理机构名称及联系方式见投标人须知前附表。</w:t>
      </w:r>
    </w:p>
    <w:p w14:paraId="2990C2F0">
      <w:pPr>
        <w:pStyle w:val="4"/>
        <w:snapToGrid w:val="0"/>
        <w:spacing w:before="0" w:after="0" w:line="360" w:lineRule="auto"/>
        <w:rPr>
          <w:rFonts w:hint="eastAsia" w:ascii="宋体" w:hAnsi="宋体" w:eastAsia="宋体"/>
          <w:sz w:val="21"/>
          <w:szCs w:val="21"/>
        </w:rPr>
      </w:pPr>
      <w:bookmarkStart w:id="78" w:name="_Toc508963697"/>
      <w:bookmarkStart w:id="79" w:name="_Toc447265223"/>
      <w:bookmarkStart w:id="80" w:name="_Toc479172316"/>
      <w:bookmarkStart w:id="81" w:name="_Toc447265509"/>
      <w:bookmarkStart w:id="82" w:name="_Toc485377414"/>
      <w:bookmarkStart w:id="83" w:name="_Toc472689494"/>
      <w:bookmarkStart w:id="84" w:name="_Toc447188674"/>
      <w:r>
        <w:rPr>
          <w:rFonts w:hint="eastAsia" w:ascii="宋体" w:hAnsi="宋体" w:eastAsia="宋体"/>
          <w:sz w:val="21"/>
          <w:szCs w:val="21"/>
        </w:rPr>
        <w:t>1.7  资格审查</w:t>
      </w:r>
      <w:bookmarkEnd w:id="76"/>
      <w:bookmarkEnd w:id="77"/>
      <w:bookmarkEnd w:id="78"/>
      <w:bookmarkEnd w:id="79"/>
      <w:bookmarkEnd w:id="80"/>
      <w:bookmarkEnd w:id="81"/>
      <w:bookmarkEnd w:id="82"/>
      <w:bookmarkEnd w:id="83"/>
      <w:bookmarkEnd w:id="84"/>
    </w:p>
    <w:p w14:paraId="31934ABA">
      <w:pPr>
        <w:pStyle w:val="102"/>
        <w:adjustRightInd w:val="0"/>
        <w:snapToGrid w:val="0"/>
        <w:spacing w:after="0"/>
        <w:ind w:firstLine="420"/>
        <w:rPr>
          <w:rFonts w:hint="eastAsia" w:ascii="宋体" w:hAnsi="宋体"/>
          <w:sz w:val="21"/>
        </w:rPr>
      </w:pPr>
      <w:bookmarkStart w:id="85" w:name="_Toc447265510"/>
      <w:bookmarkStart w:id="86" w:name="_Toc447188675"/>
      <w:bookmarkStart w:id="87" w:name="_Toc447265224"/>
      <w:r>
        <w:rPr>
          <w:rFonts w:hint="eastAsia" w:ascii="宋体" w:hAnsi="宋体"/>
          <w:sz w:val="21"/>
        </w:rPr>
        <w:t>1.7.1  本采购项目资格审查方式见投标人须知前附表。</w:t>
      </w:r>
    </w:p>
    <w:p w14:paraId="7AA69DBB">
      <w:pPr>
        <w:pStyle w:val="102"/>
        <w:adjustRightInd w:val="0"/>
        <w:snapToGrid w:val="0"/>
        <w:spacing w:after="0"/>
        <w:ind w:firstLine="420"/>
        <w:rPr>
          <w:rFonts w:hint="eastAsia" w:ascii="宋体" w:hAnsi="宋体"/>
          <w:sz w:val="21"/>
        </w:rPr>
      </w:pPr>
      <w:r>
        <w:rPr>
          <w:rFonts w:hint="eastAsia" w:ascii="宋体" w:hAnsi="宋体"/>
          <w:sz w:val="21"/>
        </w:rPr>
        <w:t>1.7.2  资格预审：是指在投标前对投标人进行的资格审查。采用资格预审方式的，资格条件已经在招标文件发出前的“资格预审文件”中做出规定。</w:t>
      </w:r>
    </w:p>
    <w:p w14:paraId="64FDF8CE">
      <w:pPr>
        <w:pStyle w:val="102"/>
        <w:adjustRightInd w:val="0"/>
        <w:snapToGrid w:val="0"/>
        <w:spacing w:after="0"/>
        <w:ind w:firstLine="428"/>
        <w:rPr>
          <w:rFonts w:hint="eastAsia" w:ascii="宋体" w:hAnsi="宋体"/>
          <w:spacing w:val="2"/>
          <w:sz w:val="21"/>
        </w:rPr>
      </w:pPr>
      <w:bookmarkStart w:id="88" w:name="_Toc226969283"/>
      <w:r>
        <w:rPr>
          <w:rFonts w:hint="eastAsia" w:ascii="宋体" w:hAnsi="宋体"/>
          <w:spacing w:val="2"/>
          <w:sz w:val="21"/>
        </w:rPr>
        <w:t>1.7.3  资格后审：是指在开标后由评审委员会根据招标文件的规定对投标人进行的资格审查。</w:t>
      </w:r>
      <w:bookmarkEnd w:id="88"/>
      <w:r>
        <w:rPr>
          <w:rFonts w:hint="eastAsia" w:ascii="宋体" w:hAnsi="宋体"/>
          <w:spacing w:val="2"/>
          <w:sz w:val="21"/>
        </w:rPr>
        <w:t>采用资格后审方式的，投标人应当具备的资格条件见投标人须知前附表。</w:t>
      </w:r>
    </w:p>
    <w:p w14:paraId="7E3EE9FF">
      <w:pPr>
        <w:pStyle w:val="102"/>
        <w:adjustRightInd w:val="0"/>
        <w:snapToGrid w:val="0"/>
        <w:spacing w:after="0"/>
        <w:ind w:firstLine="420"/>
        <w:rPr>
          <w:rFonts w:hint="eastAsia" w:ascii="宋体" w:hAnsi="宋体"/>
          <w:sz w:val="21"/>
        </w:rPr>
      </w:pPr>
      <w:r>
        <w:rPr>
          <w:rFonts w:hint="eastAsia" w:ascii="宋体" w:hAnsi="宋体"/>
          <w:sz w:val="21"/>
        </w:rPr>
        <w:t>1.7.4  采用资格后审的，招标人必须在招标文件中详细规定资格审查标准和方法。</w:t>
      </w:r>
    </w:p>
    <w:p w14:paraId="4EA3E2CF">
      <w:pPr>
        <w:pStyle w:val="102"/>
        <w:adjustRightInd w:val="0"/>
        <w:snapToGrid w:val="0"/>
        <w:spacing w:after="0"/>
        <w:ind w:firstLine="420"/>
        <w:rPr>
          <w:rFonts w:hint="eastAsia" w:ascii="宋体" w:hAnsi="宋体"/>
          <w:sz w:val="21"/>
        </w:rPr>
      </w:pPr>
      <w:r>
        <w:rPr>
          <w:rFonts w:hint="eastAsia" w:ascii="宋体" w:hAnsi="宋体"/>
          <w:sz w:val="21"/>
        </w:rPr>
        <w:t>1.7.5 资格后审一般包括下列内容：</w:t>
      </w:r>
    </w:p>
    <w:p w14:paraId="0040ECC1">
      <w:pPr>
        <w:pStyle w:val="102"/>
        <w:adjustRightInd w:val="0"/>
        <w:snapToGrid w:val="0"/>
        <w:spacing w:after="0"/>
        <w:ind w:firstLine="420"/>
        <w:rPr>
          <w:rFonts w:hint="eastAsia" w:ascii="宋体" w:hAnsi="宋体"/>
          <w:sz w:val="21"/>
        </w:rPr>
      </w:pPr>
      <w:r>
        <w:rPr>
          <w:rFonts w:hint="eastAsia" w:ascii="宋体" w:hAnsi="宋体"/>
          <w:sz w:val="21"/>
        </w:rPr>
        <w:t>（1）资格要求；</w:t>
      </w:r>
    </w:p>
    <w:p w14:paraId="55C75B83">
      <w:pPr>
        <w:pStyle w:val="102"/>
        <w:adjustRightInd w:val="0"/>
        <w:snapToGrid w:val="0"/>
        <w:spacing w:after="0"/>
        <w:ind w:firstLine="420"/>
        <w:rPr>
          <w:rFonts w:hint="eastAsia" w:ascii="宋体" w:hAnsi="宋体"/>
          <w:sz w:val="21"/>
        </w:rPr>
      </w:pPr>
      <w:r>
        <w:rPr>
          <w:rFonts w:hint="eastAsia" w:ascii="宋体" w:hAnsi="宋体"/>
          <w:sz w:val="21"/>
        </w:rPr>
        <w:t>（2）其他业绩要求；</w:t>
      </w:r>
    </w:p>
    <w:p w14:paraId="5C0EA1A8">
      <w:pPr>
        <w:pStyle w:val="102"/>
        <w:adjustRightInd w:val="0"/>
        <w:snapToGrid w:val="0"/>
        <w:spacing w:after="0"/>
        <w:ind w:firstLine="420"/>
        <w:rPr>
          <w:rFonts w:hint="eastAsia" w:ascii="宋体" w:hAnsi="宋体"/>
          <w:sz w:val="21"/>
        </w:rPr>
      </w:pPr>
      <w:r>
        <w:rPr>
          <w:rFonts w:hint="eastAsia" w:ascii="宋体" w:hAnsi="宋体"/>
          <w:sz w:val="21"/>
        </w:rPr>
        <w:t>（3）审查标准和方法。</w:t>
      </w:r>
    </w:p>
    <w:p w14:paraId="385C95EE">
      <w:pPr>
        <w:pStyle w:val="102"/>
        <w:adjustRightInd w:val="0"/>
        <w:snapToGrid w:val="0"/>
        <w:spacing w:after="0"/>
        <w:ind w:firstLine="420"/>
        <w:rPr>
          <w:rFonts w:hint="eastAsia" w:ascii="宋体" w:hAnsi="宋体"/>
          <w:sz w:val="21"/>
        </w:rPr>
      </w:pPr>
      <w:r>
        <w:rPr>
          <w:rFonts w:hint="eastAsia" w:ascii="宋体" w:hAnsi="宋体"/>
          <w:sz w:val="21"/>
        </w:rPr>
        <w:t>1.7.6  资格后审不合格的投标人，评审委员会应当否决其投标。</w:t>
      </w:r>
    </w:p>
    <w:p w14:paraId="52F09484">
      <w:pPr>
        <w:pStyle w:val="4"/>
        <w:snapToGrid w:val="0"/>
        <w:spacing w:before="0" w:after="0" w:line="360" w:lineRule="auto"/>
        <w:rPr>
          <w:rFonts w:hint="eastAsia" w:ascii="宋体" w:hAnsi="宋体" w:eastAsia="宋体"/>
          <w:sz w:val="21"/>
          <w:szCs w:val="21"/>
        </w:rPr>
      </w:pPr>
      <w:bookmarkStart w:id="89" w:name="_Toc472689495"/>
      <w:bookmarkStart w:id="90" w:name="_Toc485377415"/>
      <w:bookmarkStart w:id="91" w:name="_Toc479172317"/>
      <w:bookmarkStart w:id="92" w:name="_Toc508963698"/>
      <w:r>
        <w:rPr>
          <w:rFonts w:hint="eastAsia" w:ascii="宋体" w:hAnsi="宋体" w:eastAsia="宋体"/>
          <w:sz w:val="21"/>
          <w:szCs w:val="21"/>
        </w:rPr>
        <w:t>1.8  投标人不得存在的情形</w:t>
      </w:r>
      <w:bookmarkEnd w:id="85"/>
      <w:bookmarkEnd w:id="86"/>
      <w:bookmarkEnd w:id="87"/>
      <w:bookmarkEnd w:id="89"/>
      <w:bookmarkEnd w:id="90"/>
      <w:bookmarkEnd w:id="91"/>
      <w:bookmarkEnd w:id="92"/>
    </w:p>
    <w:p w14:paraId="727E699C">
      <w:pPr>
        <w:pStyle w:val="102"/>
        <w:adjustRightInd w:val="0"/>
        <w:snapToGrid w:val="0"/>
        <w:spacing w:after="0"/>
        <w:ind w:firstLine="420"/>
        <w:rPr>
          <w:rFonts w:hint="eastAsia" w:ascii="宋体" w:hAnsi="宋体"/>
          <w:sz w:val="21"/>
        </w:rPr>
      </w:pPr>
      <w:r>
        <w:rPr>
          <w:rFonts w:hint="eastAsia" w:ascii="宋体" w:hAnsi="宋体"/>
          <w:sz w:val="21"/>
        </w:rPr>
        <w:t>1.8.1  投标人不得存在下列情形之一：</w:t>
      </w:r>
    </w:p>
    <w:p w14:paraId="76A687D2">
      <w:pPr>
        <w:pStyle w:val="102"/>
        <w:adjustRightInd w:val="0"/>
        <w:snapToGrid w:val="0"/>
        <w:spacing w:after="0"/>
        <w:ind w:firstLine="420"/>
        <w:rPr>
          <w:rFonts w:hint="eastAsia" w:ascii="宋体" w:hAnsi="宋体"/>
          <w:sz w:val="21"/>
        </w:rPr>
      </w:pPr>
      <w:r>
        <w:rPr>
          <w:rFonts w:hint="eastAsia" w:ascii="宋体" w:hAnsi="宋体"/>
          <w:sz w:val="21"/>
        </w:rPr>
        <w:t xml:space="preserve">（1）为招标人不具有独立法人资格的附属机构（单位）； </w:t>
      </w:r>
    </w:p>
    <w:p w14:paraId="6DB570C2">
      <w:pPr>
        <w:pStyle w:val="102"/>
        <w:adjustRightInd w:val="0"/>
        <w:snapToGrid w:val="0"/>
        <w:spacing w:after="0"/>
        <w:ind w:firstLine="420"/>
        <w:rPr>
          <w:rFonts w:hint="eastAsia" w:ascii="宋体" w:hAnsi="宋体"/>
          <w:sz w:val="21"/>
        </w:rPr>
      </w:pPr>
      <w:r>
        <w:rPr>
          <w:rFonts w:hint="eastAsia" w:ascii="宋体" w:hAnsi="宋体"/>
          <w:sz w:val="21"/>
        </w:rPr>
        <w:t xml:space="preserve">（2）被责令停业的； </w:t>
      </w:r>
    </w:p>
    <w:p w14:paraId="64B3AADA">
      <w:pPr>
        <w:pStyle w:val="102"/>
        <w:adjustRightInd w:val="0"/>
        <w:snapToGrid w:val="0"/>
        <w:spacing w:after="0"/>
        <w:ind w:firstLine="420"/>
        <w:rPr>
          <w:rFonts w:hint="eastAsia" w:ascii="宋体" w:hAnsi="宋体"/>
          <w:sz w:val="21"/>
        </w:rPr>
      </w:pPr>
      <w:r>
        <w:rPr>
          <w:rFonts w:hint="eastAsia" w:ascii="宋体" w:hAnsi="宋体"/>
          <w:sz w:val="21"/>
        </w:rPr>
        <w:t xml:space="preserve">（3）被暂停或者取消投标资格的； </w:t>
      </w:r>
    </w:p>
    <w:p w14:paraId="5BAE4815">
      <w:pPr>
        <w:pStyle w:val="102"/>
        <w:adjustRightInd w:val="0"/>
        <w:snapToGrid w:val="0"/>
        <w:spacing w:after="0"/>
        <w:ind w:firstLine="420"/>
        <w:rPr>
          <w:rFonts w:hint="eastAsia" w:ascii="宋体" w:hAnsi="宋体"/>
          <w:sz w:val="21"/>
        </w:rPr>
      </w:pPr>
      <w:r>
        <w:rPr>
          <w:rFonts w:hint="eastAsia" w:ascii="宋体" w:hAnsi="宋体"/>
          <w:sz w:val="21"/>
        </w:rPr>
        <w:t>（4）财产被接管或者冻结的；</w:t>
      </w:r>
    </w:p>
    <w:p w14:paraId="48103421">
      <w:pPr>
        <w:pStyle w:val="102"/>
        <w:adjustRightInd w:val="0"/>
        <w:snapToGrid w:val="0"/>
        <w:spacing w:after="0"/>
        <w:ind w:firstLine="420"/>
        <w:rPr>
          <w:rFonts w:hint="eastAsia" w:ascii="宋体" w:hAnsi="宋体"/>
          <w:sz w:val="21"/>
        </w:rPr>
      </w:pPr>
      <w:r>
        <w:rPr>
          <w:rFonts w:hint="eastAsia" w:ascii="宋体" w:hAnsi="宋体"/>
          <w:sz w:val="21"/>
        </w:rPr>
        <w:t>（5）在最近三年内有骗取中标、严重违约、重大工程质量或者安全问题的；</w:t>
      </w:r>
    </w:p>
    <w:p w14:paraId="30ACC269">
      <w:pPr>
        <w:pStyle w:val="102"/>
        <w:adjustRightInd w:val="0"/>
        <w:snapToGrid w:val="0"/>
        <w:spacing w:after="0"/>
        <w:ind w:firstLine="420"/>
        <w:rPr>
          <w:rFonts w:hint="eastAsia" w:ascii="宋体" w:hAnsi="宋体"/>
          <w:sz w:val="21"/>
        </w:rPr>
      </w:pPr>
      <w:r>
        <w:rPr>
          <w:rFonts w:hint="eastAsia" w:ascii="宋体" w:hAnsi="宋体"/>
          <w:sz w:val="21"/>
        </w:rPr>
        <w:t>（6）法律法规限定的其他情形；</w:t>
      </w:r>
    </w:p>
    <w:p w14:paraId="6EAB099D">
      <w:pPr>
        <w:pStyle w:val="102"/>
        <w:adjustRightInd w:val="0"/>
        <w:snapToGrid w:val="0"/>
        <w:spacing w:after="0"/>
        <w:ind w:firstLine="420"/>
        <w:rPr>
          <w:rFonts w:hint="eastAsia" w:ascii="宋体" w:hAnsi="宋体"/>
          <w:sz w:val="21"/>
        </w:rPr>
      </w:pPr>
      <w:r>
        <w:rPr>
          <w:rFonts w:hint="eastAsia" w:ascii="宋体" w:hAnsi="宋体"/>
          <w:sz w:val="21"/>
        </w:rPr>
        <w:t>（7）招标文件规定的其他情形：见投标人须知前附表。</w:t>
      </w:r>
    </w:p>
    <w:p w14:paraId="329CB336">
      <w:pPr>
        <w:pStyle w:val="102"/>
        <w:adjustRightInd w:val="0"/>
        <w:snapToGrid w:val="0"/>
        <w:spacing w:after="0"/>
        <w:ind w:firstLine="420"/>
        <w:rPr>
          <w:rFonts w:hint="eastAsia" w:ascii="宋体" w:hAnsi="宋体"/>
          <w:sz w:val="21"/>
        </w:rPr>
      </w:pPr>
      <w:r>
        <w:rPr>
          <w:rFonts w:hint="eastAsia" w:ascii="宋体" w:hAnsi="宋体"/>
          <w:sz w:val="21"/>
        </w:rPr>
        <w:t>1.8.2  单位负责人为同一人或者存在控股、管理关系的不同单位，不得同时参加本项目中同一标包投标或者未划分标包的同一采购项目投标。</w:t>
      </w:r>
    </w:p>
    <w:p w14:paraId="4093FD1A">
      <w:pPr>
        <w:pStyle w:val="4"/>
        <w:snapToGrid w:val="0"/>
        <w:spacing w:before="0" w:after="0" w:line="360" w:lineRule="auto"/>
        <w:rPr>
          <w:rFonts w:hint="eastAsia" w:ascii="宋体" w:hAnsi="宋体" w:eastAsia="宋体"/>
          <w:sz w:val="21"/>
          <w:szCs w:val="21"/>
        </w:rPr>
      </w:pPr>
      <w:bookmarkStart w:id="93" w:name="_Toc508963699"/>
      <w:bookmarkStart w:id="94" w:name="_Toc227057890"/>
      <w:bookmarkStart w:id="95" w:name="_Toc447265511"/>
      <w:bookmarkStart w:id="96" w:name="_Toc479172318"/>
      <w:bookmarkStart w:id="97" w:name="_Toc107822487"/>
      <w:bookmarkStart w:id="98" w:name="_Toc447188676"/>
      <w:bookmarkStart w:id="99" w:name="_Toc472689496"/>
      <w:bookmarkStart w:id="100" w:name="_Toc226969284"/>
      <w:bookmarkStart w:id="101" w:name="_Toc447265225"/>
      <w:bookmarkStart w:id="102" w:name="_Toc485377416"/>
      <w:r>
        <w:rPr>
          <w:rFonts w:hint="eastAsia" w:ascii="宋体" w:hAnsi="宋体" w:eastAsia="宋体"/>
          <w:sz w:val="21"/>
          <w:szCs w:val="21"/>
        </w:rPr>
        <w:t>1.9  合格的货物和服务</w:t>
      </w:r>
      <w:bookmarkEnd w:id="93"/>
      <w:bookmarkEnd w:id="94"/>
      <w:bookmarkEnd w:id="95"/>
      <w:bookmarkEnd w:id="96"/>
      <w:bookmarkEnd w:id="97"/>
      <w:bookmarkEnd w:id="98"/>
      <w:bookmarkEnd w:id="99"/>
      <w:bookmarkEnd w:id="100"/>
      <w:bookmarkEnd w:id="101"/>
      <w:bookmarkEnd w:id="102"/>
    </w:p>
    <w:p w14:paraId="0861AA29">
      <w:pPr>
        <w:pStyle w:val="102"/>
        <w:adjustRightInd w:val="0"/>
        <w:snapToGrid w:val="0"/>
        <w:spacing w:after="0"/>
        <w:ind w:firstLine="420"/>
        <w:rPr>
          <w:rFonts w:hint="eastAsia" w:ascii="宋体" w:hAnsi="宋体"/>
          <w:sz w:val="21"/>
        </w:rPr>
      </w:pPr>
      <w:r>
        <w:rPr>
          <w:rFonts w:hint="eastAsia" w:ascii="宋体" w:hAnsi="宋体"/>
          <w:sz w:val="21"/>
        </w:rPr>
        <w:t xml:space="preserve">1.9.1  </w:t>
      </w:r>
      <w:r>
        <w:rPr>
          <w:rFonts w:hint="eastAsia" w:ascii="宋体" w:hAnsi="宋体"/>
          <w:spacing w:val="-4"/>
          <w:sz w:val="21"/>
        </w:rPr>
        <w:t>投标人提供的所有货物及其有关服务的原产地，均应当来自中国或者是与中国有正常贸易往来的国家或者地区。招标人的支付也仅限于这些货物和服务。</w:t>
      </w:r>
    </w:p>
    <w:p w14:paraId="25C9A6F6">
      <w:pPr>
        <w:pStyle w:val="102"/>
        <w:adjustRightInd w:val="0"/>
        <w:snapToGrid w:val="0"/>
        <w:spacing w:after="0"/>
        <w:ind w:firstLine="420"/>
        <w:rPr>
          <w:rFonts w:hint="eastAsia" w:ascii="宋体" w:hAnsi="宋体"/>
          <w:sz w:val="21"/>
        </w:rPr>
      </w:pPr>
      <w:r>
        <w:rPr>
          <w:rFonts w:hint="eastAsia" w:ascii="宋体" w:hAnsi="宋体"/>
          <w:sz w:val="21"/>
        </w:rPr>
        <w:t>1.9.2  本招标文件所属的“原产地”是指货物开采、生长、生产或者提供有关服务的来源地。所述的“货物”是指制造、加工或者实质上装配了主要部件而形成的货物。商业上公认的产品是指基本特征、性能或者功能上与部件有着实质性区别的产品。</w:t>
      </w:r>
    </w:p>
    <w:p w14:paraId="4416EA75">
      <w:pPr>
        <w:pStyle w:val="102"/>
        <w:adjustRightInd w:val="0"/>
        <w:snapToGrid w:val="0"/>
        <w:spacing w:after="0"/>
        <w:ind w:firstLine="420"/>
        <w:rPr>
          <w:rFonts w:hint="eastAsia" w:ascii="宋体" w:hAnsi="宋体"/>
          <w:sz w:val="21"/>
        </w:rPr>
      </w:pPr>
      <w:r>
        <w:rPr>
          <w:rFonts w:hint="eastAsia" w:ascii="宋体" w:hAnsi="宋体"/>
          <w:sz w:val="21"/>
        </w:rPr>
        <w:t>1.9.3  投标人提供的所有货物及其有关服务应当符合国家规定的资格条件。</w:t>
      </w:r>
    </w:p>
    <w:p w14:paraId="3E2D6218">
      <w:pPr>
        <w:pStyle w:val="4"/>
        <w:snapToGrid w:val="0"/>
        <w:spacing w:before="0" w:after="0" w:line="360" w:lineRule="auto"/>
        <w:rPr>
          <w:rFonts w:hint="eastAsia" w:ascii="宋体" w:hAnsi="宋体" w:eastAsia="宋体"/>
          <w:sz w:val="21"/>
          <w:szCs w:val="21"/>
        </w:rPr>
      </w:pPr>
      <w:bookmarkStart w:id="103" w:name="_Toc485377417"/>
      <w:bookmarkStart w:id="104" w:name="_Toc508963700"/>
      <w:bookmarkStart w:id="105" w:name="_Toc107822488"/>
      <w:bookmarkStart w:id="106" w:name="_Toc472689497"/>
      <w:bookmarkStart w:id="107" w:name="_Toc447265512"/>
      <w:bookmarkStart w:id="108" w:name="_Toc227057891"/>
      <w:bookmarkStart w:id="109" w:name="_Toc447188677"/>
      <w:bookmarkStart w:id="110" w:name="_Toc447265226"/>
      <w:bookmarkStart w:id="111" w:name="_Toc479172319"/>
      <w:bookmarkStart w:id="112" w:name="_Toc226969285"/>
      <w:r>
        <w:rPr>
          <w:rFonts w:hint="eastAsia" w:ascii="宋体" w:hAnsi="宋体" w:eastAsia="宋体"/>
          <w:sz w:val="21"/>
          <w:szCs w:val="21"/>
        </w:rPr>
        <w:t>1.10  投标费用</w:t>
      </w:r>
      <w:bookmarkEnd w:id="103"/>
      <w:bookmarkEnd w:id="104"/>
      <w:bookmarkEnd w:id="105"/>
      <w:bookmarkEnd w:id="106"/>
      <w:bookmarkEnd w:id="107"/>
      <w:bookmarkEnd w:id="108"/>
      <w:bookmarkEnd w:id="109"/>
      <w:bookmarkEnd w:id="110"/>
      <w:bookmarkEnd w:id="111"/>
      <w:bookmarkEnd w:id="112"/>
    </w:p>
    <w:p w14:paraId="6E191985">
      <w:pPr>
        <w:pStyle w:val="102"/>
        <w:adjustRightInd w:val="0"/>
        <w:snapToGrid w:val="0"/>
        <w:spacing w:after="0"/>
        <w:ind w:firstLine="420"/>
        <w:rPr>
          <w:rFonts w:hint="eastAsia" w:ascii="宋体" w:hAnsi="宋体"/>
          <w:sz w:val="21"/>
        </w:rPr>
      </w:pPr>
      <w:r>
        <w:rPr>
          <w:rFonts w:hint="eastAsia" w:ascii="宋体" w:hAnsi="宋体"/>
          <w:sz w:val="21"/>
        </w:rPr>
        <w:t>不论结果如何，投标人自行承担所有准备和参与投标有关的费用。</w:t>
      </w:r>
      <w:bookmarkStart w:id="113" w:name="_Toc107822489"/>
      <w:bookmarkStart w:id="114" w:name="_Toc227057892"/>
      <w:bookmarkStart w:id="115" w:name="_Toc226969286"/>
    </w:p>
    <w:p w14:paraId="53F4E53F">
      <w:pPr>
        <w:pStyle w:val="4"/>
        <w:snapToGrid w:val="0"/>
        <w:spacing w:before="0" w:after="0" w:line="360" w:lineRule="auto"/>
        <w:rPr>
          <w:rFonts w:hint="eastAsia" w:ascii="宋体" w:hAnsi="宋体" w:eastAsia="宋体"/>
          <w:sz w:val="21"/>
          <w:szCs w:val="21"/>
        </w:rPr>
      </w:pPr>
      <w:bookmarkStart w:id="116" w:name="_Toc447265513"/>
      <w:bookmarkStart w:id="117" w:name="_Toc472689498"/>
      <w:bookmarkStart w:id="118" w:name="_Toc447265227"/>
      <w:bookmarkStart w:id="119" w:name="_Toc508963701"/>
      <w:bookmarkStart w:id="120" w:name="_Toc479172320"/>
      <w:bookmarkStart w:id="121" w:name="_Toc485377418"/>
      <w:r>
        <w:rPr>
          <w:rFonts w:hint="eastAsia" w:ascii="宋体" w:hAnsi="宋体" w:eastAsia="宋体"/>
          <w:sz w:val="21"/>
          <w:szCs w:val="21"/>
        </w:rPr>
        <w:t>1.11  保密</w:t>
      </w:r>
      <w:bookmarkEnd w:id="116"/>
      <w:bookmarkEnd w:id="117"/>
      <w:bookmarkEnd w:id="118"/>
      <w:bookmarkEnd w:id="119"/>
      <w:bookmarkEnd w:id="120"/>
      <w:bookmarkEnd w:id="121"/>
    </w:p>
    <w:p w14:paraId="750B8B4F">
      <w:pPr>
        <w:pStyle w:val="102"/>
        <w:adjustRightInd w:val="0"/>
        <w:snapToGrid w:val="0"/>
        <w:spacing w:after="0"/>
        <w:ind w:firstLine="420"/>
        <w:rPr>
          <w:rFonts w:hint="eastAsia" w:ascii="宋体" w:hAnsi="宋体"/>
          <w:sz w:val="21"/>
        </w:rPr>
      </w:pPr>
      <w:r>
        <w:rPr>
          <w:rFonts w:hint="eastAsia" w:ascii="宋体" w:hAnsi="宋体"/>
          <w:sz w:val="21"/>
        </w:rPr>
        <w:t>参与招标投标活动的各方应当对招标文件和投标文件中的商业和技术等秘密保密，违者应当对由此造成的后果承担法律责任。</w:t>
      </w:r>
    </w:p>
    <w:p w14:paraId="56EC4557">
      <w:pPr>
        <w:pStyle w:val="3"/>
        <w:adjustRightInd w:val="0"/>
        <w:snapToGrid w:val="0"/>
        <w:spacing w:before="0" w:after="0" w:line="360" w:lineRule="auto"/>
        <w:jc w:val="left"/>
        <w:rPr>
          <w:rFonts w:hint="eastAsia" w:ascii="宋体" w:hAnsi="宋体" w:eastAsia="宋体"/>
          <w:sz w:val="21"/>
          <w:szCs w:val="21"/>
        </w:rPr>
      </w:pPr>
      <w:bookmarkStart w:id="122" w:name="_Toc246996187"/>
      <w:bookmarkStart w:id="123" w:name="_Toc296602432"/>
      <w:bookmarkStart w:id="124" w:name="_Toc152045542"/>
      <w:bookmarkStart w:id="125" w:name="_Toc479172321"/>
      <w:bookmarkStart w:id="126" w:name="_Toc475117911"/>
      <w:bookmarkStart w:id="127" w:name="_Toc246996930"/>
      <w:bookmarkStart w:id="128" w:name="_Toc144974510"/>
      <w:bookmarkStart w:id="129" w:name="_Toc472689499"/>
      <w:bookmarkStart w:id="130" w:name="_Toc247085701"/>
      <w:bookmarkStart w:id="131" w:name="_Toc447265514"/>
      <w:bookmarkStart w:id="132" w:name="_Toc179632560"/>
      <w:bookmarkStart w:id="133" w:name="_Toc447188678"/>
      <w:bookmarkStart w:id="134" w:name="_Toc152042318"/>
      <w:bookmarkStart w:id="135" w:name="_Toc151663700"/>
      <w:bookmarkStart w:id="136" w:name="_Toc485377419"/>
      <w:bookmarkStart w:id="137" w:name="_Toc447265228"/>
      <w:bookmarkStart w:id="138" w:name="_Toc214432834"/>
      <w:r>
        <w:rPr>
          <w:rFonts w:hint="eastAsia" w:ascii="宋体" w:hAnsi="宋体" w:eastAsia="宋体"/>
          <w:sz w:val="21"/>
          <w:szCs w:val="21"/>
        </w:rPr>
        <w:t>2．</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eastAsia" w:ascii="宋体" w:hAnsi="宋体" w:eastAsia="宋体"/>
          <w:sz w:val="21"/>
          <w:szCs w:val="21"/>
        </w:rPr>
        <w:t>招标文件</w:t>
      </w:r>
      <w:bookmarkEnd w:id="138"/>
      <w:r>
        <w:rPr>
          <w:rFonts w:hint="eastAsia" w:ascii="宋体" w:hAnsi="宋体" w:eastAsia="宋体"/>
          <w:sz w:val="21"/>
          <w:szCs w:val="21"/>
        </w:rPr>
        <w:t xml:space="preserve"> </w:t>
      </w:r>
    </w:p>
    <w:p w14:paraId="412D0D52">
      <w:pPr>
        <w:pStyle w:val="4"/>
        <w:snapToGrid w:val="0"/>
        <w:spacing w:before="0" w:after="0" w:line="360" w:lineRule="auto"/>
        <w:rPr>
          <w:rFonts w:hint="eastAsia" w:ascii="宋体" w:hAnsi="宋体" w:eastAsia="宋体"/>
          <w:sz w:val="21"/>
          <w:szCs w:val="21"/>
        </w:rPr>
      </w:pPr>
      <w:bookmarkStart w:id="139" w:name="_Toc508963703"/>
      <w:bookmarkStart w:id="140" w:name="_Toc472689500"/>
      <w:bookmarkStart w:id="141" w:name="_Toc447265515"/>
      <w:bookmarkStart w:id="142" w:name="_Toc447265229"/>
      <w:bookmarkStart w:id="143" w:name="_Toc479172322"/>
      <w:bookmarkStart w:id="144" w:name="_Toc447188679"/>
      <w:bookmarkStart w:id="145" w:name="_Toc485377420"/>
      <w:r>
        <w:rPr>
          <w:rFonts w:hint="eastAsia" w:ascii="宋体" w:hAnsi="宋体" w:eastAsia="宋体"/>
          <w:sz w:val="21"/>
          <w:szCs w:val="21"/>
        </w:rPr>
        <w:t xml:space="preserve">2.1  </w:t>
      </w:r>
      <w:bookmarkEnd w:id="113"/>
      <w:r>
        <w:rPr>
          <w:rFonts w:hint="eastAsia" w:ascii="宋体" w:hAnsi="宋体" w:eastAsia="宋体"/>
          <w:sz w:val="21"/>
          <w:szCs w:val="21"/>
        </w:rPr>
        <w:t>招标文件的组成</w:t>
      </w:r>
      <w:bookmarkEnd w:id="114"/>
      <w:bookmarkEnd w:id="115"/>
      <w:bookmarkEnd w:id="139"/>
      <w:bookmarkEnd w:id="140"/>
      <w:bookmarkEnd w:id="141"/>
      <w:bookmarkEnd w:id="142"/>
      <w:bookmarkEnd w:id="143"/>
      <w:bookmarkEnd w:id="144"/>
      <w:bookmarkEnd w:id="145"/>
    </w:p>
    <w:p w14:paraId="7864E026">
      <w:pPr>
        <w:pStyle w:val="102"/>
        <w:adjustRightInd w:val="0"/>
        <w:snapToGrid w:val="0"/>
        <w:spacing w:after="0"/>
        <w:ind w:firstLine="420"/>
        <w:rPr>
          <w:rFonts w:hint="eastAsia" w:ascii="宋体" w:hAnsi="宋体"/>
          <w:sz w:val="21"/>
        </w:rPr>
      </w:pPr>
      <w:r>
        <w:rPr>
          <w:rFonts w:hint="eastAsia" w:ascii="宋体" w:hAnsi="宋体"/>
          <w:sz w:val="21"/>
        </w:rPr>
        <w:t>2.1.1  招标文件一般由以下部分组成：</w:t>
      </w:r>
    </w:p>
    <w:p w14:paraId="50F7F815">
      <w:pPr>
        <w:pStyle w:val="102"/>
        <w:adjustRightInd w:val="0"/>
        <w:snapToGrid w:val="0"/>
        <w:spacing w:after="0"/>
        <w:ind w:firstLine="420"/>
        <w:rPr>
          <w:rFonts w:hint="eastAsia" w:ascii="宋体" w:hAnsi="宋体"/>
          <w:sz w:val="21"/>
        </w:rPr>
      </w:pPr>
      <w:r>
        <w:rPr>
          <w:rFonts w:hint="eastAsia" w:ascii="宋体" w:hAnsi="宋体"/>
          <w:sz w:val="21"/>
        </w:rPr>
        <w:t>第一章</w:t>
      </w:r>
      <w:r>
        <w:rPr>
          <w:rFonts w:ascii="宋体" w:hAnsi="宋体"/>
          <w:sz w:val="21"/>
        </w:rPr>
        <w:t xml:space="preserve"> </w:t>
      </w:r>
      <w:r>
        <w:rPr>
          <w:rFonts w:hint="eastAsia" w:ascii="宋体" w:hAnsi="宋体"/>
          <w:sz w:val="21"/>
        </w:rPr>
        <w:t xml:space="preserve"> 招标公告</w:t>
      </w:r>
      <w:r>
        <w:rPr>
          <w:rFonts w:ascii="宋体" w:hAnsi="宋体"/>
          <w:sz w:val="21"/>
        </w:rPr>
        <w:t>/</w:t>
      </w:r>
      <w:r>
        <w:rPr>
          <w:rFonts w:hint="eastAsia" w:ascii="宋体" w:hAnsi="宋体"/>
          <w:sz w:val="21"/>
        </w:rPr>
        <w:t>采购</w:t>
      </w:r>
      <w:r>
        <w:rPr>
          <w:rFonts w:ascii="宋体" w:hAnsi="宋体"/>
          <w:sz w:val="21"/>
        </w:rPr>
        <w:t>邀请书</w:t>
      </w:r>
    </w:p>
    <w:p w14:paraId="53F51538">
      <w:pPr>
        <w:pStyle w:val="102"/>
        <w:adjustRightInd w:val="0"/>
        <w:snapToGrid w:val="0"/>
        <w:spacing w:after="0"/>
        <w:ind w:firstLine="420"/>
        <w:rPr>
          <w:rFonts w:hint="eastAsia" w:ascii="宋体" w:hAnsi="宋体"/>
          <w:sz w:val="21"/>
        </w:rPr>
      </w:pPr>
      <w:r>
        <w:rPr>
          <w:rFonts w:hint="eastAsia" w:ascii="宋体" w:hAnsi="宋体"/>
          <w:sz w:val="21"/>
        </w:rPr>
        <w:t xml:space="preserve">第二章 </w:t>
      </w:r>
      <w:r>
        <w:rPr>
          <w:rFonts w:ascii="宋体" w:hAnsi="宋体"/>
          <w:sz w:val="21"/>
        </w:rPr>
        <w:t xml:space="preserve"> </w:t>
      </w:r>
      <w:r>
        <w:rPr>
          <w:rFonts w:hint="eastAsia" w:ascii="宋体" w:hAnsi="宋体"/>
          <w:sz w:val="21"/>
        </w:rPr>
        <w:t>投标人须知</w:t>
      </w:r>
    </w:p>
    <w:p w14:paraId="7C3BEC24">
      <w:pPr>
        <w:pStyle w:val="102"/>
        <w:adjustRightInd w:val="0"/>
        <w:snapToGrid w:val="0"/>
        <w:spacing w:after="0"/>
        <w:ind w:firstLine="420"/>
        <w:rPr>
          <w:rFonts w:hint="eastAsia" w:ascii="宋体" w:hAnsi="宋体"/>
          <w:sz w:val="21"/>
        </w:rPr>
      </w:pPr>
      <w:r>
        <w:rPr>
          <w:rFonts w:hint="eastAsia" w:ascii="宋体" w:hAnsi="宋体"/>
          <w:sz w:val="21"/>
        </w:rPr>
        <w:t xml:space="preserve">第三章 </w:t>
      </w:r>
      <w:r>
        <w:rPr>
          <w:rFonts w:ascii="宋体" w:hAnsi="宋体"/>
          <w:sz w:val="21"/>
        </w:rPr>
        <w:t xml:space="preserve"> </w:t>
      </w:r>
      <w:r>
        <w:rPr>
          <w:rFonts w:hint="eastAsia" w:ascii="宋体" w:hAnsi="宋体"/>
          <w:sz w:val="21"/>
        </w:rPr>
        <w:t>评审办法</w:t>
      </w:r>
    </w:p>
    <w:p w14:paraId="21DF2960">
      <w:pPr>
        <w:pStyle w:val="102"/>
        <w:adjustRightInd w:val="0"/>
        <w:snapToGrid w:val="0"/>
        <w:spacing w:after="0"/>
        <w:ind w:firstLine="420"/>
        <w:rPr>
          <w:rFonts w:hint="eastAsia" w:ascii="宋体" w:hAnsi="宋体"/>
          <w:sz w:val="21"/>
        </w:rPr>
      </w:pPr>
      <w:r>
        <w:rPr>
          <w:rFonts w:hint="eastAsia" w:ascii="宋体" w:hAnsi="宋体"/>
          <w:sz w:val="21"/>
        </w:rPr>
        <w:t>第四章</w:t>
      </w:r>
      <w:r>
        <w:rPr>
          <w:rFonts w:ascii="宋体" w:hAnsi="宋体"/>
          <w:sz w:val="21"/>
        </w:rPr>
        <w:t xml:space="preserve"> </w:t>
      </w:r>
      <w:r>
        <w:rPr>
          <w:rFonts w:hint="eastAsia" w:ascii="宋体" w:hAnsi="宋体"/>
          <w:sz w:val="21"/>
        </w:rPr>
        <w:t xml:space="preserve"> 合同条款</w:t>
      </w:r>
    </w:p>
    <w:p w14:paraId="09430AF1">
      <w:pPr>
        <w:pStyle w:val="102"/>
        <w:tabs>
          <w:tab w:val="left" w:pos="3111"/>
        </w:tabs>
        <w:adjustRightInd w:val="0"/>
        <w:snapToGrid w:val="0"/>
        <w:spacing w:after="0"/>
        <w:ind w:firstLine="420"/>
        <w:rPr>
          <w:rFonts w:hint="eastAsia" w:ascii="宋体" w:hAnsi="宋体"/>
          <w:sz w:val="21"/>
        </w:rPr>
      </w:pPr>
      <w:r>
        <w:rPr>
          <w:rFonts w:hint="eastAsia" w:ascii="宋体" w:hAnsi="宋体"/>
          <w:sz w:val="21"/>
        </w:rPr>
        <w:t>第五章  项目需求书</w:t>
      </w:r>
    </w:p>
    <w:p w14:paraId="6C076277">
      <w:pPr>
        <w:pStyle w:val="102"/>
        <w:adjustRightInd w:val="0"/>
        <w:snapToGrid w:val="0"/>
        <w:spacing w:after="0"/>
        <w:ind w:firstLine="420"/>
        <w:rPr>
          <w:rFonts w:hint="eastAsia" w:ascii="宋体" w:hAnsi="宋体"/>
          <w:sz w:val="21"/>
        </w:rPr>
      </w:pPr>
      <w:r>
        <w:rPr>
          <w:rFonts w:hint="eastAsia" w:ascii="宋体" w:hAnsi="宋体"/>
          <w:sz w:val="21"/>
        </w:rPr>
        <w:t>第六章</w:t>
      </w:r>
      <w:r>
        <w:rPr>
          <w:rFonts w:ascii="宋体" w:hAnsi="宋体"/>
          <w:sz w:val="21"/>
        </w:rPr>
        <w:t xml:space="preserve"> </w:t>
      </w:r>
      <w:r>
        <w:rPr>
          <w:rFonts w:hint="eastAsia" w:ascii="宋体" w:hAnsi="宋体"/>
          <w:sz w:val="21"/>
        </w:rPr>
        <w:t xml:space="preserve"> 投标文件格式</w:t>
      </w:r>
    </w:p>
    <w:p w14:paraId="725961CB">
      <w:pPr>
        <w:pStyle w:val="102"/>
        <w:adjustRightInd w:val="0"/>
        <w:snapToGrid w:val="0"/>
        <w:spacing w:after="0"/>
        <w:ind w:firstLine="420"/>
        <w:rPr>
          <w:rFonts w:hint="eastAsia" w:ascii="宋体" w:hAnsi="宋体"/>
          <w:sz w:val="21"/>
        </w:rPr>
      </w:pPr>
      <w:r>
        <w:rPr>
          <w:rFonts w:hint="eastAsia" w:ascii="宋体" w:hAnsi="宋体"/>
          <w:sz w:val="21"/>
        </w:rPr>
        <w:t>招标人</w:t>
      </w:r>
      <w:r>
        <w:rPr>
          <w:rFonts w:ascii="宋体" w:hAnsi="宋体"/>
          <w:sz w:val="21"/>
        </w:rPr>
        <w:t>另有规定的</w:t>
      </w:r>
      <w:r>
        <w:rPr>
          <w:rFonts w:hint="eastAsia" w:ascii="宋体" w:hAnsi="宋体"/>
          <w:sz w:val="21"/>
        </w:rPr>
        <w:t>，</w:t>
      </w:r>
      <w:r>
        <w:rPr>
          <w:rFonts w:ascii="宋体" w:hAnsi="宋体"/>
          <w:sz w:val="21"/>
        </w:rPr>
        <w:t>见</w:t>
      </w:r>
      <w:r>
        <w:rPr>
          <w:rFonts w:hint="eastAsia" w:ascii="宋体" w:hAnsi="宋体"/>
          <w:sz w:val="21"/>
        </w:rPr>
        <w:t>投标人</w:t>
      </w:r>
      <w:r>
        <w:rPr>
          <w:rFonts w:ascii="宋体" w:hAnsi="宋体"/>
          <w:sz w:val="21"/>
        </w:rPr>
        <w:t>须知前附表</w:t>
      </w:r>
      <w:r>
        <w:rPr>
          <w:rFonts w:hint="eastAsia" w:ascii="宋体" w:hAnsi="宋体"/>
          <w:sz w:val="21"/>
        </w:rPr>
        <w:t>。</w:t>
      </w:r>
    </w:p>
    <w:p w14:paraId="6A099E9B">
      <w:pPr>
        <w:pStyle w:val="102"/>
        <w:adjustRightInd w:val="0"/>
        <w:snapToGrid w:val="0"/>
        <w:spacing w:after="0"/>
        <w:ind w:firstLine="420"/>
        <w:rPr>
          <w:rFonts w:hint="eastAsia" w:ascii="宋体" w:hAnsi="宋体"/>
          <w:sz w:val="21"/>
        </w:rPr>
      </w:pPr>
      <w:r>
        <w:rPr>
          <w:rFonts w:hint="eastAsia" w:ascii="宋体" w:hAnsi="宋体"/>
          <w:sz w:val="21"/>
        </w:rPr>
        <w:t>2.1.2  招标文件对同一内容的表述应当一致。第一章“招标公告”或者“采购邀请书”与招标文件在同一内容的表述上有矛盾或者冲突时，以第一章“招标公告”或者“采购邀请书”为准；投标人须知前附表与投标人须知正文在同一内容的表述上有矛盾或者冲突时，以投标人须知前附表为准。</w:t>
      </w:r>
    </w:p>
    <w:p w14:paraId="0E1695E0">
      <w:pPr>
        <w:pStyle w:val="102"/>
        <w:adjustRightInd w:val="0"/>
        <w:snapToGrid w:val="0"/>
        <w:spacing w:after="0"/>
        <w:ind w:firstLine="420"/>
        <w:rPr>
          <w:rFonts w:hint="eastAsia" w:ascii="宋体" w:hAnsi="宋体"/>
          <w:sz w:val="21"/>
        </w:rPr>
      </w:pPr>
      <w:r>
        <w:rPr>
          <w:rFonts w:hint="eastAsia" w:ascii="宋体" w:hAnsi="宋体"/>
          <w:sz w:val="21"/>
        </w:rPr>
        <w:t>2.1.3  招标人在招标文件中以显著的方式标明实质性要求、条件以及不满足实质性要求和条件的投标将被否决的提示；对于非实质性要求和条件，规定允许偏差的最大范围、最高项数和调整偏差的方法。显著标识方式和具体要求见投标人须知前附表。</w:t>
      </w:r>
    </w:p>
    <w:p w14:paraId="138065A1">
      <w:pPr>
        <w:pStyle w:val="102"/>
        <w:adjustRightInd w:val="0"/>
        <w:snapToGrid w:val="0"/>
        <w:spacing w:after="0"/>
        <w:ind w:firstLine="420"/>
        <w:rPr>
          <w:rFonts w:hint="eastAsia" w:ascii="宋体" w:hAnsi="宋体"/>
          <w:sz w:val="21"/>
        </w:rPr>
      </w:pPr>
      <w:r>
        <w:rPr>
          <w:rFonts w:hint="eastAsia" w:ascii="宋体" w:hAnsi="宋体"/>
          <w:sz w:val="21"/>
        </w:rPr>
        <w:t>2.1.4  招标人可以要求以某一单项报价核定是否低于成本，具体要求见投标人须知前附表。</w:t>
      </w:r>
    </w:p>
    <w:p w14:paraId="3FC78E41">
      <w:pPr>
        <w:pStyle w:val="4"/>
        <w:snapToGrid w:val="0"/>
        <w:spacing w:before="0" w:after="0" w:line="360" w:lineRule="auto"/>
        <w:rPr>
          <w:rFonts w:hint="eastAsia" w:ascii="宋体" w:hAnsi="宋体" w:eastAsia="宋体"/>
          <w:sz w:val="21"/>
          <w:szCs w:val="21"/>
        </w:rPr>
      </w:pPr>
      <w:bookmarkStart w:id="146" w:name="_Toc508963704"/>
      <w:bookmarkStart w:id="147" w:name="_Toc472689501"/>
      <w:bookmarkStart w:id="148" w:name="_Toc447265516"/>
      <w:bookmarkStart w:id="149" w:name="_Toc447265230"/>
      <w:bookmarkStart w:id="150" w:name="_Toc485377421"/>
      <w:bookmarkStart w:id="151" w:name="_Toc447188680"/>
      <w:bookmarkStart w:id="152" w:name="_Toc479172323"/>
      <w:bookmarkStart w:id="153" w:name="_Toc226969287"/>
      <w:bookmarkStart w:id="154" w:name="_Toc107822490"/>
      <w:bookmarkStart w:id="155" w:name="_Toc227057893"/>
      <w:r>
        <w:rPr>
          <w:rFonts w:ascii="宋体" w:hAnsi="宋体" w:eastAsia="宋体"/>
          <w:sz w:val="21"/>
          <w:szCs w:val="21"/>
        </w:rPr>
        <w:t>2.2</w:t>
      </w:r>
      <w:r>
        <w:rPr>
          <w:rFonts w:hint="eastAsia" w:ascii="宋体" w:hAnsi="宋体" w:eastAsia="宋体"/>
          <w:sz w:val="21"/>
          <w:szCs w:val="21"/>
        </w:rPr>
        <w:t xml:space="preserve">  踏勘现场</w:t>
      </w:r>
      <w:bookmarkEnd w:id="146"/>
      <w:bookmarkEnd w:id="147"/>
      <w:bookmarkEnd w:id="148"/>
      <w:bookmarkEnd w:id="149"/>
      <w:bookmarkEnd w:id="150"/>
      <w:bookmarkEnd w:id="151"/>
      <w:bookmarkEnd w:id="152"/>
    </w:p>
    <w:p w14:paraId="65A9395D">
      <w:pPr>
        <w:pStyle w:val="102"/>
        <w:adjustRightInd w:val="0"/>
        <w:snapToGrid w:val="0"/>
        <w:spacing w:after="0"/>
        <w:ind w:firstLine="420"/>
        <w:rPr>
          <w:rFonts w:hint="eastAsia" w:ascii="宋体" w:hAnsi="宋体"/>
          <w:sz w:val="21"/>
        </w:rPr>
      </w:pPr>
      <w:r>
        <w:rPr>
          <w:rFonts w:hint="eastAsia" w:ascii="宋体" w:hAnsi="宋体"/>
          <w:sz w:val="21"/>
        </w:rPr>
        <w:t xml:space="preserve">2.2.1  投标人须知前附表规定组织踏勘现场的，招标人按照投标人须知前附表规定的时间、地点组织投标人踏勘项目现场。 </w:t>
      </w:r>
    </w:p>
    <w:p w14:paraId="280A9840">
      <w:pPr>
        <w:pStyle w:val="102"/>
        <w:adjustRightInd w:val="0"/>
        <w:snapToGrid w:val="0"/>
        <w:spacing w:after="0"/>
        <w:ind w:firstLine="420"/>
        <w:rPr>
          <w:rFonts w:hint="eastAsia" w:ascii="宋体" w:hAnsi="宋体"/>
          <w:sz w:val="21"/>
        </w:rPr>
      </w:pPr>
      <w:r>
        <w:rPr>
          <w:rFonts w:ascii="宋体" w:hAnsi="宋体"/>
          <w:sz w:val="21"/>
        </w:rPr>
        <w:t>2.2.2</w:t>
      </w:r>
      <w:r>
        <w:rPr>
          <w:rFonts w:hint="eastAsia" w:ascii="宋体" w:hAnsi="宋体"/>
          <w:sz w:val="21"/>
        </w:rPr>
        <w:t xml:space="preserve">  投标人踏勘现场发生的费用自理。</w:t>
      </w:r>
    </w:p>
    <w:p w14:paraId="397FA591">
      <w:pPr>
        <w:pStyle w:val="102"/>
        <w:adjustRightInd w:val="0"/>
        <w:snapToGrid w:val="0"/>
        <w:spacing w:after="0"/>
        <w:ind w:firstLine="420"/>
        <w:rPr>
          <w:rFonts w:hint="eastAsia" w:ascii="宋体" w:hAnsi="宋体"/>
          <w:sz w:val="21"/>
        </w:rPr>
      </w:pPr>
      <w:r>
        <w:rPr>
          <w:rFonts w:ascii="宋体" w:hAnsi="宋体"/>
          <w:sz w:val="21"/>
        </w:rPr>
        <w:t>2.2.3</w:t>
      </w:r>
      <w:r>
        <w:rPr>
          <w:rFonts w:hint="eastAsia" w:ascii="宋体" w:hAnsi="宋体"/>
          <w:sz w:val="21"/>
        </w:rPr>
        <w:t xml:space="preserve">  除招标人的原因外，投标人自行负责在踏勘现场中所发生的人员伤亡和财产损失。</w:t>
      </w:r>
    </w:p>
    <w:p w14:paraId="70FF8F1A">
      <w:pPr>
        <w:pStyle w:val="102"/>
        <w:adjustRightInd w:val="0"/>
        <w:snapToGrid w:val="0"/>
        <w:spacing w:after="0"/>
        <w:ind w:firstLine="420"/>
        <w:rPr>
          <w:rFonts w:hint="eastAsia" w:ascii="宋体" w:hAnsi="宋体"/>
          <w:sz w:val="21"/>
        </w:rPr>
      </w:pPr>
      <w:r>
        <w:rPr>
          <w:rFonts w:ascii="宋体" w:hAnsi="宋体"/>
          <w:sz w:val="21"/>
        </w:rPr>
        <w:t>2.2.4</w:t>
      </w:r>
      <w:r>
        <w:rPr>
          <w:rFonts w:hint="eastAsia" w:ascii="宋体" w:hAnsi="宋体"/>
          <w:sz w:val="21"/>
        </w:rPr>
        <w:t xml:space="preserve">  招标人在踏勘现场中介绍的项目现场和相关的周边环境情况，供投标人在编制投标文件时参考，招标人不对投标人据此作出的判断和决策负责。</w:t>
      </w:r>
    </w:p>
    <w:p w14:paraId="1721DA13">
      <w:pPr>
        <w:pStyle w:val="4"/>
        <w:snapToGrid w:val="0"/>
        <w:spacing w:before="0" w:after="0" w:line="360" w:lineRule="auto"/>
        <w:rPr>
          <w:rFonts w:hint="eastAsia" w:ascii="宋体" w:hAnsi="宋体" w:eastAsia="宋体"/>
          <w:sz w:val="21"/>
          <w:szCs w:val="21"/>
        </w:rPr>
      </w:pPr>
      <w:bookmarkStart w:id="156" w:name="_Toc479172324"/>
      <w:bookmarkStart w:id="157" w:name="_Toc447265231"/>
      <w:bookmarkStart w:id="158" w:name="_Toc447265517"/>
      <w:bookmarkStart w:id="159" w:name="_Toc447188681"/>
      <w:bookmarkStart w:id="160" w:name="_Toc485377422"/>
      <w:bookmarkStart w:id="161" w:name="_Toc472689502"/>
      <w:bookmarkStart w:id="162" w:name="_Toc508963705"/>
      <w:r>
        <w:rPr>
          <w:rFonts w:ascii="宋体" w:hAnsi="宋体" w:eastAsia="宋体"/>
          <w:sz w:val="21"/>
          <w:szCs w:val="21"/>
        </w:rPr>
        <w:t>2.3</w:t>
      </w:r>
      <w:r>
        <w:rPr>
          <w:rFonts w:hint="eastAsia" w:ascii="宋体" w:hAnsi="宋体" w:eastAsia="宋体"/>
          <w:sz w:val="21"/>
          <w:szCs w:val="21"/>
        </w:rPr>
        <w:t xml:space="preserve">  投标预备会</w:t>
      </w:r>
      <w:bookmarkEnd w:id="156"/>
      <w:bookmarkEnd w:id="157"/>
      <w:bookmarkEnd w:id="158"/>
      <w:bookmarkEnd w:id="159"/>
      <w:bookmarkEnd w:id="160"/>
      <w:bookmarkEnd w:id="161"/>
      <w:bookmarkEnd w:id="162"/>
    </w:p>
    <w:p w14:paraId="08B7C7AC">
      <w:pPr>
        <w:pStyle w:val="102"/>
        <w:adjustRightInd w:val="0"/>
        <w:snapToGrid w:val="0"/>
        <w:spacing w:after="0"/>
        <w:ind w:firstLine="420"/>
        <w:rPr>
          <w:rFonts w:hint="eastAsia" w:ascii="宋体" w:hAnsi="宋体"/>
          <w:sz w:val="21"/>
        </w:rPr>
      </w:pPr>
      <w:r>
        <w:rPr>
          <w:rFonts w:hint="eastAsia" w:ascii="宋体" w:hAnsi="宋体"/>
          <w:sz w:val="21"/>
        </w:rPr>
        <w:t>投标人须知前附表规定召开投标预备会的，招标人按照投标人须知前附表规定的时间和地点召开投标预备会，澄清投标人提出的问题。</w:t>
      </w:r>
    </w:p>
    <w:p w14:paraId="0D73D0E1">
      <w:pPr>
        <w:pStyle w:val="4"/>
        <w:snapToGrid w:val="0"/>
        <w:spacing w:before="0" w:after="0" w:line="360" w:lineRule="auto"/>
        <w:rPr>
          <w:rFonts w:hint="eastAsia" w:ascii="宋体" w:hAnsi="宋体" w:eastAsia="宋体"/>
          <w:sz w:val="21"/>
          <w:szCs w:val="21"/>
        </w:rPr>
      </w:pPr>
      <w:bookmarkStart w:id="163" w:name="_Toc479172325"/>
      <w:bookmarkStart w:id="164" w:name="_Toc485377423"/>
      <w:bookmarkStart w:id="165" w:name="_Toc508963706"/>
      <w:bookmarkStart w:id="166" w:name="_Toc447188682"/>
      <w:bookmarkStart w:id="167" w:name="_Toc447265232"/>
      <w:bookmarkStart w:id="168" w:name="_Toc472689503"/>
      <w:bookmarkStart w:id="169" w:name="_Toc447265518"/>
      <w:r>
        <w:rPr>
          <w:rFonts w:hint="eastAsia" w:ascii="宋体" w:hAnsi="宋体" w:eastAsia="宋体"/>
          <w:sz w:val="21"/>
          <w:szCs w:val="21"/>
        </w:rPr>
        <w:t>2.4  招标文件的澄清</w:t>
      </w:r>
      <w:bookmarkEnd w:id="153"/>
      <w:bookmarkEnd w:id="154"/>
      <w:bookmarkEnd w:id="155"/>
      <w:r>
        <w:rPr>
          <w:rFonts w:hint="eastAsia" w:ascii="宋体" w:hAnsi="宋体" w:eastAsia="宋体"/>
          <w:sz w:val="21"/>
          <w:szCs w:val="21"/>
        </w:rPr>
        <w:t>和修改</w:t>
      </w:r>
      <w:bookmarkEnd w:id="163"/>
      <w:bookmarkEnd w:id="164"/>
      <w:bookmarkEnd w:id="165"/>
      <w:bookmarkEnd w:id="166"/>
      <w:bookmarkEnd w:id="167"/>
      <w:bookmarkEnd w:id="168"/>
      <w:bookmarkEnd w:id="169"/>
    </w:p>
    <w:p w14:paraId="2F20EE7A">
      <w:pPr>
        <w:pStyle w:val="102"/>
        <w:adjustRightInd w:val="0"/>
        <w:snapToGrid w:val="0"/>
        <w:spacing w:after="0"/>
        <w:ind w:firstLine="420"/>
        <w:rPr>
          <w:rFonts w:hint="eastAsia" w:ascii="宋体" w:hAnsi="宋体"/>
          <w:sz w:val="21"/>
        </w:rPr>
      </w:pPr>
      <w:bookmarkStart w:id="170" w:name="_Toc152042322"/>
      <w:bookmarkStart w:id="171" w:name="_Toc179632564"/>
      <w:bookmarkStart w:id="172" w:name="_Toc152045546"/>
      <w:bookmarkStart w:id="173" w:name="_Toc144974514"/>
      <w:bookmarkStart w:id="174" w:name="_Toc247085705"/>
      <w:bookmarkStart w:id="175" w:name="_Toc246996934"/>
      <w:bookmarkStart w:id="176" w:name="_Toc447265233"/>
      <w:bookmarkStart w:id="177" w:name="_Toc296602436"/>
      <w:bookmarkStart w:id="178" w:name="_Toc447188683"/>
      <w:bookmarkStart w:id="179" w:name="_Toc246996191"/>
      <w:bookmarkStart w:id="180" w:name="_Toc447265519"/>
      <w:bookmarkStart w:id="181" w:name="_Toc227057895"/>
      <w:bookmarkStart w:id="182" w:name="_Toc226969289"/>
      <w:bookmarkStart w:id="183" w:name="_Toc107822492"/>
      <w:r>
        <w:rPr>
          <w:rFonts w:hint="eastAsia" w:ascii="宋体" w:hAnsi="宋体"/>
          <w:sz w:val="21"/>
        </w:rPr>
        <w:t>2.4.1  投标人对招标文件有疑问的，应当按照投标人须知前附表规定的时间和方式，要求招标人对招标文件进行澄清。</w:t>
      </w:r>
    </w:p>
    <w:p w14:paraId="1D6994A4">
      <w:pPr>
        <w:pStyle w:val="102"/>
        <w:adjustRightInd w:val="0"/>
        <w:snapToGrid w:val="0"/>
        <w:spacing w:after="0"/>
        <w:ind w:firstLine="420"/>
        <w:rPr>
          <w:rFonts w:hint="eastAsia" w:ascii="宋体" w:hAnsi="宋体"/>
          <w:sz w:val="21"/>
        </w:rPr>
      </w:pPr>
      <w:r>
        <w:rPr>
          <w:rFonts w:ascii="宋体" w:hAnsi="宋体"/>
          <w:sz w:val="21"/>
        </w:rPr>
        <w:t>2.4.2</w:t>
      </w:r>
      <w:r>
        <w:rPr>
          <w:rFonts w:hint="eastAsia" w:ascii="宋体" w:hAnsi="宋体"/>
          <w:sz w:val="21"/>
        </w:rPr>
        <w:t xml:space="preserve">  招标人应当按照投标人须知前附表规定的时间和方式，将澄清或者修改内容发给所有购买招标文件的投标人，但不指明问题的来源。</w:t>
      </w:r>
    </w:p>
    <w:p w14:paraId="767814A4">
      <w:pPr>
        <w:pStyle w:val="102"/>
        <w:adjustRightInd w:val="0"/>
        <w:snapToGrid w:val="0"/>
        <w:spacing w:after="0"/>
        <w:ind w:firstLine="420"/>
        <w:rPr>
          <w:rFonts w:hint="eastAsia" w:ascii="宋体" w:hAnsi="宋体"/>
          <w:sz w:val="21"/>
        </w:rPr>
      </w:pPr>
      <w:r>
        <w:rPr>
          <w:rFonts w:ascii="宋体" w:hAnsi="宋体"/>
          <w:sz w:val="21"/>
        </w:rPr>
        <w:t>2.4.3</w:t>
      </w:r>
      <w:r>
        <w:rPr>
          <w:rFonts w:hint="eastAsia" w:ascii="宋体" w:hAnsi="宋体"/>
          <w:sz w:val="21"/>
        </w:rPr>
        <w:t xml:space="preserve">  如澄清或者修改的内容可能影响投标文件编制的，应当在递交投标文件截止时间至少</w:t>
      </w:r>
      <w:r>
        <w:rPr>
          <w:rFonts w:ascii="宋体" w:hAnsi="宋体"/>
          <w:sz w:val="21"/>
        </w:rPr>
        <w:t>5</w:t>
      </w:r>
      <w:r>
        <w:rPr>
          <w:rFonts w:hint="eastAsia" w:ascii="宋体" w:hAnsi="宋体"/>
          <w:sz w:val="21"/>
        </w:rPr>
        <w:t>日前发出，不足</w:t>
      </w:r>
      <w:r>
        <w:rPr>
          <w:rFonts w:ascii="宋体" w:hAnsi="宋体"/>
          <w:sz w:val="21"/>
        </w:rPr>
        <w:t>5</w:t>
      </w:r>
      <w:r>
        <w:rPr>
          <w:rFonts w:hint="eastAsia" w:ascii="宋体" w:hAnsi="宋体"/>
          <w:sz w:val="21"/>
        </w:rPr>
        <w:t>日的，招标人应当相应顺延投标截止时间。</w:t>
      </w:r>
    </w:p>
    <w:p w14:paraId="77BCD933">
      <w:pPr>
        <w:pStyle w:val="102"/>
        <w:adjustRightInd w:val="0"/>
        <w:snapToGrid w:val="0"/>
        <w:spacing w:after="0"/>
        <w:ind w:firstLine="420"/>
        <w:rPr>
          <w:rFonts w:hint="eastAsia" w:ascii="宋体" w:hAnsi="宋体"/>
          <w:sz w:val="21"/>
        </w:rPr>
      </w:pPr>
      <w:r>
        <w:rPr>
          <w:rFonts w:hint="eastAsia" w:ascii="宋体" w:hAnsi="宋体"/>
          <w:sz w:val="21"/>
        </w:rPr>
        <w:t xml:space="preserve">2.4.4 </w:t>
      </w:r>
      <w:r>
        <w:rPr>
          <w:rFonts w:hint="eastAsia" w:ascii="宋体" w:hAnsi="宋体"/>
          <w:spacing w:val="4"/>
          <w:sz w:val="21"/>
        </w:rPr>
        <w:t>投标人收到澄清或者修改后，应当按照投标人须知前附表规定的时间和方式通知招标人，确认已收到该澄清或者修改。</w:t>
      </w:r>
    </w:p>
    <w:p w14:paraId="22E58306">
      <w:pPr>
        <w:pStyle w:val="102"/>
        <w:adjustRightInd w:val="0"/>
        <w:snapToGrid w:val="0"/>
        <w:spacing w:after="0"/>
        <w:ind w:firstLine="420"/>
        <w:rPr>
          <w:rFonts w:hint="eastAsia" w:ascii="宋体" w:hAnsi="宋体"/>
          <w:sz w:val="21"/>
        </w:rPr>
      </w:pPr>
      <w:r>
        <w:rPr>
          <w:rFonts w:hint="eastAsia" w:ascii="宋体" w:hAnsi="宋体"/>
          <w:sz w:val="21"/>
        </w:rPr>
        <w:t xml:space="preserve">2.4.5 </w:t>
      </w:r>
      <w:r>
        <w:rPr>
          <w:rFonts w:hint="eastAsia" w:ascii="宋体" w:hAnsi="宋体"/>
          <w:spacing w:val="4"/>
          <w:sz w:val="21"/>
        </w:rPr>
        <w:t>所有关于招标文件的澄清和修改均作为招标文件的补充部分。当招标文件、</w:t>
      </w:r>
      <w:r>
        <w:rPr>
          <w:rFonts w:hint="eastAsia" w:ascii="宋体" w:hAnsi="宋体"/>
          <w:spacing w:val="10"/>
          <w:sz w:val="21"/>
        </w:rPr>
        <w:t>招标文件的澄清或者修改等在同一内容的表述上不一致时，以最后发出的书面文件为准。</w:t>
      </w:r>
    </w:p>
    <w:p w14:paraId="59E03CA5">
      <w:pPr>
        <w:pStyle w:val="3"/>
        <w:adjustRightInd w:val="0"/>
        <w:snapToGrid w:val="0"/>
        <w:spacing w:before="0" w:after="0" w:line="360" w:lineRule="auto"/>
        <w:jc w:val="left"/>
        <w:rPr>
          <w:rFonts w:hint="eastAsia" w:ascii="宋体" w:hAnsi="宋体" w:eastAsia="宋体"/>
          <w:sz w:val="21"/>
          <w:szCs w:val="21"/>
        </w:rPr>
      </w:pPr>
      <w:bookmarkStart w:id="184" w:name="_Toc151663701"/>
      <w:bookmarkStart w:id="185" w:name="_Toc472689504"/>
      <w:bookmarkStart w:id="186" w:name="_Toc479172326"/>
      <w:bookmarkStart w:id="187" w:name="_Toc485377424"/>
      <w:bookmarkStart w:id="188" w:name="_Toc214432835"/>
      <w:r>
        <w:rPr>
          <w:rFonts w:hint="eastAsia" w:ascii="宋体" w:hAnsi="宋体" w:eastAsia="宋体"/>
          <w:sz w:val="21"/>
          <w:szCs w:val="21"/>
        </w:rPr>
        <w:t>3．</w:t>
      </w:r>
      <w:bookmarkEnd w:id="170"/>
      <w:bookmarkEnd w:id="171"/>
      <w:bookmarkEnd w:id="172"/>
      <w:bookmarkEnd w:id="173"/>
      <w:bookmarkEnd w:id="174"/>
      <w:bookmarkEnd w:id="175"/>
      <w:bookmarkEnd w:id="176"/>
      <w:bookmarkEnd w:id="177"/>
      <w:bookmarkEnd w:id="178"/>
      <w:bookmarkEnd w:id="179"/>
      <w:bookmarkEnd w:id="180"/>
      <w:bookmarkEnd w:id="184"/>
      <w:bookmarkEnd w:id="185"/>
      <w:bookmarkEnd w:id="186"/>
      <w:bookmarkEnd w:id="187"/>
      <w:r>
        <w:rPr>
          <w:rFonts w:hint="eastAsia" w:ascii="宋体" w:hAnsi="宋体" w:eastAsia="宋体"/>
          <w:sz w:val="21"/>
          <w:szCs w:val="21"/>
        </w:rPr>
        <w:t>投标文件</w:t>
      </w:r>
      <w:bookmarkEnd w:id="188"/>
    </w:p>
    <w:bookmarkEnd w:id="181"/>
    <w:bookmarkEnd w:id="182"/>
    <w:bookmarkEnd w:id="183"/>
    <w:p w14:paraId="0A835A04">
      <w:pPr>
        <w:pStyle w:val="4"/>
        <w:snapToGrid w:val="0"/>
        <w:spacing w:before="0" w:after="0" w:line="360" w:lineRule="auto"/>
        <w:rPr>
          <w:rFonts w:hint="eastAsia" w:ascii="宋体" w:hAnsi="宋体" w:eastAsia="宋体"/>
          <w:sz w:val="21"/>
          <w:szCs w:val="21"/>
        </w:rPr>
      </w:pPr>
      <w:bookmarkStart w:id="189" w:name="_Toc107822493"/>
      <w:bookmarkStart w:id="190" w:name="_Toc226969290"/>
      <w:bookmarkStart w:id="191" w:name="_Toc227057896"/>
      <w:bookmarkStart w:id="192" w:name="_Toc485377425"/>
      <w:bookmarkStart w:id="193" w:name="_Toc479172327"/>
      <w:bookmarkStart w:id="194" w:name="_Toc447188684"/>
      <w:bookmarkStart w:id="195" w:name="_Toc472689505"/>
      <w:bookmarkStart w:id="196" w:name="_Toc450489293"/>
      <w:bookmarkStart w:id="197" w:name="_Toc447265234"/>
      <w:bookmarkStart w:id="198" w:name="_Toc447265520"/>
      <w:bookmarkStart w:id="199" w:name="_Toc508963708"/>
      <w:bookmarkStart w:id="200" w:name="_Toc447265242"/>
      <w:bookmarkStart w:id="201" w:name="_Toc184635074"/>
      <w:bookmarkStart w:id="202" w:name="_Toc447265528"/>
      <w:bookmarkStart w:id="203" w:name="_Toc107822503"/>
      <w:bookmarkStart w:id="204" w:name="_Toc488655848"/>
      <w:bookmarkStart w:id="205" w:name="_Toc226969300"/>
      <w:bookmarkStart w:id="206" w:name="_Toc227057906"/>
      <w:r>
        <w:rPr>
          <w:rFonts w:hint="eastAsia" w:ascii="宋体" w:hAnsi="宋体" w:eastAsia="宋体"/>
          <w:sz w:val="21"/>
          <w:szCs w:val="21"/>
        </w:rPr>
        <w:t>3.1  投标文件的</w:t>
      </w:r>
      <w:bookmarkEnd w:id="189"/>
      <w:bookmarkEnd w:id="190"/>
      <w:bookmarkEnd w:id="191"/>
      <w:r>
        <w:rPr>
          <w:rFonts w:hint="eastAsia" w:ascii="宋体" w:hAnsi="宋体" w:eastAsia="宋体"/>
          <w:sz w:val="21"/>
          <w:szCs w:val="21"/>
        </w:rPr>
        <w:t>组成</w:t>
      </w:r>
      <w:bookmarkEnd w:id="192"/>
      <w:bookmarkEnd w:id="193"/>
      <w:bookmarkEnd w:id="194"/>
      <w:bookmarkEnd w:id="195"/>
      <w:bookmarkEnd w:id="196"/>
      <w:bookmarkEnd w:id="197"/>
      <w:bookmarkEnd w:id="198"/>
      <w:bookmarkEnd w:id="199"/>
    </w:p>
    <w:p w14:paraId="6C20F749">
      <w:pPr>
        <w:pStyle w:val="102"/>
        <w:adjustRightInd w:val="0"/>
        <w:snapToGrid w:val="0"/>
        <w:spacing w:after="0"/>
        <w:ind w:firstLine="420"/>
        <w:rPr>
          <w:rFonts w:hint="eastAsia" w:ascii="宋体" w:hAnsi="宋体"/>
          <w:sz w:val="21"/>
        </w:rPr>
      </w:pPr>
      <w:r>
        <w:rPr>
          <w:rFonts w:hint="eastAsia" w:ascii="宋体" w:hAnsi="宋体"/>
          <w:sz w:val="21"/>
        </w:rPr>
        <w:t>投标人应当按照投标人须知前附表的要求制作并递交投标文件。投标文件组成见投标人须知前附表。</w:t>
      </w:r>
    </w:p>
    <w:p w14:paraId="47BB8F53">
      <w:pPr>
        <w:pStyle w:val="4"/>
        <w:snapToGrid w:val="0"/>
        <w:spacing w:before="0" w:after="0" w:line="360" w:lineRule="auto"/>
        <w:rPr>
          <w:rFonts w:hint="eastAsia" w:ascii="宋体" w:hAnsi="宋体" w:eastAsia="宋体"/>
          <w:sz w:val="21"/>
          <w:szCs w:val="21"/>
        </w:rPr>
      </w:pPr>
      <w:bookmarkStart w:id="207" w:name="_Toc447265521"/>
      <w:bookmarkStart w:id="208" w:name="_Toc450489294"/>
      <w:bookmarkStart w:id="209" w:name="_Toc508963709"/>
      <w:bookmarkStart w:id="210" w:name="_Toc472689506"/>
      <w:bookmarkStart w:id="211" w:name="_Toc485377426"/>
      <w:bookmarkStart w:id="212" w:name="_Toc447188685"/>
      <w:bookmarkStart w:id="213" w:name="_Toc447265235"/>
      <w:bookmarkStart w:id="214" w:name="_Toc479172328"/>
      <w:r>
        <w:rPr>
          <w:rFonts w:hint="eastAsia" w:ascii="宋体" w:hAnsi="宋体" w:eastAsia="宋体"/>
          <w:sz w:val="21"/>
          <w:szCs w:val="21"/>
        </w:rPr>
        <w:t>3.2  投标文件的编制</w:t>
      </w:r>
      <w:bookmarkEnd w:id="207"/>
      <w:bookmarkEnd w:id="208"/>
      <w:bookmarkEnd w:id="209"/>
      <w:bookmarkEnd w:id="210"/>
      <w:bookmarkEnd w:id="211"/>
      <w:bookmarkEnd w:id="212"/>
      <w:bookmarkEnd w:id="213"/>
      <w:bookmarkEnd w:id="214"/>
    </w:p>
    <w:p w14:paraId="01763AE6">
      <w:pPr>
        <w:pStyle w:val="102"/>
        <w:adjustRightInd w:val="0"/>
        <w:snapToGrid w:val="0"/>
        <w:spacing w:after="0"/>
        <w:ind w:firstLine="420"/>
        <w:rPr>
          <w:rFonts w:hint="eastAsia" w:ascii="宋体" w:hAnsi="宋体"/>
          <w:sz w:val="21"/>
        </w:rPr>
      </w:pPr>
      <w:r>
        <w:rPr>
          <w:rFonts w:hint="eastAsia" w:ascii="宋体" w:hAnsi="宋体"/>
          <w:sz w:val="21"/>
        </w:rPr>
        <w:t>3.2.1  投标人应当按照招标文件的要求编制投标文件，投标文件应当对招标文件提出的实质性要求和条件作出投标。</w:t>
      </w:r>
    </w:p>
    <w:p w14:paraId="2FBE3191">
      <w:pPr>
        <w:pStyle w:val="102"/>
        <w:adjustRightInd w:val="0"/>
        <w:snapToGrid w:val="0"/>
        <w:spacing w:after="0"/>
        <w:ind w:firstLine="420"/>
        <w:rPr>
          <w:rFonts w:hint="eastAsia" w:ascii="宋体" w:hAnsi="宋体"/>
          <w:sz w:val="21"/>
        </w:rPr>
      </w:pPr>
      <w:r>
        <w:rPr>
          <w:rFonts w:ascii="宋体" w:hAnsi="宋体"/>
          <w:sz w:val="21"/>
        </w:rPr>
        <w:t>3.2.2</w:t>
      </w:r>
      <w:r>
        <w:rPr>
          <w:rFonts w:hint="eastAsia" w:ascii="宋体" w:hAnsi="宋体"/>
          <w:sz w:val="21"/>
        </w:rPr>
        <w:t xml:space="preserve">  投标人应当认真阅读招标文件中所有的事项、格式、条款和项目需求书等。投标人没有按照招标文件要求递交全部资料或者投标人没有对招标文件在各方面都作出实质性投标是投标人的风险，并可能导致其投标被否决。投标文件应答和编写的具体要求见投标人须知前附表。</w:t>
      </w:r>
    </w:p>
    <w:p w14:paraId="2E80615E">
      <w:pPr>
        <w:pStyle w:val="102"/>
        <w:adjustRightInd w:val="0"/>
        <w:snapToGrid w:val="0"/>
        <w:spacing w:after="0"/>
        <w:ind w:firstLine="420"/>
        <w:rPr>
          <w:rFonts w:hint="eastAsia" w:ascii="宋体" w:hAnsi="宋体"/>
          <w:sz w:val="21"/>
        </w:rPr>
      </w:pPr>
      <w:r>
        <w:rPr>
          <w:rFonts w:hint="eastAsia" w:ascii="宋体" w:hAnsi="宋体"/>
          <w:sz w:val="21"/>
        </w:rPr>
        <w:t>3.2.3  投标人递交的投标文件以及投标人与招标人就有关投标的所有往来函电均应当使用中文。投标人递交的证明文件和文献可以使用另一种语言，但相应内容应当译成中文，在解释投标文件时以中文译本为准。</w:t>
      </w:r>
    </w:p>
    <w:p w14:paraId="0E242263">
      <w:pPr>
        <w:pStyle w:val="102"/>
        <w:adjustRightInd w:val="0"/>
        <w:snapToGrid w:val="0"/>
        <w:spacing w:after="0"/>
        <w:ind w:firstLine="420"/>
        <w:rPr>
          <w:rFonts w:hint="eastAsia" w:ascii="宋体" w:hAnsi="宋体"/>
          <w:sz w:val="21"/>
        </w:rPr>
      </w:pPr>
      <w:r>
        <w:rPr>
          <w:rFonts w:hint="eastAsia" w:ascii="宋体" w:hAnsi="宋体"/>
          <w:sz w:val="21"/>
        </w:rPr>
        <w:t>3.2.4  投标文件应当使用不褪色的材料书写或者打印，并加盖单位公章或者由投标人的法定代表人或者其委托代理人签字。委托代理人签字的，投标文件应当附法定代表人签署的授权委托书。投标文件应当尽量避免涂改、行间插字或者删除。如果出现上述情况，改动之处应当加盖单位公章或者由投标人的法定代表人或者其委托代理人签字确认。盖章或者签字另有要求的，见投标人须知前附表。</w:t>
      </w:r>
    </w:p>
    <w:p w14:paraId="1B47F9E2">
      <w:pPr>
        <w:pStyle w:val="4"/>
        <w:snapToGrid w:val="0"/>
        <w:spacing w:before="0" w:after="0" w:line="360" w:lineRule="auto"/>
        <w:rPr>
          <w:rFonts w:hint="eastAsia" w:ascii="宋体" w:hAnsi="宋体" w:eastAsia="宋体"/>
          <w:sz w:val="21"/>
          <w:szCs w:val="21"/>
        </w:rPr>
      </w:pPr>
      <w:bookmarkStart w:id="215" w:name="_Toc450489295"/>
      <w:bookmarkStart w:id="216" w:name="_Toc227057898"/>
      <w:bookmarkStart w:id="217" w:name="_Toc107822495"/>
      <w:bookmarkStart w:id="218" w:name="_Toc485377427"/>
      <w:bookmarkStart w:id="219" w:name="_Toc479172329"/>
      <w:bookmarkStart w:id="220" w:name="_Toc447265522"/>
      <w:bookmarkStart w:id="221" w:name="_Toc472689507"/>
      <w:bookmarkStart w:id="222" w:name="_Toc226969292"/>
      <w:bookmarkStart w:id="223" w:name="_Toc447265236"/>
      <w:bookmarkStart w:id="224" w:name="_Toc447188686"/>
      <w:bookmarkStart w:id="225" w:name="_Toc508963710"/>
      <w:r>
        <w:rPr>
          <w:rFonts w:hint="eastAsia" w:ascii="宋体" w:hAnsi="宋体" w:eastAsia="宋体"/>
          <w:sz w:val="21"/>
          <w:szCs w:val="21"/>
        </w:rPr>
        <w:t>3.3  投标报价</w:t>
      </w:r>
      <w:bookmarkEnd w:id="215"/>
      <w:bookmarkEnd w:id="216"/>
      <w:bookmarkEnd w:id="217"/>
      <w:bookmarkEnd w:id="218"/>
      <w:bookmarkEnd w:id="219"/>
      <w:bookmarkEnd w:id="220"/>
      <w:bookmarkEnd w:id="221"/>
      <w:bookmarkEnd w:id="222"/>
      <w:bookmarkEnd w:id="223"/>
      <w:bookmarkEnd w:id="224"/>
      <w:bookmarkEnd w:id="225"/>
    </w:p>
    <w:p w14:paraId="334A20FE">
      <w:pPr>
        <w:pStyle w:val="102"/>
        <w:adjustRightInd w:val="0"/>
        <w:snapToGrid w:val="0"/>
        <w:spacing w:after="0"/>
        <w:ind w:firstLine="420"/>
        <w:rPr>
          <w:rFonts w:hint="eastAsia" w:ascii="宋体" w:hAnsi="宋体"/>
          <w:sz w:val="21"/>
        </w:rPr>
      </w:pPr>
      <w:r>
        <w:rPr>
          <w:rFonts w:hint="eastAsia" w:ascii="宋体" w:hAnsi="宋体"/>
          <w:sz w:val="21"/>
        </w:rPr>
        <w:t>3.3.1  投标人应当根据招标文件要求进行报价，投标人应当报出符合招标文件要求的拟提供投标货物的单价（如适用）和总价。</w:t>
      </w:r>
    </w:p>
    <w:p w14:paraId="3DE06FDA">
      <w:pPr>
        <w:pStyle w:val="102"/>
        <w:adjustRightInd w:val="0"/>
        <w:snapToGrid w:val="0"/>
        <w:spacing w:after="0"/>
        <w:ind w:firstLine="420"/>
        <w:rPr>
          <w:rFonts w:hint="eastAsia" w:ascii="宋体" w:hAnsi="宋体"/>
          <w:sz w:val="21"/>
        </w:rPr>
      </w:pPr>
      <w:r>
        <w:rPr>
          <w:rFonts w:ascii="宋体" w:hAnsi="宋体"/>
          <w:sz w:val="21"/>
        </w:rPr>
        <w:t>3.3.2</w:t>
      </w:r>
      <w:r>
        <w:rPr>
          <w:rFonts w:hint="eastAsia" w:ascii="宋体" w:hAnsi="宋体"/>
          <w:sz w:val="21"/>
        </w:rPr>
        <w:t xml:space="preserve">  投标货币：人民币。</w:t>
      </w:r>
    </w:p>
    <w:p w14:paraId="662FC989">
      <w:pPr>
        <w:pStyle w:val="102"/>
        <w:adjustRightInd w:val="0"/>
        <w:snapToGrid w:val="0"/>
        <w:spacing w:after="0"/>
        <w:ind w:firstLine="420"/>
        <w:rPr>
          <w:rFonts w:hint="eastAsia" w:ascii="宋体" w:hAnsi="宋体"/>
          <w:sz w:val="21"/>
        </w:rPr>
      </w:pPr>
      <w:r>
        <w:rPr>
          <w:rFonts w:hint="eastAsia" w:ascii="宋体" w:hAnsi="宋体"/>
          <w:sz w:val="21"/>
        </w:rPr>
        <w:t>3.3.3  招标人设有最高投标限价的，投标人的投标报价不得超过最高投标限价，否则其投标将被否决。最高投标限价或者其计算方法见投标人须知前附表。</w:t>
      </w:r>
    </w:p>
    <w:p w14:paraId="52536BED">
      <w:pPr>
        <w:pStyle w:val="102"/>
        <w:adjustRightInd w:val="0"/>
        <w:snapToGrid w:val="0"/>
        <w:spacing w:after="0"/>
        <w:ind w:firstLine="420"/>
        <w:rPr>
          <w:rFonts w:hint="eastAsia" w:ascii="宋体" w:hAnsi="宋体"/>
          <w:sz w:val="21"/>
        </w:rPr>
      </w:pPr>
      <w:r>
        <w:rPr>
          <w:rFonts w:hint="eastAsia" w:ascii="宋体" w:hAnsi="宋体"/>
          <w:sz w:val="21"/>
        </w:rPr>
        <w:t>3.3.4  招标人不接受投标人的任何低于成本报价的不正当竞争方式。</w:t>
      </w:r>
    </w:p>
    <w:p w14:paraId="65605729">
      <w:pPr>
        <w:pStyle w:val="102"/>
        <w:adjustRightInd w:val="0"/>
        <w:snapToGrid w:val="0"/>
        <w:spacing w:after="0"/>
        <w:ind w:firstLine="420"/>
        <w:rPr>
          <w:rFonts w:hint="eastAsia" w:ascii="宋体" w:hAnsi="宋体"/>
          <w:sz w:val="21"/>
        </w:rPr>
      </w:pPr>
      <w:r>
        <w:rPr>
          <w:rFonts w:hint="eastAsia" w:ascii="宋体" w:hAnsi="宋体"/>
          <w:sz w:val="21"/>
        </w:rPr>
        <w:t>3.3.5  只有在招标文件要求或者允许报优惠价时，投标人才可以报出。投标人优惠报价的数额，开标时也必须当众宣读。关于优惠条件的规定见投标人须知前附表。</w:t>
      </w:r>
    </w:p>
    <w:p w14:paraId="3BFCA799">
      <w:pPr>
        <w:pStyle w:val="102"/>
        <w:adjustRightInd w:val="0"/>
        <w:snapToGrid w:val="0"/>
        <w:spacing w:after="0"/>
        <w:ind w:firstLine="420"/>
        <w:rPr>
          <w:rFonts w:hint="eastAsia" w:ascii="宋体" w:hAnsi="宋体"/>
          <w:sz w:val="21"/>
        </w:rPr>
      </w:pPr>
      <w:r>
        <w:rPr>
          <w:rFonts w:hint="eastAsia" w:ascii="宋体" w:hAnsi="宋体"/>
          <w:sz w:val="21"/>
        </w:rPr>
        <w:t>3.3.6  投标报价的具体要求见投标人须知前附表。</w:t>
      </w:r>
    </w:p>
    <w:p w14:paraId="66B65B0B">
      <w:pPr>
        <w:pStyle w:val="4"/>
        <w:snapToGrid w:val="0"/>
        <w:spacing w:before="0" w:after="0" w:line="360" w:lineRule="auto"/>
        <w:rPr>
          <w:rFonts w:hint="eastAsia" w:ascii="宋体" w:hAnsi="宋体" w:eastAsia="宋体"/>
          <w:sz w:val="21"/>
          <w:szCs w:val="21"/>
        </w:rPr>
      </w:pPr>
      <w:bookmarkStart w:id="226" w:name="_Toc447265237"/>
      <w:bookmarkStart w:id="227" w:name="_Toc450489296"/>
      <w:bookmarkStart w:id="228" w:name="_Toc227057902"/>
      <w:bookmarkStart w:id="229" w:name="_Toc226969296"/>
      <w:bookmarkStart w:id="230" w:name="_Toc107822500"/>
      <w:bookmarkStart w:id="231" w:name="_Toc508963711"/>
      <w:bookmarkStart w:id="232" w:name="_Toc479172330"/>
      <w:bookmarkStart w:id="233" w:name="_Toc485377428"/>
      <w:bookmarkStart w:id="234" w:name="_Toc447265523"/>
      <w:bookmarkStart w:id="235" w:name="_Toc447188687"/>
      <w:bookmarkStart w:id="236" w:name="_Toc472689508"/>
      <w:bookmarkStart w:id="237" w:name="_Toc227057901"/>
      <w:bookmarkStart w:id="238" w:name="_Toc107822499"/>
      <w:bookmarkStart w:id="239" w:name="_Toc226969295"/>
      <w:r>
        <w:rPr>
          <w:rFonts w:ascii="宋体" w:hAnsi="宋体" w:eastAsia="宋体"/>
          <w:sz w:val="21"/>
          <w:szCs w:val="21"/>
        </w:rPr>
        <w:t>3.4</w:t>
      </w:r>
      <w:r>
        <w:rPr>
          <w:rFonts w:hint="eastAsia" w:ascii="宋体" w:hAnsi="宋体" w:eastAsia="宋体"/>
          <w:sz w:val="21"/>
          <w:szCs w:val="21"/>
        </w:rPr>
        <w:t xml:space="preserve">  投标有效期</w:t>
      </w:r>
      <w:bookmarkEnd w:id="226"/>
      <w:bookmarkEnd w:id="227"/>
      <w:bookmarkEnd w:id="228"/>
      <w:bookmarkEnd w:id="229"/>
      <w:bookmarkEnd w:id="230"/>
      <w:bookmarkEnd w:id="231"/>
      <w:bookmarkEnd w:id="232"/>
      <w:bookmarkEnd w:id="233"/>
      <w:bookmarkEnd w:id="234"/>
      <w:bookmarkEnd w:id="235"/>
      <w:bookmarkEnd w:id="236"/>
    </w:p>
    <w:p w14:paraId="7CCF9341">
      <w:pPr>
        <w:pStyle w:val="102"/>
        <w:adjustRightInd w:val="0"/>
        <w:snapToGrid w:val="0"/>
        <w:spacing w:after="0"/>
        <w:ind w:firstLine="420"/>
        <w:rPr>
          <w:rFonts w:hint="eastAsia" w:ascii="宋体" w:hAnsi="宋体"/>
          <w:sz w:val="21"/>
        </w:rPr>
      </w:pPr>
      <w:r>
        <w:rPr>
          <w:rFonts w:hint="eastAsia" w:ascii="宋体" w:hAnsi="宋体"/>
          <w:sz w:val="21"/>
        </w:rPr>
        <w:t>3.4.1  投标有效期从递交投标文件截止之日起计算。投标有效期的具体时间见投标人须知前附表。在此期间，投标人不得要求撤销或者修改其投标文件。投标有效期不满足招标文件要求的投标将被否决。</w:t>
      </w:r>
    </w:p>
    <w:p w14:paraId="425111C9">
      <w:pPr>
        <w:pStyle w:val="102"/>
        <w:adjustRightInd w:val="0"/>
        <w:snapToGrid w:val="0"/>
        <w:spacing w:after="0"/>
        <w:ind w:firstLine="420"/>
        <w:rPr>
          <w:rFonts w:hint="eastAsia" w:ascii="宋体" w:hAnsi="宋体"/>
          <w:sz w:val="21"/>
        </w:rPr>
      </w:pPr>
      <w:r>
        <w:rPr>
          <w:rFonts w:ascii="宋体" w:hAnsi="宋体"/>
          <w:sz w:val="21"/>
        </w:rPr>
        <w:t>3.4.2</w:t>
      </w:r>
      <w:r>
        <w:rPr>
          <w:rFonts w:hint="eastAsia" w:ascii="宋体" w:hAnsi="宋体"/>
          <w:sz w:val="21"/>
        </w:rPr>
        <w:t xml:space="preserve">  在原定投标有效期满之前，如果出现特殊情况，招标人决定延长投标有效期的，应当以书面形式向投标人提出延长投标有效期的要求，投标人须以书面形式予以答复。投标人同意延长投标有效期的，不得修改其投标文件的实质性内容，但应当相应延长其投标保证金有效期；投标人拒绝延长投标有效期的，其投标失效，投标人有权收回其保证金。</w:t>
      </w:r>
    </w:p>
    <w:p w14:paraId="3B241886">
      <w:pPr>
        <w:pStyle w:val="4"/>
        <w:snapToGrid w:val="0"/>
        <w:spacing w:before="0" w:after="0" w:line="360" w:lineRule="auto"/>
        <w:rPr>
          <w:rFonts w:hint="eastAsia" w:ascii="宋体" w:hAnsi="宋体" w:eastAsia="宋体"/>
          <w:sz w:val="21"/>
          <w:szCs w:val="21"/>
        </w:rPr>
      </w:pPr>
      <w:bookmarkStart w:id="240" w:name="_Toc447265524"/>
      <w:bookmarkStart w:id="241" w:name="_Toc479172331"/>
      <w:bookmarkStart w:id="242" w:name="_Toc447188688"/>
      <w:bookmarkStart w:id="243" w:name="_Toc508963712"/>
      <w:bookmarkStart w:id="244" w:name="_Toc450489297"/>
      <w:bookmarkStart w:id="245" w:name="_Toc485377429"/>
      <w:bookmarkStart w:id="246" w:name="_Toc447265238"/>
      <w:bookmarkStart w:id="247" w:name="_Toc472689509"/>
      <w:r>
        <w:rPr>
          <w:rFonts w:hint="eastAsia" w:ascii="宋体" w:hAnsi="宋体" w:eastAsia="宋体"/>
          <w:sz w:val="21"/>
          <w:szCs w:val="21"/>
        </w:rPr>
        <w:t>3.5  保证金</w:t>
      </w:r>
      <w:bookmarkEnd w:id="237"/>
      <w:bookmarkEnd w:id="238"/>
      <w:bookmarkEnd w:id="239"/>
      <w:bookmarkEnd w:id="240"/>
      <w:bookmarkEnd w:id="241"/>
      <w:bookmarkEnd w:id="242"/>
      <w:bookmarkEnd w:id="243"/>
      <w:bookmarkEnd w:id="244"/>
      <w:bookmarkEnd w:id="245"/>
      <w:bookmarkEnd w:id="246"/>
      <w:bookmarkEnd w:id="247"/>
    </w:p>
    <w:p w14:paraId="72CD919C">
      <w:pPr>
        <w:pStyle w:val="102"/>
        <w:adjustRightInd w:val="0"/>
        <w:snapToGrid w:val="0"/>
        <w:spacing w:after="0"/>
        <w:ind w:firstLine="420"/>
        <w:rPr>
          <w:rFonts w:hint="eastAsia" w:ascii="宋体" w:hAnsi="宋体"/>
          <w:sz w:val="21"/>
        </w:rPr>
      </w:pPr>
      <w:r>
        <w:rPr>
          <w:rFonts w:hint="eastAsia" w:ascii="宋体" w:hAnsi="宋体"/>
          <w:sz w:val="21"/>
        </w:rPr>
        <w:t>3.5.1  招标人要求投标人递交保证金的，投标人必须在递交投标文件的同时，按照投标人须知前附表的规定递交保证金。保证金一般不超过项目估算价的2%，但最高不得超过</w:t>
      </w:r>
      <w:r>
        <w:rPr>
          <w:rFonts w:ascii="宋体" w:hAnsi="宋体"/>
          <w:sz w:val="21"/>
        </w:rPr>
        <w:t>80</w:t>
      </w:r>
      <w:r>
        <w:rPr>
          <w:rFonts w:hint="eastAsia" w:ascii="宋体" w:hAnsi="宋体"/>
          <w:sz w:val="21"/>
        </w:rPr>
        <w:t>万元人民币，本采购项目的保证金金额见投标人须知前附表。</w:t>
      </w:r>
    </w:p>
    <w:p w14:paraId="53581212">
      <w:pPr>
        <w:pStyle w:val="102"/>
        <w:adjustRightInd w:val="0"/>
        <w:snapToGrid w:val="0"/>
        <w:spacing w:after="0"/>
        <w:ind w:firstLine="420"/>
        <w:rPr>
          <w:rFonts w:hint="eastAsia" w:ascii="宋体" w:hAnsi="宋体"/>
          <w:sz w:val="21"/>
        </w:rPr>
      </w:pPr>
      <w:r>
        <w:rPr>
          <w:rFonts w:hint="eastAsia" w:ascii="宋体" w:hAnsi="宋体"/>
          <w:sz w:val="21"/>
        </w:rPr>
        <w:t>3.5.2  招标人可以规定保证金是以电汇、转账、保函、保证保险、保兑支票、银行汇票等有效形式递交，依法必须进行采购的项目的境内投标人，以现金或者支票形式递交的投标保证金应当从其基本账户转出。保证金有效期应当与投标有效期一致。保证金的形式见投标人须知前附表。</w:t>
      </w:r>
    </w:p>
    <w:p w14:paraId="74BA14E0">
      <w:pPr>
        <w:pStyle w:val="102"/>
        <w:adjustRightInd w:val="0"/>
        <w:snapToGrid w:val="0"/>
        <w:spacing w:after="0"/>
        <w:ind w:firstLine="420"/>
        <w:rPr>
          <w:rFonts w:hint="eastAsia" w:ascii="宋体" w:hAnsi="宋体"/>
          <w:sz w:val="21"/>
        </w:rPr>
      </w:pPr>
      <w:r>
        <w:rPr>
          <w:rFonts w:hint="eastAsia" w:ascii="宋体" w:hAnsi="宋体"/>
          <w:sz w:val="21"/>
        </w:rPr>
        <w:t>3.5.3  招标人最迟应当在书面合同签订后5日内向中标人和未成交的投标人退还保证金及银行同期存款利息。</w:t>
      </w:r>
    </w:p>
    <w:p w14:paraId="21BFDB80">
      <w:pPr>
        <w:pStyle w:val="102"/>
        <w:adjustRightInd w:val="0"/>
        <w:snapToGrid w:val="0"/>
        <w:spacing w:after="0"/>
        <w:ind w:firstLine="420"/>
        <w:rPr>
          <w:rFonts w:hint="eastAsia" w:ascii="宋体" w:hAnsi="宋体"/>
          <w:sz w:val="21"/>
        </w:rPr>
      </w:pPr>
      <w:r>
        <w:rPr>
          <w:rFonts w:ascii="宋体" w:hAnsi="宋体"/>
          <w:sz w:val="21"/>
        </w:rPr>
        <w:t>3.5.4</w:t>
      </w:r>
      <w:r>
        <w:rPr>
          <w:rFonts w:hint="eastAsia" w:ascii="宋体" w:hAnsi="宋体"/>
          <w:sz w:val="21"/>
        </w:rPr>
        <w:t xml:space="preserve">  发生下列情形之一时保证金可不予退还：</w:t>
      </w:r>
    </w:p>
    <w:p w14:paraId="5854765F">
      <w:pPr>
        <w:pStyle w:val="102"/>
        <w:adjustRightInd w:val="0"/>
        <w:snapToGrid w:val="0"/>
        <w:spacing w:after="0"/>
        <w:ind w:firstLine="420"/>
        <w:rPr>
          <w:rFonts w:hint="eastAsia" w:ascii="宋体" w:hAnsi="宋体"/>
          <w:sz w:val="21"/>
        </w:rPr>
      </w:pPr>
      <w:r>
        <w:rPr>
          <w:rFonts w:hint="eastAsia" w:ascii="宋体" w:hAnsi="宋体"/>
          <w:sz w:val="21"/>
        </w:rPr>
        <w:t>（1）投标人在招标文件中规定的投标有效期内撤销投标的；</w:t>
      </w:r>
    </w:p>
    <w:p w14:paraId="3B4DEF2E">
      <w:pPr>
        <w:pStyle w:val="102"/>
        <w:adjustRightInd w:val="0"/>
        <w:snapToGrid w:val="0"/>
        <w:spacing w:after="0"/>
        <w:ind w:firstLine="420"/>
        <w:rPr>
          <w:rFonts w:hint="eastAsia" w:ascii="宋体" w:hAnsi="宋体"/>
          <w:sz w:val="21"/>
        </w:rPr>
      </w:pPr>
      <w:r>
        <w:rPr>
          <w:rFonts w:hint="eastAsia" w:ascii="宋体" w:hAnsi="宋体"/>
          <w:sz w:val="21"/>
        </w:rPr>
        <w:t>（2）中标人无正当理由不与招标人在规定期限内订立合同、在签订合同时向招标人提出附加条件，或者不按照招标文件要求递交履约保证金的；</w:t>
      </w:r>
    </w:p>
    <w:p w14:paraId="37DD9B4B">
      <w:pPr>
        <w:pStyle w:val="102"/>
        <w:adjustRightInd w:val="0"/>
        <w:snapToGrid w:val="0"/>
        <w:spacing w:after="0"/>
        <w:ind w:firstLine="420"/>
        <w:rPr>
          <w:rFonts w:hint="eastAsia" w:ascii="宋体" w:hAnsi="宋体"/>
          <w:sz w:val="21"/>
        </w:rPr>
      </w:pPr>
      <w:r>
        <w:rPr>
          <w:rFonts w:hint="eastAsia" w:ascii="宋体" w:hAnsi="宋体"/>
          <w:sz w:val="21"/>
        </w:rPr>
        <w:t>（3）投标人有串通投标、弄虚作假等行为的；</w:t>
      </w:r>
    </w:p>
    <w:p w14:paraId="4B9B4F15">
      <w:pPr>
        <w:pStyle w:val="102"/>
        <w:adjustRightInd w:val="0"/>
        <w:snapToGrid w:val="0"/>
        <w:spacing w:after="0"/>
        <w:ind w:firstLine="420"/>
        <w:rPr>
          <w:rFonts w:hint="eastAsia" w:ascii="宋体" w:hAnsi="宋体"/>
          <w:sz w:val="21"/>
        </w:rPr>
      </w:pPr>
      <w:r>
        <w:rPr>
          <w:rFonts w:hint="eastAsia" w:ascii="宋体" w:hAnsi="宋体"/>
          <w:sz w:val="21"/>
        </w:rPr>
        <w:t>（4）其他规定见投标人须知前附表。</w:t>
      </w:r>
    </w:p>
    <w:p w14:paraId="2035B35F">
      <w:pPr>
        <w:pStyle w:val="102"/>
        <w:adjustRightInd w:val="0"/>
        <w:snapToGrid w:val="0"/>
        <w:spacing w:after="0"/>
        <w:ind w:firstLine="420"/>
        <w:rPr>
          <w:rFonts w:hint="eastAsia" w:ascii="宋体" w:hAnsi="宋体"/>
          <w:sz w:val="21"/>
        </w:rPr>
      </w:pPr>
      <w:r>
        <w:rPr>
          <w:rFonts w:hint="eastAsia" w:ascii="宋体" w:hAnsi="宋体"/>
          <w:sz w:val="21"/>
        </w:rPr>
        <w:t>3.5.5  未递交保证金或者递交的保证金有瑕疵的投标将被否决。</w:t>
      </w:r>
    </w:p>
    <w:p w14:paraId="472EF5B7">
      <w:pPr>
        <w:pStyle w:val="4"/>
        <w:snapToGrid w:val="0"/>
        <w:spacing w:before="0" w:after="0" w:line="360" w:lineRule="auto"/>
        <w:rPr>
          <w:rFonts w:hint="eastAsia" w:ascii="宋体" w:hAnsi="宋体" w:eastAsia="宋体"/>
          <w:sz w:val="21"/>
          <w:szCs w:val="21"/>
        </w:rPr>
      </w:pPr>
      <w:bookmarkStart w:id="248" w:name="_Toc450489298"/>
      <w:bookmarkStart w:id="249" w:name="_Toc447265525"/>
      <w:bookmarkStart w:id="250" w:name="_Toc485377430"/>
      <w:bookmarkStart w:id="251" w:name="_Toc447265239"/>
      <w:bookmarkStart w:id="252" w:name="_Toc447188689"/>
      <w:bookmarkStart w:id="253" w:name="_Toc508963713"/>
      <w:bookmarkStart w:id="254" w:name="_Toc227057903"/>
      <w:bookmarkStart w:id="255" w:name="_Toc472689510"/>
      <w:bookmarkStart w:id="256" w:name="_Toc226969297"/>
      <w:bookmarkStart w:id="257" w:name="_Toc479172332"/>
      <w:bookmarkStart w:id="258" w:name="_Toc107822501"/>
      <w:r>
        <w:rPr>
          <w:rFonts w:ascii="宋体" w:hAnsi="宋体" w:eastAsia="宋体"/>
          <w:sz w:val="21"/>
          <w:szCs w:val="21"/>
        </w:rPr>
        <w:t>3.6</w:t>
      </w:r>
      <w:r>
        <w:rPr>
          <w:rFonts w:hint="eastAsia" w:ascii="宋体" w:hAnsi="宋体" w:eastAsia="宋体"/>
          <w:sz w:val="21"/>
          <w:szCs w:val="21"/>
        </w:rPr>
        <w:t xml:space="preserve">  备选投标方案</w:t>
      </w:r>
      <w:bookmarkEnd w:id="248"/>
      <w:bookmarkEnd w:id="249"/>
      <w:bookmarkEnd w:id="250"/>
      <w:bookmarkEnd w:id="251"/>
      <w:bookmarkEnd w:id="252"/>
      <w:bookmarkEnd w:id="253"/>
      <w:bookmarkEnd w:id="254"/>
      <w:bookmarkEnd w:id="255"/>
      <w:bookmarkEnd w:id="256"/>
      <w:bookmarkEnd w:id="257"/>
    </w:p>
    <w:p w14:paraId="6F953BC7">
      <w:pPr>
        <w:pStyle w:val="102"/>
        <w:adjustRightInd w:val="0"/>
        <w:snapToGrid w:val="0"/>
        <w:spacing w:after="0"/>
        <w:ind w:firstLine="420"/>
        <w:rPr>
          <w:rFonts w:hint="eastAsia" w:ascii="宋体" w:hAnsi="宋体"/>
          <w:sz w:val="21"/>
        </w:rPr>
      </w:pPr>
      <w:r>
        <w:rPr>
          <w:rFonts w:hint="eastAsia" w:ascii="宋体" w:hAnsi="宋体"/>
          <w:sz w:val="21"/>
        </w:rPr>
        <w:t>3.6.1  除投标人须知前附表另有规定外，投标人不得递交备选投标方案。</w:t>
      </w:r>
    </w:p>
    <w:p w14:paraId="4B233A60">
      <w:pPr>
        <w:pStyle w:val="102"/>
        <w:adjustRightInd w:val="0"/>
        <w:snapToGrid w:val="0"/>
        <w:spacing w:after="0"/>
        <w:ind w:firstLine="420"/>
        <w:rPr>
          <w:rFonts w:hint="eastAsia" w:ascii="宋体" w:hAnsi="宋体"/>
          <w:sz w:val="21"/>
        </w:rPr>
      </w:pPr>
      <w:r>
        <w:rPr>
          <w:rFonts w:ascii="宋体" w:hAnsi="宋体"/>
          <w:sz w:val="21"/>
        </w:rPr>
        <w:t>3.6.2</w:t>
      </w:r>
      <w:r>
        <w:rPr>
          <w:rFonts w:hint="eastAsia" w:ascii="宋体" w:hAnsi="宋体"/>
          <w:sz w:val="21"/>
        </w:rPr>
        <w:t xml:space="preserve">  若招标人在招标文件中邀请投标人递交备选方案时，则投标人除按照招标文件规定的基本方案编制和递交投标文件外，可以附加递交备选投标方案。</w:t>
      </w:r>
    </w:p>
    <w:p w14:paraId="21836319">
      <w:pPr>
        <w:pStyle w:val="102"/>
        <w:adjustRightInd w:val="0"/>
        <w:snapToGrid w:val="0"/>
        <w:spacing w:after="0"/>
        <w:ind w:firstLine="420"/>
        <w:rPr>
          <w:rFonts w:hint="eastAsia" w:ascii="宋体" w:hAnsi="宋体"/>
          <w:sz w:val="21"/>
        </w:rPr>
      </w:pPr>
      <w:r>
        <w:rPr>
          <w:rFonts w:ascii="宋体" w:hAnsi="宋体"/>
          <w:sz w:val="21"/>
        </w:rPr>
        <w:t>3.6.3</w:t>
      </w:r>
      <w:r>
        <w:rPr>
          <w:rFonts w:hint="eastAsia" w:ascii="宋体" w:hAnsi="宋体"/>
          <w:sz w:val="21"/>
        </w:rPr>
        <w:t xml:space="preserve">  备选投标方案应当说明其对基本方案的改进意见和带来的效益，并附必要的图纸、设计计算、技术要求及其他有关资料，在封面上应当注明“备选投标方案”字样。</w:t>
      </w:r>
    </w:p>
    <w:p w14:paraId="487D70FA">
      <w:pPr>
        <w:pStyle w:val="102"/>
        <w:adjustRightInd w:val="0"/>
        <w:snapToGrid w:val="0"/>
        <w:spacing w:after="0"/>
        <w:ind w:firstLine="420"/>
        <w:rPr>
          <w:rFonts w:hint="eastAsia" w:ascii="宋体" w:hAnsi="宋体"/>
          <w:sz w:val="21"/>
        </w:rPr>
      </w:pPr>
      <w:r>
        <w:rPr>
          <w:rFonts w:hint="eastAsia" w:ascii="宋体" w:hAnsi="宋体"/>
          <w:sz w:val="21"/>
        </w:rPr>
        <w:t>3.6.4  允许投标人递交备选投标方案的，只有符合招标文件要求且评审价最低或者综合评分最高而被推荐为中标候选人的投标人所递交的备选投标方案，可予以考虑。评审委员会认为其备选投标方案优于其按照招标文件要求编制的投标投标方案的，招标人可以接受该备选投标方案。</w:t>
      </w:r>
    </w:p>
    <w:p w14:paraId="0F63F7D2">
      <w:pPr>
        <w:pStyle w:val="4"/>
        <w:snapToGrid w:val="0"/>
        <w:spacing w:before="0" w:after="0" w:line="360" w:lineRule="auto"/>
        <w:rPr>
          <w:rFonts w:hint="eastAsia" w:ascii="宋体" w:hAnsi="宋体" w:eastAsia="宋体"/>
          <w:sz w:val="21"/>
          <w:szCs w:val="21"/>
        </w:rPr>
      </w:pPr>
      <w:bookmarkStart w:id="259" w:name="_Toc226969298"/>
      <w:bookmarkStart w:id="260" w:name="_Toc227057904"/>
      <w:bookmarkStart w:id="261" w:name="_Toc472689511"/>
      <w:bookmarkStart w:id="262" w:name="_Toc508963714"/>
      <w:bookmarkStart w:id="263" w:name="_Toc447265240"/>
      <w:bookmarkStart w:id="264" w:name="_Toc485377431"/>
      <w:bookmarkStart w:id="265" w:name="_Toc447188690"/>
      <w:bookmarkStart w:id="266" w:name="_Toc450489299"/>
      <w:bookmarkStart w:id="267" w:name="_Toc447265526"/>
      <w:bookmarkStart w:id="268" w:name="_Toc479172333"/>
      <w:r>
        <w:rPr>
          <w:rFonts w:hint="eastAsia" w:ascii="宋体" w:hAnsi="宋体" w:eastAsia="宋体"/>
          <w:sz w:val="21"/>
          <w:szCs w:val="21"/>
        </w:rPr>
        <w:t>3.7  投标文件的式样</w:t>
      </w:r>
      <w:bookmarkEnd w:id="258"/>
      <w:bookmarkEnd w:id="259"/>
      <w:bookmarkEnd w:id="260"/>
      <w:r>
        <w:rPr>
          <w:rFonts w:hint="eastAsia" w:ascii="宋体" w:hAnsi="宋体" w:eastAsia="宋体"/>
          <w:sz w:val="21"/>
          <w:szCs w:val="21"/>
        </w:rPr>
        <w:t>、密封和标记</w:t>
      </w:r>
      <w:bookmarkEnd w:id="261"/>
      <w:bookmarkEnd w:id="262"/>
      <w:bookmarkEnd w:id="263"/>
      <w:bookmarkEnd w:id="264"/>
      <w:bookmarkEnd w:id="265"/>
      <w:bookmarkEnd w:id="266"/>
      <w:bookmarkEnd w:id="267"/>
      <w:bookmarkEnd w:id="268"/>
    </w:p>
    <w:p w14:paraId="0926F455">
      <w:pPr>
        <w:pStyle w:val="102"/>
        <w:adjustRightInd w:val="0"/>
        <w:snapToGrid w:val="0"/>
        <w:spacing w:after="0"/>
        <w:ind w:firstLine="420"/>
        <w:rPr>
          <w:rFonts w:hint="eastAsia" w:ascii="宋体" w:hAnsi="宋体"/>
          <w:sz w:val="21"/>
        </w:rPr>
      </w:pPr>
      <w:r>
        <w:rPr>
          <w:rFonts w:ascii="宋体" w:hAnsi="宋体"/>
          <w:sz w:val="21"/>
        </w:rPr>
        <w:t>3.7.1</w:t>
      </w:r>
      <w:r>
        <w:rPr>
          <w:rFonts w:hint="eastAsia" w:ascii="宋体" w:hAnsi="宋体"/>
          <w:sz w:val="21"/>
        </w:rPr>
        <w:t xml:space="preserve">  投标人应当编制一份投标文件“正本”和投标人须知前附表所述份数的“副本”和“电子版”，副本可以为正本复印件。投标文件正本和副本如有不一致之处，以正本为准；纸质版文件与电子版文件不一致时，以纸质版文件为准。</w:t>
      </w:r>
    </w:p>
    <w:p w14:paraId="36780778">
      <w:pPr>
        <w:pStyle w:val="102"/>
        <w:adjustRightInd w:val="0"/>
        <w:snapToGrid w:val="0"/>
        <w:spacing w:after="0"/>
        <w:ind w:firstLine="420"/>
        <w:rPr>
          <w:rFonts w:hint="eastAsia" w:ascii="宋体" w:hAnsi="宋体"/>
          <w:sz w:val="21"/>
        </w:rPr>
      </w:pPr>
      <w:r>
        <w:rPr>
          <w:rFonts w:hint="eastAsia" w:ascii="宋体" w:hAnsi="宋体"/>
          <w:sz w:val="21"/>
        </w:rPr>
        <w:t>3.7.2  每份投标文件的正本、副本及电子版应当分别装订，并于封面上明确标明“正本”和“副本”字样。</w:t>
      </w:r>
    </w:p>
    <w:p w14:paraId="35C34EFA">
      <w:pPr>
        <w:pStyle w:val="102"/>
        <w:adjustRightInd w:val="0"/>
        <w:snapToGrid w:val="0"/>
        <w:spacing w:after="0"/>
        <w:ind w:firstLine="420"/>
        <w:rPr>
          <w:rFonts w:hint="eastAsia" w:ascii="宋体" w:hAnsi="宋体"/>
          <w:sz w:val="21"/>
        </w:rPr>
      </w:pPr>
      <w:r>
        <w:rPr>
          <w:rFonts w:hint="eastAsia" w:ascii="宋体" w:hAnsi="宋体"/>
          <w:sz w:val="21"/>
        </w:rPr>
        <w:t>3.7.3  投标文件应当按照招标文件规定密封包装，并于封装封面上明确标明“商务投标文件”、“技术服务投标文件”、“投标报价文件”和“电子版”字样。密封的所有粘接缝隙必须加盖单位公章或者由投标人的法定代表人或者其委托代理人签字。</w:t>
      </w:r>
    </w:p>
    <w:p w14:paraId="20B99222">
      <w:pPr>
        <w:pStyle w:val="102"/>
        <w:adjustRightInd w:val="0"/>
        <w:snapToGrid w:val="0"/>
        <w:spacing w:after="0"/>
        <w:ind w:firstLine="420"/>
        <w:rPr>
          <w:rFonts w:hint="eastAsia" w:ascii="宋体" w:hAnsi="宋体"/>
          <w:sz w:val="21"/>
        </w:rPr>
      </w:pPr>
      <w:r>
        <w:rPr>
          <w:rFonts w:hint="eastAsia" w:ascii="宋体" w:hAnsi="宋体"/>
          <w:sz w:val="21"/>
        </w:rPr>
        <w:t>3.7.4  外层包封应当写明招标人名称和地址、项目名称，并注明开标时间以前不得开封。还应当写明投标人的名称与地址，以便投标出现逾期送达时能原封退回。</w:t>
      </w:r>
    </w:p>
    <w:p w14:paraId="0A27D681">
      <w:pPr>
        <w:pStyle w:val="102"/>
        <w:adjustRightInd w:val="0"/>
        <w:snapToGrid w:val="0"/>
        <w:spacing w:after="0"/>
        <w:ind w:firstLine="420"/>
        <w:rPr>
          <w:rFonts w:hint="eastAsia" w:ascii="宋体" w:hAnsi="宋体"/>
          <w:sz w:val="21"/>
        </w:rPr>
      </w:pPr>
      <w:r>
        <w:rPr>
          <w:rFonts w:hint="eastAsia" w:ascii="宋体" w:hAnsi="宋体"/>
          <w:sz w:val="21"/>
        </w:rPr>
        <w:t>3.7.5  递交投标文件时，招标人应当对符合招标文件规定密封和标记的投标文件进行签收。</w:t>
      </w:r>
    </w:p>
    <w:p w14:paraId="355CD686">
      <w:pPr>
        <w:pStyle w:val="102"/>
        <w:adjustRightInd w:val="0"/>
        <w:snapToGrid w:val="0"/>
        <w:spacing w:after="0"/>
        <w:ind w:firstLine="420"/>
        <w:rPr>
          <w:rFonts w:hint="eastAsia" w:ascii="宋体" w:hAnsi="宋体"/>
          <w:sz w:val="21"/>
        </w:rPr>
      </w:pPr>
      <w:r>
        <w:rPr>
          <w:rFonts w:ascii="宋体" w:hAnsi="宋体"/>
          <w:sz w:val="21"/>
        </w:rPr>
        <w:t>3.7.6</w:t>
      </w:r>
      <w:r>
        <w:rPr>
          <w:rFonts w:hint="eastAsia" w:ascii="宋体" w:hAnsi="宋体"/>
          <w:sz w:val="21"/>
        </w:rPr>
        <w:t xml:space="preserve">  招标人对于投标文件密封、标记另有要求的，见投标人须知前附表。</w:t>
      </w:r>
    </w:p>
    <w:p w14:paraId="459EAD58">
      <w:pPr>
        <w:pStyle w:val="4"/>
        <w:snapToGrid w:val="0"/>
        <w:spacing w:before="0" w:after="0" w:line="360" w:lineRule="auto"/>
        <w:rPr>
          <w:rFonts w:hint="eastAsia" w:ascii="宋体" w:hAnsi="宋体" w:eastAsia="宋体"/>
          <w:sz w:val="21"/>
          <w:szCs w:val="21"/>
        </w:rPr>
      </w:pPr>
      <w:bookmarkStart w:id="269" w:name="_Toc447265241"/>
      <w:bookmarkStart w:id="270" w:name="_Toc485377432"/>
      <w:bookmarkStart w:id="271" w:name="_Toc447265527"/>
      <w:bookmarkStart w:id="272" w:name="_Toc447188691"/>
      <w:bookmarkStart w:id="273" w:name="_Toc439838338"/>
      <w:bookmarkStart w:id="274" w:name="_Toc472689512"/>
      <w:bookmarkStart w:id="275" w:name="_Toc479172334"/>
      <w:bookmarkStart w:id="276" w:name="_Toc508963715"/>
      <w:bookmarkStart w:id="277" w:name="_Toc450489300"/>
      <w:r>
        <w:rPr>
          <w:rFonts w:ascii="宋体" w:hAnsi="宋体" w:eastAsia="宋体"/>
          <w:sz w:val="21"/>
          <w:szCs w:val="21"/>
        </w:rPr>
        <w:t>3.8</w:t>
      </w:r>
      <w:r>
        <w:rPr>
          <w:rFonts w:hint="eastAsia" w:ascii="宋体" w:hAnsi="宋体" w:eastAsia="宋体"/>
          <w:sz w:val="21"/>
          <w:szCs w:val="21"/>
        </w:rPr>
        <w:t xml:space="preserve">  电子采购的投标文件上传形式</w:t>
      </w:r>
      <w:bookmarkEnd w:id="269"/>
      <w:bookmarkEnd w:id="270"/>
      <w:bookmarkEnd w:id="271"/>
      <w:bookmarkEnd w:id="272"/>
      <w:bookmarkEnd w:id="273"/>
      <w:bookmarkEnd w:id="274"/>
      <w:bookmarkEnd w:id="275"/>
      <w:bookmarkEnd w:id="276"/>
      <w:bookmarkEnd w:id="277"/>
    </w:p>
    <w:p w14:paraId="736CDA90">
      <w:pPr>
        <w:pStyle w:val="102"/>
        <w:adjustRightInd w:val="0"/>
        <w:snapToGrid w:val="0"/>
        <w:spacing w:after="0"/>
        <w:ind w:firstLine="420"/>
        <w:rPr>
          <w:rFonts w:hint="eastAsia" w:ascii="宋体" w:hAnsi="宋体"/>
          <w:sz w:val="21"/>
        </w:rPr>
      </w:pPr>
      <w:r>
        <w:rPr>
          <w:rFonts w:hint="eastAsia" w:ascii="宋体" w:hAnsi="宋体"/>
          <w:sz w:val="21"/>
        </w:rPr>
        <w:t>投标文件应当按照投标人须知前附表要求的形式上传。</w:t>
      </w:r>
      <w:bookmarkEnd w:id="200"/>
      <w:bookmarkEnd w:id="201"/>
      <w:bookmarkEnd w:id="202"/>
    </w:p>
    <w:p w14:paraId="3209BF19">
      <w:pPr>
        <w:pStyle w:val="4"/>
        <w:snapToGrid w:val="0"/>
        <w:spacing w:before="0" w:after="0" w:line="360" w:lineRule="auto"/>
        <w:rPr>
          <w:rFonts w:hint="eastAsia" w:ascii="宋体" w:hAnsi="宋体" w:eastAsia="宋体"/>
          <w:sz w:val="21"/>
          <w:szCs w:val="21"/>
        </w:rPr>
      </w:pPr>
      <w:bookmarkStart w:id="278" w:name="_Toc479172336"/>
      <w:bookmarkStart w:id="279" w:name="_Toc485377434"/>
      <w:bookmarkStart w:id="280" w:name="_Toc508963717"/>
      <w:bookmarkStart w:id="281" w:name="_Toc447265243"/>
      <w:bookmarkStart w:id="282" w:name="_Toc447188692"/>
      <w:bookmarkStart w:id="283" w:name="_Toc472689514"/>
      <w:bookmarkStart w:id="284" w:name="_Toc447265529"/>
      <w:r>
        <w:rPr>
          <w:rFonts w:hint="eastAsia" w:ascii="宋体" w:hAnsi="宋体" w:eastAsia="宋体"/>
          <w:sz w:val="21"/>
          <w:szCs w:val="21"/>
        </w:rPr>
        <w:t xml:space="preserve">4.1  </w:t>
      </w:r>
      <w:bookmarkEnd w:id="203"/>
      <w:bookmarkEnd w:id="204"/>
      <w:r>
        <w:rPr>
          <w:rFonts w:hint="eastAsia" w:ascii="宋体" w:hAnsi="宋体" w:eastAsia="宋体"/>
          <w:sz w:val="21"/>
          <w:szCs w:val="21"/>
        </w:rPr>
        <w:t>投标文件的递交</w:t>
      </w:r>
      <w:bookmarkEnd w:id="205"/>
      <w:bookmarkEnd w:id="206"/>
      <w:bookmarkEnd w:id="278"/>
      <w:bookmarkEnd w:id="279"/>
      <w:bookmarkEnd w:id="280"/>
      <w:bookmarkEnd w:id="281"/>
      <w:bookmarkEnd w:id="282"/>
      <w:bookmarkEnd w:id="283"/>
      <w:bookmarkEnd w:id="284"/>
    </w:p>
    <w:p w14:paraId="3AF4F46E">
      <w:pPr>
        <w:pStyle w:val="102"/>
        <w:adjustRightInd w:val="0"/>
        <w:snapToGrid w:val="0"/>
        <w:spacing w:after="0"/>
        <w:ind w:firstLine="420"/>
        <w:rPr>
          <w:rFonts w:hint="eastAsia" w:ascii="宋体" w:hAnsi="宋体"/>
          <w:sz w:val="21"/>
        </w:rPr>
      </w:pPr>
      <w:bookmarkStart w:id="285" w:name="_Toc107822504"/>
      <w:bookmarkStart w:id="286" w:name="_Toc488655849"/>
      <w:bookmarkStart w:id="287" w:name="_Toc226969301"/>
      <w:bookmarkStart w:id="288" w:name="_Toc227057907"/>
      <w:bookmarkStart w:id="289" w:name="_Toc488655850"/>
      <w:bookmarkStart w:id="290" w:name="_Toc107822505"/>
      <w:bookmarkStart w:id="291" w:name="_Toc447265244"/>
      <w:bookmarkStart w:id="292" w:name="_Toc447265530"/>
      <w:bookmarkStart w:id="293" w:name="_Toc447188693"/>
      <w:r>
        <w:rPr>
          <w:rFonts w:hint="eastAsia" w:ascii="宋体" w:hAnsi="宋体"/>
          <w:sz w:val="21"/>
        </w:rPr>
        <w:t>4.1.1  投标文件递交截止时间：见投标人须知前附表。</w:t>
      </w:r>
    </w:p>
    <w:p w14:paraId="6251EB56">
      <w:pPr>
        <w:pStyle w:val="102"/>
        <w:adjustRightInd w:val="0"/>
        <w:snapToGrid w:val="0"/>
        <w:spacing w:after="0"/>
        <w:ind w:firstLine="420"/>
        <w:rPr>
          <w:rFonts w:hint="eastAsia" w:ascii="宋体" w:hAnsi="宋体"/>
          <w:sz w:val="21"/>
        </w:rPr>
      </w:pPr>
      <w:r>
        <w:rPr>
          <w:rFonts w:ascii="宋体" w:hAnsi="宋体"/>
          <w:sz w:val="21"/>
        </w:rPr>
        <w:t>4.1.2</w:t>
      </w:r>
      <w:r>
        <w:rPr>
          <w:rFonts w:hint="eastAsia" w:ascii="宋体" w:hAnsi="宋体"/>
          <w:sz w:val="21"/>
        </w:rPr>
        <w:t xml:space="preserve">  投标文件递交地点：见投标人须知前附表。</w:t>
      </w:r>
    </w:p>
    <w:p w14:paraId="7BBE381A">
      <w:pPr>
        <w:pStyle w:val="102"/>
        <w:adjustRightInd w:val="0"/>
        <w:snapToGrid w:val="0"/>
        <w:spacing w:after="0"/>
        <w:ind w:firstLine="420"/>
        <w:rPr>
          <w:rFonts w:hint="eastAsia" w:ascii="宋体" w:hAnsi="宋体"/>
          <w:sz w:val="21"/>
        </w:rPr>
      </w:pPr>
      <w:r>
        <w:rPr>
          <w:rFonts w:hint="eastAsia" w:ascii="宋体" w:hAnsi="宋体"/>
          <w:sz w:val="21"/>
        </w:rPr>
        <w:t>4.1.3  招标人收到投标文件后，向投标人出具签收凭证。</w:t>
      </w:r>
    </w:p>
    <w:p w14:paraId="4B7B32EF">
      <w:pPr>
        <w:pStyle w:val="102"/>
        <w:adjustRightInd w:val="0"/>
        <w:snapToGrid w:val="0"/>
        <w:spacing w:after="0"/>
        <w:ind w:firstLine="420"/>
        <w:rPr>
          <w:rFonts w:hint="eastAsia" w:ascii="宋体" w:hAnsi="宋体"/>
          <w:spacing w:val="-4"/>
          <w:sz w:val="21"/>
        </w:rPr>
      </w:pPr>
      <w:r>
        <w:rPr>
          <w:rFonts w:ascii="宋体" w:hAnsi="宋体"/>
          <w:sz w:val="21"/>
        </w:rPr>
        <w:t>4.1.4</w:t>
      </w:r>
      <w:r>
        <w:rPr>
          <w:rFonts w:hint="eastAsia" w:ascii="宋体" w:hAnsi="宋体"/>
          <w:sz w:val="21"/>
        </w:rPr>
        <w:t xml:space="preserve">  </w:t>
      </w:r>
      <w:r>
        <w:rPr>
          <w:rFonts w:hint="eastAsia" w:ascii="宋体" w:hAnsi="宋体"/>
          <w:spacing w:val="-4"/>
          <w:sz w:val="21"/>
        </w:rPr>
        <w:t>除投标人须知前附表另有规定外，投标人所递交的投标文件不予退还。</w:t>
      </w:r>
    </w:p>
    <w:p w14:paraId="505DCD78">
      <w:pPr>
        <w:pStyle w:val="102"/>
        <w:adjustRightInd w:val="0"/>
        <w:snapToGrid w:val="0"/>
        <w:spacing w:after="0"/>
        <w:ind w:firstLine="420"/>
        <w:rPr>
          <w:rFonts w:hint="eastAsia" w:ascii="宋体" w:hAnsi="宋体"/>
          <w:sz w:val="21"/>
        </w:rPr>
      </w:pPr>
      <w:r>
        <w:rPr>
          <w:rFonts w:hint="eastAsia" w:ascii="宋体" w:hAnsi="宋体"/>
          <w:sz w:val="21"/>
        </w:rPr>
        <w:t>4.1.5  出现下列情形之一时，招标人/招标代理机构不予接收投标文件：</w:t>
      </w:r>
    </w:p>
    <w:p w14:paraId="39A05BD8">
      <w:pPr>
        <w:pStyle w:val="102"/>
        <w:adjustRightInd w:val="0"/>
        <w:snapToGrid w:val="0"/>
        <w:spacing w:after="0"/>
        <w:ind w:firstLine="420"/>
        <w:rPr>
          <w:rFonts w:hint="eastAsia" w:ascii="宋体" w:hAnsi="宋体"/>
          <w:sz w:val="21"/>
        </w:rPr>
      </w:pPr>
      <w:r>
        <w:rPr>
          <w:rFonts w:hint="eastAsia" w:ascii="宋体" w:hAnsi="宋体"/>
          <w:sz w:val="21"/>
        </w:rPr>
        <w:t>（1）逾期送达或者未送达指定地点的；</w:t>
      </w:r>
    </w:p>
    <w:p w14:paraId="57F052D8">
      <w:pPr>
        <w:pStyle w:val="102"/>
        <w:adjustRightInd w:val="0"/>
        <w:snapToGrid w:val="0"/>
        <w:spacing w:after="0"/>
        <w:ind w:firstLine="420"/>
        <w:rPr>
          <w:rFonts w:hint="eastAsia" w:ascii="宋体" w:hAnsi="宋体"/>
          <w:sz w:val="21"/>
        </w:rPr>
      </w:pPr>
      <w:r>
        <w:rPr>
          <w:rFonts w:hint="eastAsia" w:ascii="宋体" w:hAnsi="宋体"/>
          <w:sz w:val="21"/>
        </w:rPr>
        <w:t>（2）未按照招标文件要求密封的；</w:t>
      </w:r>
    </w:p>
    <w:p w14:paraId="39A71F75">
      <w:pPr>
        <w:pStyle w:val="102"/>
        <w:adjustRightInd w:val="0"/>
        <w:snapToGrid w:val="0"/>
        <w:spacing w:after="0"/>
        <w:ind w:firstLine="420"/>
        <w:rPr>
          <w:rFonts w:hint="eastAsia" w:ascii="宋体" w:hAnsi="宋体"/>
          <w:sz w:val="21"/>
        </w:rPr>
      </w:pPr>
      <w:r>
        <w:rPr>
          <w:rFonts w:hint="eastAsia" w:ascii="宋体" w:hAnsi="宋体"/>
          <w:sz w:val="21"/>
        </w:rPr>
        <w:t>（3）未通过资格预审的申请人递交的；</w:t>
      </w:r>
    </w:p>
    <w:p w14:paraId="5B6E9010">
      <w:pPr>
        <w:pStyle w:val="102"/>
        <w:adjustRightInd w:val="0"/>
        <w:snapToGrid w:val="0"/>
        <w:spacing w:after="0"/>
        <w:ind w:firstLine="420"/>
        <w:rPr>
          <w:rFonts w:hint="eastAsia" w:ascii="宋体" w:hAnsi="宋体"/>
          <w:spacing w:val="-4"/>
          <w:sz w:val="21"/>
        </w:rPr>
      </w:pPr>
      <w:r>
        <w:rPr>
          <w:rFonts w:hint="eastAsia" w:ascii="宋体" w:hAnsi="宋体"/>
          <w:sz w:val="21"/>
        </w:rPr>
        <w:t>（4）</w:t>
      </w:r>
      <w:r>
        <w:rPr>
          <w:rFonts w:hint="eastAsia" w:ascii="宋体" w:hAnsi="宋体"/>
          <w:spacing w:val="-4"/>
          <w:sz w:val="21"/>
        </w:rPr>
        <w:t>未按照第一章“招标公告”或者采购邀请书要求获得本项目招标文件的。</w:t>
      </w:r>
    </w:p>
    <w:p w14:paraId="3B99975F">
      <w:pPr>
        <w:pStyle w:val="102"/>
        <w:adjustRightInd w:val="0"/>
        <w:snapToGrid w:val="0"/>
        <w:spacing w:after="0"/>
        <w:ind w:firstLine="420"/>
        <w:rPr>
          <w:rFonts w:hint="eastAsia" w:ascii="宋体" w:hAnsi="宋体"/>
          <w:sz w:val="21"/>
        </w:rPr>
      </w:pPr>
      <w:r>
        <w:rPr>
          <w:rFonts w:ascii="宋体" w:hAnsi="宋体"/>
          <w:sz w:val="21"/>
        </w:rPr>
        <w:t>4.1.6</w:t>
      </w:r>
      <w:r>
        <w:rPr>
          <w:rFonts w:hint="eastAsia" w:ascii="宋体" w:hAnsi="宋体"/>
          <w:sz w:val="21"/>
        </w:rPr>
        <w:t xml:space="preserve">  招标人采用电子采购投标投标方式的，投标文件递交异常的处理方式见投标人须知前附表。</w:t>
      </w:r>
    </w:p>
    <w:bookmarkEnd w:id="285"/>
    <w:bookmarkEnd w:id="286"/>
    <w:p w14:paraId="0E50DE06">
      <w:pPr>
        <w:pStyle w:val="4"/>
        <w:snapToGrid w:val="0"/>
        <w:spacing w:before="0" w:after="0" w:line="360" w:lineRule="auto"/>
        <w:rPr>
          <w:rFonts w:hint="eastAsia" w:ascii="宋体" w:hAnsi="宋体" w:eastAsia="宋体"/>
          <w:sz w:val="21"/>
          <w:szCs w:val="21"/>
        </w:rPr>
      </w:pPr>
      <w:bookmarkStart w:id="294" w:name="_Toc479172337"/>
      <w:bookmarkStart w:id="295" w:name="_Toc472689515"/>
      <w:bookmarkStart w:id="296" w:name="_Toc485377435"/>
      <w:bookmarkStart w:id="297" w:name="_Toc508963718"/>
      <w:r>
        <w:rPr>
          <w:rFonts w:ascii="宋体" w:hAnsi="宋体" w:eastAsia="宋体"/>
          <w:sz w:val="21"/>
          <w:szCs w:val="21"/>
        </w:rPr>
        <w:t>4.2</w:t>
      </w:r>
      <w:r>
        <w:rPr>
          <w:rFonts w:hint="eastAsia" w:ascii="宋体" w:hAnsi="宋体" w:eastAsia="宋体"/>
          <w:sz w:val="21"/>
          <w:szCs w:val="21"/>
        </w:rPr>
        <w:t xml:space="preserve">  投标文件的修改、撤回</w:t>
      </w:r>
      <w:bookmarkEnd w:id="287"/>
      <w:bookmarkEnd w:id="288"/>
      <w:bookmarkEnd w:id="289"/>
      <w:bookmarkEnd w:id="290"/>
      <w:r>
        <w:rPr>
          <w:rFonts w:hint="eastAsia" w:ascii="宋体" w:hAnsi="宋体" w:eastAsia="宋体"/>
          <w:sz w:val="21"/>
          <w:szCs w:val="21"/>
        </w:rPr>
        <w:t>和撤销</w:t>
      </w:r>
      <w:bookmarkEnd w:id="291"/>
      <w:bookmarkEnd w:id="292"/>
      <w:bookmarkEnd w:id="293"/>
      <w:bookmarkEnd w:id="294"/>
      <w:bookmarkEnd w:id="295"/>
      <w:bookmarkEnd w:id="296"/>
      <w:bookmarkEnd w:id="297"/>
    </w:p>
    <w:p w14:paraId="4F623CBC">
      <w:pPr>
        <w:pStyle w:val="102"/>
        <w:adjustRightInd w:val="0"/>
        <w:snapToGrid w:val="0"/>
        <w:spacing w:after="0"/>
        <w:ind w:firstLine="420"/>
        <w:rPr>
          <w:rFonts w:hint="eastAsia" w:ascii="宋体" w:hAnsi="宋体"/>
          <w:spacing w:val="4"/>
          <w:sz w:val="21"/>
        </w:rPr>
      </w:pPr>
      <w:bookmarkStart w:id="298" w:name="_Toc447188694"/>
      <w:bookmarkStart w:id="299" w:name="_Toc152042335"/>
      <w:bookmarkStart w:id="300" w:name="_Toc246996946"/>
      <w:bookmarkStart w:id="301" w:name="_Toc447265531"/>
      <w:bookmarkStart w:id="302" w:name="_Toc152045559"/>
      <w:bookmarkStart w:id="303" w:name="_Toc447265245"/>
      <w:bookmarkStart w:id="304" w:name="_Toc246996203"/>
      <w:bookmarkStart w:id="305" w:name="_Toc296602447"/>
      <w:bookmarkStart w:id="306" w:name="_Toc247085717"/>
      <w:bookmarkStart w:id="307" w:name="_Toc144974527"/>
      <w:bookmarkStart w:id="308" w:name="_Toc179632577"/>
      <w:bookmarkStart w:id="309" w:name="_Toc227057908"/>
      <w:bookmarkStart w:id="310" w:name="_Toc107822506"/>
      <w:bookmarkStart w:id="311" w:name="_Toc226969302"/>
      <w:bookmarkStart w:id="312" w:name="_Toc488655852"/>
      <w:r>
        <w:rPr>
          <w:rFonts w:ascii="宋体" w:hAnsi="宋体"/>
          <w:sz w:val="21"/>
        </w:rPr>
        <w:t>4.2.1</w:t>
      </w:r>
      <w:r>
        <w:rPr>
          <w:rFonts w:hint="eastAsia" w:ascii="宋体" w:hAnsi="宋体"/>
          <w:sz w:val="21"/>
        </w:rPr>
        <w:t xml:space="preserve">  </w:t>
      </w:r>
      <w:r>
        <w:rPr>
          <w:rFonts w:hint="eastAsia" w:ascii="宋体" w:hAnsi="宋体"/>
          <w:spacing w:val="4"/>
          <w:sz w:val="21"/>
        </w:rPr>
        <w:t>在规定</w:t>
      </w:r>
      <w:r>
        <w:rPr>
          <w:rFonts w:hint="eastAsia" w:ascii="宋体" w:hAnsi="宋体"/>
          <w:sz w:val="21"/>
        </w:rPr>
        <w:t>的</w:t>
      </w:r>
      <w:r>
        <w:rPr>
          <w:rFonts w:hint="eastAsia" w:ascii="宋体" w:hAnsi="宋体"/>
          <w:spacing w:val="4"/>
          <w:sz w:val="21"/>
        </w:rPr>
        <w:t>投标截止时间前，投标人可以修改或者撤回已递交的投标文件。</w:t>
      </w:r>
    </w:p>
    <w:p w14:paraId="06C0C6C0">
      <w:pPr>
        <w:pStyle w:val="102"/>
        <w:adjustRightInd w:val="0"/>
        <w:snapToGrid w:val="0"/>
        <w:spacing w:after="0"/>
        <w:ind w:firstLine="420"/>
        <w:rPr>
          <w:rFonts w:hint="eastAsia" w:ascii="宋体" w:hAnsi="宋体"/>
          <w:sz w:val="21"/>
        </w:rPr>
      </w:pPr>
      <w:r>
        <w:rPr>
          <w:rFonts w:ascii="宋体" w:hAnsi="宋体"/>
          <w:sz w:val="21"/>
        </w:rPr>
        <w:t>4.2.2</w:t>
      </w:r>
      <w:r>
        <w:rPr>
          <w:rFonts w:hint="eastAsia" w:ascii="宋体" w:hAnsi="宋体"/>
          <w:sz w:val="21"/>
        </w:rPr>
        <w:t xml:space="preserve">  投标人修改后的投标文件，应当在规定的投标截止时间前按照招标文件的规定编制、密封、标记、递交。</w:t>
      </w:r>
    </w:p>
    <w:p w14:paraId="2C956E0C">
      <w:pPr>
        <w:pStyle w:val="102"/>
        <w:adjustRightInd w:val="0"/>
        <w:snapToGrid w:val="0"/>
        <w:spacing w:after="0"/>
        <w:ind w:firstLine="420"/>
        <w:rPr>
          <w:rFonts w:hint="eastAsia" w:ascii="宋体" w:hAnsi="宋体"/>
          <w:sz w:val="21"/>
        </w:rPr>
      </w:pPr>
      <w:r>
        <w:rPr>
          <w:rFonts w:ascii="宋体" w:hAnsi="宋体"/>
          <w:sz w:val="21"/>
        </w:rPr>
        <w:t>4.2.3</w:t>
      </w:r>
      <w:r>
        <w:rPr>
          <w:rFonts w:hint="eastAsia" w:ascii="宋体" w:hAnsi="宋体"/>
          <w:sz w:val="21"/>
        </w:rPr>
        <w:t xml:space="preserve">  投标人撤回已递交的投标文件，应当书面通知招标人。招标人已收取投标保证金的，应当自收到投标人书面撤回通知之日起5日内退还。</w:t>
      </w:r>
    </w:p>
    <w:p w14:paraId="7BAB81F8">
      <w:pPr>
        <w:pStyle w:val="102"/>
        <w:adjustRightInd w:val="0"/>
        <w:snapToGrid w:val="0"/>
        <w:spacing w:after="0"/>
        <w:ind w:firstLine="420"/>
        <w:rPr>
          <w:rFonts w:hint="eastAsia" w:ascii="宋体" w:hAnsi="宋体"/>
          <w:sz w:val="21"/>
        </w:rPr>
      </w:pPr>
      <w:r>
        <w:rPr>
          <w:rFonts w:hint="eastAsia" w:ascii="宋体" w:hAnsi="宋体"/>
          <w:sz w:val="21"/>
        </w:rPr>
        <w:t>4.2.4  投标人在规定的投标截止时间后，不得在投标有效期内撤销其投标。否则，招标人有权不退还其保证金。</w:t>
      </w:r>
    </w:p>
    <w:p w14:paraId="7DA60F76">
      <w:pPr>
        <w:pStyle w:val="3"/>
        <w:adjustRightInd w:val="0"/>
        <w:snapToGrid w:val="0"/>
        <w:spacing w:before="0" w:after="0" w:line="360" w:lineRule="auto"/>
        <w:jc w:val="left"/>
        <w:rPr>
          <w:rFonts w:hint="eastAsia" w:ascii="宋体" w:hAnsi="宋体" w:eastAsia="宋体"/>
          <w:sz w:val="21"/>
          <w:szCs w:val="21"/>
        </w:rPr>
      </w:pPr>
      <w:bookmarkStart w:id="313" w:name="_Toc472689516"/>
      <w:bookmarkStart w:id="314" w:name="_Toc214432836"/>
      <w:bookmarkStart w:id="315" w:name="_Toc479172338"/>
      <w:bookmarkStart w:id="316" w:name="_Toc151663703"/>
      <w:bookmarkStart w:id="317" w:name="_Toc485377436"/>
      <w:r>
        <w:rPr>
          <w:rFonts w:hint="eastAsia" w:ascii="宋体" w:hAnsi="宋体" w:eastAsia="宋体"/>
          <w:sz w:val="21"/>
          <w:szCs w:val="21"/>
        </w:rPr>
        <w:t>5．开标</w:t>
      </w:r>
      <w:bookmarkEnd w:id="298"/>
      <w:bookmarkEnd w:id="299"/>
      <w:bookmarkEnd w:id="300"/>
      <w:bookmarkEnd w:id="301"/>
      <w:bookmarkEnd w:id="302"/>
      <w:bookmarkEnd w:id="303"/>
      <w:bookmarkEnd w:id="304"/>
      <w:bookmarkEnd w:id="305"/>
      <w:bookmarkEnd w:id="306"/>
      <w:bookmarkEnd w:id="307"/>
      <w:bookmarkEnd w:id="308"/>
      <w:bookmarkEnd w:id="313"/>
      <w:bookmarkEnd w:id="314"/>
      <w:bookmarkEnd w:id="315"/>
      <w:bookmarkEnd w:id="316"/>
      <w:bookmarkEnd w:id="317"/>
    </w:p>
    <w:p w14:paraId="66AC122F">
      <w:pPr>
        <w:pStyle w:val="4"/>
        <w:snapToGrid w:val="0"/>
        <w:spacing w:before="0" w:after="0" w:line="360" w:lineRule="auto"/>
        <w:rPr>
          <w:rFonts w:hint="eastAsia" w:ascii="宋体" w:hAnsi="宋体" w:eastAsia="宋体"/>
          <w:sz w:val="21"/>
          <w:szCs w:val="21"/>
        </w:rPr>
      </w:pPr>
      <w:bookmarkStart w:id="318" w:name="_Toc479172339"/>
      <w:bookmarkStart w:id="319" w:name="_Toc472689517"/>
      <w:bookmarkStart w:id="320" w:name="_Toc508963720"/>
      <w:bookmarkStart w:id="321" w:name="_Toc485377437"/>
      <w:bookmarkStart w:id="322" w:name="_Toc447265532"/>
      <w:bookmarkStart w:id="323" w:name="_Toc447265246"/>
      <w:bookmarkStart w:id="324" w:name="_Toc447188695"/>
      <w:r>
        <w:rPr>
          <w:rFonts w:hint="eastAsia" w:ascii="宋体" w:hAnsi="宋体" w:eastAsia="宋体"/>
          <w:sz w:val="21"/>
          <w:szCs w:val="21"/>
        </w:rPr>
        <w:t>5.1  开标</w:t>
      </w:r>
      <w:bookmarkEnd w:id="309"/>
      <w:bookmarkEnd w:id="310"/>
      <w:bookmarkEnd w:id="311"/>
      <w:bookmarkEnd w:id="312"/>
      <w:r>
        <w:rPr>
          <w:rFonts w:hint="eastAsia" w:ascii="宋体" w:hAnsi="宋体" w:eastAsia="宋体"/>
          <w:sz w:val="21"/>
          <w:szCs w:val="21"/>
        </w:rPr>
        <w:t>时间和地点</w:t>
      </w:r>
      <w:bookmarkEnd w:id="318"/>
      <w:bookmarkEnd w:id="319"/>
      <w:bookmarkEnd w:id="320"/>
      <w:bookmarkEnd w:id="321"/>
      <w:bookmarkEnd w:id="322"/>
      <w:bookmarkEnd w:id="323"/>
      <w:bookmarkEnd w:id="324"/>
    </w:p>
    <w:p w14:paraId="724279B3">
      <w:pPr>
        <w:pStyle w:val="102"/>
        <w:adjustRightInd w:val="0"/>
        <w:snapToGrid w:val="0"/>
        <w:spacing w:after="0"/>
        <w:ind w:firstLine="420"/>
        <w:rPr>
          <w:rFonts w:hint="eastAsia" w:ascii="宋体" w:hAnsi="宋体"/>
          <w:sz w:val="21"/>
        </w:rPr>
      </w:pPr>
      <w:r>
        <w:rPr>
          <w:rFonts w:hint="eastAsia" w:ascii="宋体" w:hAnsi="宋体"/>
          <w:sz w:val="21"/>
        </w:rPr>
        <w:t>招标人将按照投标人须知前附表规定的时间和地点公开开标，参加开标的投标人代表应当签名报到，以证明其出席开标。开标时间和投标截止时间应当为同一时间。</w:t>
      </w:r>
    </w:p>
    <w:p w14:paraId="7B43C60E">
      <w:pPr>
        <w:pStyle w:val="4"/>
        <w:snapToGrid w:val="0"/>
        <w:spacing w:before="0" w:after="0" w:line="360" w:lineRule="auto"/>
        <w:rPr>
          <w:rFonts w:hint="eastAsia" w:ascii="宋体" w:hAnsi="宋体" w:eastAsia="宋体"/>
          <w:sz w:val="21"/>
          <w:szCs w:val="21"/>
        </w:rPr>
      </w:pPr>
      <w:bookmarkStart w:id="325" w:name="_Toc479172340"/>
      <w:bookmarkStart w:id="326" w:name="_Toc447265533"/>
      <w:bookmarkStart w:id="327" w:name="_Toc485377438"/>
      <w:bookmarkStart w:id="328" w:name="_Toc508963721"/>
      <w:bookmarkStart w:id="329" w:name="_Toc447265247"/>
      <w:bookmarkStart w:id="330" w:name="_Toc472689518"/>
      <w:bookmarkStart w:id="331" w:name="_Toc447188696"/>
      <w:r>
        <w:rPr>
          <w:rFonts w:hint="eastAsia" w:ascii="宋体" w:hAnsi="宋体" w:eastAsia="宋体"/>
          <w:sz w:val="21"/>
          <w:szCs w:val="21"/>
        </w:rPr>
        <w:t>5.2  开标程序</w:t>
      </w:r>
      <w:bookmarkEnd w:id="325"/>
      <w:bookmarkEnd w:id="326"/>
      <w:bookmarkEnd w:id="327"/>
      <w:bookmarkEnd w:id="328"/>
      <w:bookmarkEnd w:id="329"/>
      <w:bookmarkEnd w:id="330"/>
      <w:bookmarkEnd w:id="331"/>
    </w:p>
    <w:p w14:paraId="7211F501">
      <w:pPr>
        <w:pStyle w:val="102"/>
        <w:adjustRightInd w:val="0"/>
        <w:snapToGrid w:val="0"/>
        <w:spacing w:after="0"/>
        <w:ind w:firstLine="420"/>
        <w:rPr>
          <w:rFonts w:hint="eastAsia" w:ascii="宋体" w:hAnsi="宋体"/>
          <w:sz w:val="21"/>
        </w:rPr>
      </w:pPr>
      <w:bookmarkStart w:id="332" w:name="_Toc246996206"/>
      <w:bookmarkStart w:id="333" w:name="_Toc247085720"/>
      <w:bookmarkStart w:id="334" w:name="_Toc246996949"/>
      <w:bookmarkStart w:id="335" w:name="_Toc144974530"/>
      <w:bookmarkStart w:id="336" w:name="_Toc152042338"/>
      <w:bookmarkStart w:id="337" w:name="_Toc447265250"/>
      <w:bookmarkStart w:id="338" w:name="_Toc447265536"/>
      <w:bookmarkStart w:id="339" w:name="_Toc447188699"/>
      <w:bookmarkStart w:id="340" w:name="_Toc296602451"/>
      <w:bookmarkStart w:id="341" w:name="_Toc179632580"/>
      <w:bookmarkStart w:id="342" w:name="_Toc152045562"/>
      <w:bookmarkStart w:id="343" w:name="_Toc107822507"/>
      <w:bookmarkStart w:id="344" w:name="_Toc226969303"/>
      <w:bookmarkStart w:id="345" w:name="_Toc227057909"/>
      <w:r>
        <w:rPr>
          <w:rFonts w:hint="eastAsia" w:ascii="宋体" w:hAnsi="宋体"/>
          <w:sz w:val="21"/>
        </w:rPr>
        <w:t>5.2.1  开标会议由招标人或者其委托的招标代理机构组织并主持，邀请所有的投标人或者其代表出席。投标人代表或者招标人委托的公证机构对投标文件密封性进行检查。</w:t>
      </w:r>
    </w:p>
    <w:p w14:paraId="35F11330">
      <w:pPr>
        <w:pStyle w:val="102"/>
        <w:adjustRightInd w:val="0"/>
        <w:snapToGrid w:val="0"/>
        <w:spacing w:after="0"/>
        <w:ind w:firstLine="420"/>
        <w:rPr>
          <w:rFonts w:hint="eastAsia" w:ascii="宋体" w:hAnsi="宋体"/>
          <w:sz w:val="21"/>
        </w:rPr>
      </w:pPr>
      <w:r>
        <w:rPr>
          <w:rFonts w:hint="eastAsia" w:ascii="宋体" w:hAnsi="宋体"/>
          <w:sz w:val="21"/>
        </w:rPr>
        <w:t>5.2.2  招标人</w:t>
      </w:r>
      <w:r>
        <w:rPr>
          <w:rFonts w:ascii="宋体" w:hAnsi="宋体"/>
          <w:sz w:val="21"/>
        </w:rPr>
        <w:t>在</w:t>
      </w:r>
      <w:r>
        <w:rPr>
          <w:rFonts w:hint="eastAsia" w:ascii="宋体" w:hAnsi="宋体"/>
          <w:sz w:val="21"/>
        </w:rPr>
        <w:t>投标文件</w:t>
      </w:r>
      <w:r>
        <w:rPr>
          <w:rFonts w:ascii="宋体" w:hAnsi="宋体"/>
          <w:sz w:val="21"/>
        </w:rPr>
        <w:t>递交截止时间前收到的所有</w:t>
      </w:r>
      <w:r>
        <w:rPr>
          <w:rFonts w:hint="eastAsia" w:ascii="宋体" w:hAnsi="宋体"/>
          <w:sz w:val="21"/>
        </w:rPr>
        <w:t>投标文件</w:t>
      </w:r>
      <w:r>
        <w:rPr>
          <w:rFonts w:ascii="宋体" w:hAnsi="宋体"/>
          <w:sz w:val="21"/>
        </w:rPr>
        <w:t>在开标时都应当当众予以拆封</w:t>
      </w:r>
      <w:r>
        <w:rPr>
          <w:rFonts w:hint="eastAsia" w:ascii="宋体" w:hAnsi="宋体"/>
          <w:sz w:val="21"/>
        </w:rPr>
        <w:t>、</w:t>
      </w:r>
      <w:r>
        <w:rPr>
          <w:rFonts w:ascii="宋体" w:hAnsi="宋体"/>
          <w:sz w:val="21"/>
        </w:rPr>
        <w:t>宣读</w:t>
      </w:r>
      <w:r>
        <w:rPr>
          <w:rFonts w:hint="eastAsia" w:ascii="宋体" w:hAnsi="宋体"/>
          <w:sz w:val="21"/>
        </w:rPr>
        <w:t>，</w:t>
      </w:r>
      <w:r>
        <w:rPr>
          <w:rFonts w:ascii="宋体" w:hAnsi="宋体"/>
          <w:sz w:val="21"/>
        </w:rPr>
        <w:t>但</w:t>
      </w:r>
      <w:r>
        <w:rPr>
          <w:rFonts w:hint="eastAsia" w:ascii="宋体" w:hAnsi="宋体"/>
          <w:sz w:val="21"/>
        </w:rPr>
        <w:t>按照招标文件规定递交合格的书面撤回通知的投标文件不予开封。</w:t>
      </w:r>
    </w:p>
    <w:p w14:paraId="7C79DA99">
      <w:pPr>
        <w:pStyle w:val="102"/>
        <w:adjustRightInd w:val="0"/>
        <w:snapToGrid w:val="0"/>
        <w:spacing w:after="0"/>
        <w:ind w:firstLine="420"/>
        <w:rPr>
          <w:rFonts w:hint="eastAsia" w:ascii="宋体" w:hAnsi="宋体"/>
          <w:sz w:val="21"/>
        </w:rPr>
      </w:pPr>
      <w:r>
        <w:rPr>
          <w:rFonts w:ascii="宋体" w:hAnsi="宋体"/>
          <w:sz w:val="21"/>
        </w:rPr>
        <w:t>5.2.3</w:t>
      </w:r>
      <w:r>
        <w:rPr>
          <w:rFonts w:hint="eastAsia" w:ascii="宋体" w:hAnsi="宋体"/>
          <w:sz w:val="21"/>
        </w:rPr>
        <w:t xml:space="preserve">  开标时，招标人应当当众宣布参加本项目采购的投标人个数以及投标文件的密封情况，并宣读收到的所有未撤回的投标文件的“报价一览表”中的内容。“报价一览表”一般包括：投标人名称、投标报价、交货期、保证金以及招标文件中规定的其他内容。</w:t>
      </w:r>
    </w:p>
    <w:p w14:paraId="69C40854">
      <w:pPr>
        <w:pStyle w:val="102"/>
        <w:adjustRightInd w:val="0"/>
        <w:snapToGrid w:val="0"/>
        <w:spacing w:after="0"/>
        <w:ind w:firstLine="420"/>
        <w:rPr>
          <w:rFonts w:hint="eastAsia" w:ascii="宋体" w:hAnsi="宋体"/>
          <w:sz w:val="21"/>
        </w:rPr>
      </w:pPr>
      <w:r>
        <w:rPr>
          <w:rFonts w:hint="eastAsia" w:ascii="宋体" w:hAnsi="宋体"/>
          <w:sz w:val="21"/>
        </w:rPr>
        <w:t>5.2.4  开标内容填写在“开标记录表”中，由唱标人、记录人、投标人代表、监督人签字确认，存档备查。</w:t>
      </w:r>
    </w:p>
    <w:p w14:paraId="20807C53">
      <w:pPr>
        <w:pStyle w:val="4"/>
        <w:snapToGrid w:val="0"/>
        <w:spacing w:before="0" w:after="0" w:line="360" w:lineRule="auto"/>
        <w:rPr>
          <w:rFonts w:hint="eastAsia" w:ascii="宋体" w:hAnsi="宋体" w:eastAsia="宋体"/>
          <w:sz w:val="21"/>
          <w:szCs w:val="21"/>
        </w:rPr>
      </w:pPr>
      <w:bookmarkStart w:id="346" w:name="_Toc447265248"/>
      <w:bookmarkStart w:id="347" w:name="_Toc479172341"/>
      <w:bookmarkStart w:id="348" w:name="_Toc450489307"/>
      <w:bookmarkStart w:id="349" w:name="_Toc447265534"/>
      <w:bookmarkStart w:id="350" w:name="_Toc447188697"/>
      <w:bookmarkStart w:id="351" w:name="_Toc508963722"/>
      <w:bookmarkStart w:id="352" w:name="_Toc472689519"/>
      <w:bookmarkStart w:id="353" w:name="_Toc485377439"/>
      <w:r>
        <w:rPr>
          <w:rFonts w:ascii="宋体" w:hAnsi="宋体" w:eastAsia="宋体"/>
          <w:sz w:val="21"/>
          <w:szCs w:val="21"/>
        </w:rPr>
        <w:t>5.3</w:t>
      </w:r>
      <w:r>
        <w:rPr>
          <w:rFonts w:hint="eastAsia" w:ascii="宋体" w:hAnsi="宋体" w:eastAsia="宋体"/>
          <w:sz w:val="21"/>
          <w:szCs w:val="21"/>
        </w:rPr>
        <w:t xml:space="preserve">  异议</w:t>
      </w:r>
      <w:bookmarkEnd w:id="346"/>
      <w:bookmarkEnd w:id="347"/>
      <w:bookmarkEnd w:id="348"/>
      <w:bookmarkEnd w:id="349"/>
      <w:bookmarkEnd w:id="350"/>
      <w:bookmarkEnd w:id="351"/>
      <w:bookmarkEnd w:id="352"/>
      <w:bookmarkEnd w:id="353"/>
    </w:p>
    <w:p w14:paraId="7C2E2EA7">
      <w:pPr>
        <w:pStyle w:val="102"/>
        <w:adjustRightInd w:val="0"/>
        <w:snapToGrid w:val="0"/>
        <w:spacing w:after="0"/>
        <w:ind w:firstLine="420"/>
        <w:rPr>
          <w:rFonts w:hint="eastAsia" w:ascii="宋体" w:hAnsi="宋体"/>
          <w:sz w:val="21"/>
        </w:rPr>
      </w:pPr>
      <w:r>
        <w:rPr>
          <w:rFonts w:hint="eastAsia" w:ascii="宋体" w:hAnsi="宋体"/>
          <w:sz w:val="21"/>
        </w:rPr>
        <w:t>5.3.1  投标人对开标有异议的，应当在开标现场提出，招标人应当当场作出答复，并制作记录。</w:t>
      </w:r>
    </w:p>
    <w:p w14:paraId="12C0A6D8">
      <w:pPr>
        <w:pStyle w:val="102"/>
        <w:adjustRightInd w:val="0"/>
        <w:snapToGrid w:val="0"/>
        <w:spacing w:after="0"/>
        <w:ind w:firstLine="420"/>
        <w:rPr>
          <w:rFonts w:hint="eastAsia" w:ascii="宋体" w:hAnsi="宋体"/>
          <w:sz w:val="21"/>
        </w:rPr>
      </w:pPr>
      <w:r>
        <w:rPr>
          <w:rFonts w:ascii="宋体" w:hAnsi="宋体"/>
          <w:sz w:val="21"/>
        </w:rPr>
        <w:t>5.3.2</w:t>
      </w:r>
      <w:r>
        <w:rPr>
          <w:rFonts w:hint="eastAsia" w:ascii="宋体" w:hAnsi="宋体"/>
          <w:sz w:val="21"/>
        </w:rPr>
        <w:t xml:space="preserve">  投标人认为存在低于成本价投标情形的，可以在开标现场提出异议，并在评审完成前向招标人递交书面材料，招标人应当及时将书面材料转交评审委员会。</w:t>
      </w:r>
    </w:p>
    <w:p w14:paraId="03CD6EC9">
      <w:pPr>
        <w:pStyle w:val="4"/>
        <w:snapToGrid w:val="0"/>
        <w:spacing w:before="0" w:after="0" w:line="360" w:lineRule="auto"/>
        <w:rPr>
          <w:rFonts w:hint="eastAsia" w:ascii="宋体" w:hAnsi="宋体" w:eastAsia="宋体"/>
          <w:sz w:val="21"/>
          <w:szCs w:val="21"/>
        </w:rPr>
      </w:pPr>
      <w:bookmarkStart w:id="354" w:name="_Toc447188698"/>
      <w:bookmarkStart w:id="355" w:name="_Toc447265535"/>
      <w:bookmarkStart w:id="356" w:name="_Toc447265249"/>
      <w:bookmarkStart w:id="357" w:name="_Toc508963723"/>
      <w:bookmarkStart w:id="358" w:name="_Toc485377440"/>
      <w:bookmarkStart w:id="359" w:name="_Toc450489308"/>
      <w:bookmarkStart w:id="360" w:name="_Toc479172342"/>
      <w:bookmarkStart w:id="361" w:name="_Toc472689520"/>
      <w:r>
        <w:rPr>
          <w:rFonts w:hint="eastAsia" w:ascii="宋体" w:hAnsi="宋体" w:eastAsia="宋体"/>
          <w:sz w:val="21"/>
          <w:szCs w:val="21"/>
        </w:rPr>
        <w:t>5.4  电子招标开标的其他要求</w:t>
      </w:r>
      <w:bookmarkEnd w:id="354"/>
      <w:bookmarkEnd w:id="355"/>
      <w:bookmarkEnd w:id="356"/>
      <w:r>
        <w:rPr>
          <w:rFonts w:hint="eastAsia" w:ascii="宋体" w:hAnsi="宋体" w:eastAsia="宋体"/>
          <w:sz w:val="21"/>
          <w:szCs w:val="21"/>
        </w:rPr>
        <w:t>及异常处理</w:t>
      </w:r>
      <w:bookmarkEnd w:id="357"/>
      <w:bookmarkEnd w:id="358"/>
      <w:bookmarkEnd w:id="359"/>
      <w:bookmarkEnd w:id="360"/>
      <w:bookmarkEnd w:id="361"/>
    </w:p>
    <w:p w14:paraId="7B1FBEFA">
      <w:pPr>
        <w:pStyle w:val="102"/>
        <w:adjustRightInd w:val="0"/>
        <w:snapToGrid w:val="0"/>
        <w:spacing w:after="0"/>
        <w:ind w:firstLine="420"/>
        <w:rPr>
          <w:rFonts w:hint="eastAsia" w:ascii="宋体" w:hAnsi="宋体"/>
          <w:sz w:val="21"/>
        </w:rPr>
      </w:pPr>
      <w:r>
        <w:rPr>
          <w:rFonts w:hint="eastAsia" w:ascii="宋体" w:hAnsi="宋体"/>
          <w:sz w:val="21"/>
        </w:rPr>
        <w:t>招标人采用电子招标投标方式的，开标的其他要求及异常处理方式见投标人须知前附表。</w:t>
      </w:r>
    </w:p>
    <w:p w14:paraId="0BEE723D">
      <w:pPr>
        <w:pStyle w:val="4"/>
        <w:snapToGrid w:val="0"/>
        <w:spacing w:before="0" w:after="0" w:line="360" w:lineRule="auto"/>
        <w:rPr>
          <w:rFonts w:hint="eastAsia" w:ascii="宋体" w:hAnsi="宋体" w:eastAsia="宋体"/>
          <w:sz w:val="21"/>
          <w:szCs w:val="21"/>
        </w:rPr>
      </w:pPr>
      <w:bookmarkStart w:id="362" w:name="_Toc508963724"/>
      <w:bookmarkStart w:id="363" w:name="_Toc478566399"/>
      <w:bookmarkStart w:id="364" w:name="_Toc478565678"/>
      <w:bookmarkStart w:id="365" w:name="_Toc474147997"/>
      <w:bookmarkStart w:id="366" w:name="_Toc478566041"/>
      <w:bookmarkStart w:id="367" w:name="_Toc478566233"/>
      <w:r>
        <w:rPr>
          <w:rFonts w:hint="eastAsia" w:ascii="宋体" w:hAnsi="宋体" w:eastAsia="宋体"/>
          <w:sz w:val="21"/>
          <w:szCs w:val="21"/>
        </w:rPr>
        <w:t>5.5  不得开标</w:t>
      </w:r>
      <w:bookmarkEnd w:id="362"/>
      <w:bookmarkEnd w:id="363"/>
      <w:bookmarkEnd w:id="364"/>
      <w:bookmarkEnd w:id="365"/>
      <w:bookmarkEnd w:id="366"/>
      <w:bookmarkEnd w:id="367"/>
    </w:p>
    <w:p w14:paraId="55A1338C">
      <w:pPr>
        <w:pStyle w:val="102"/>
        <w:adjustRightInd w:val="0"/>
        <w:snapToGrid w:val="0"/>
        <w:spacing w:after="0"/>
        <w:ind w:firstLine="420"/>
        <w:rPr>
          <w:rFonts w:hint="eastAsia" w:ascii="宋体" w:hAnsi="宋体"/>
          <w:sz w:val="21"/>
        </w:rPr>
      </w:pPr>
      <w:r>
        <w:rPr>
          <w:rFonts w:hint="eastAsia" w:ascii="宋体" w:hAnsi="宋体"/>
          <w:sz w:val="21"/>
        </w:rPr>
        <w:t>投标人数量少于3个或者投标人须知前附表规定的人数的，招标人不得开标，应当重新采购。</w:t>
      </w:r>
    </w:p>
    <w:p w14:paraId="24437434">
      <w:pPr>
        <w:pStyle w:val="3"/>
        <w:adjustRightInd w:val="0"/>
        <w:snapToGrid w:val="0"/>
        <w:spacing w:before="0" w:after="0" w:line="360" w:lineRule="auto"/>
        <w:jc w:val="left"/>
        <w:rPr>
          <w:rFonts w:hint="eastAsia" w:ascii="宋体" w:hAnsi="宋体" w:eastAsia="宋体"/>
          <w:sz w:val="21"/>
          <w:szCs w:val="21"/>
        </w:rPr>
      </w:pPr>
      <w:bookmarkStart w:id="368" w:name="_Toc151663704"/>
      <w:bookmarkStart w:id="369" w:name="_Toc485377441"/>
      <w:bookmarkStart w:id="370" w:name="_Toc472689521"/>
      <w:bookmarkStart w:id="371" w:name="_Toc479172343"/>
      <w:bookmarkStart w:id="372" w:name="_Toc214432837"/>
      <w:r>
        <w:rPr>
          <w:rFonts w:hint="eastAsia" w:ascii="宋体" w:hAnsi="宋体" w:eastAsia="宋体"/>
          <w:sz w:val="21"/>
          <w:szCs w:val="21"/>
        </w:rPr>
        <w:t>6．评审</w:t>
      </w:r>
      <w:bookmarkEnd w:id="332"/>
      <w:bookmarkEnd w:id="333"/>
      <w:bookmarkEnd w:id="334"/>
      <w:bookmarkEnd w:id="335"/>
      <w:bookmarkEnd w:id="336"/>
      <w:bookmarkEnd w:id="337"/>
      <w:bookmarkEnd w:id="338"/>
      <w:bookmarkEnd w:id="339"/>
      <w:bookmarkEnd w:id="340"/>
      <w:bookmarkEnd w:id="341"/>
      <w:bookmarkEnd w:id="342"/>
      <w:bookmarkEnd w:id="368"/>
      <w:bookmarkEnd w:id="369"/>
      <w:bookmarkEnd w:id="370"/>
      <w:bookmarkEnd w:id="371"/>
      <w:bookmarkEnd w:id="372"/>
    </w:p>
    <w:p w14:paraId="4ACDA969">
      <w:pPr>
        <w:pStyle w:val="4"/>
        <w:snapToGrid w:val="0"/>
        <w:spacing w:before="0" w:after="0" w:line="360" w:lineRule="auto"/>
        <w:rPr>
          <w:rFonts w:hint="eastAsia" w:ascii="宋体" w:hAnsi="宋体" w:eastAsia="宋体"/>
          <w:sz w:val="21"/>
          <w:szCs w:val="21"/>
        </w:rPr>
      </w:pPr>
      <w:bookmarkStart w:id="373" w:name="_Toc447265537"/>
      <w:bookmarkStart w:id="374" w:name="_Toc485377442"/>
      <w:bookmarkStart w:id="375" w:name="_Toc447265251"/>
      <w:bookmarkStart w:id="376" w:name="_Toc508963726"/>
      <w:bookmarkStart w:id="377" w:name="_Toc472689522"/>
      <w:bookmarkStart w:id="378" w:name="_Toc479172344"/>
      <w:bookmarkStart w:id="379" w:name="_Toc447188700"/>
      <w:r>
        <w:rPr>
          <w:rFonts w:hint="eastAsia" w:ascii="宋体" w:hAnsi="宋体" w:eastAsia="宋体"/>
          <w:sz w:val="21"/>
          <w:szCs w:val="21"/>
        </w:rPr>
        <w:t>6.1  评审委员会</w:t>
      </w:r>
      <w:bookmarkEnd w:id="343"/>
      <w:bookmarkEnd w:id="344"/>
      <w:bookmarkEnd w:id="345"/>
      <w:bookmarkEnd w:id="373"/>
      <w:bookmarkEnd w:id="374"/>
      <w:bookmarkEnd w:id="375"/>
      <w:bookmarkEnd w:id="376"/>
      <w:bookmarkEnd w:id="377"/>
      <w:bookmarkEnd w:id="378"/>
      <w:bookmarkEnd w:id="379"/>
    </w:p>
    <w:p w14:paraId="4EE8F5AA">
      <w:pPr>
        <w:pStyle w:val="102"/>
        <w:adjustRightInd w:val="0"/>
        <w:snapToGrid w:val="0"/>
        <w:spacing w:after="0"/>
        <w:ind w:firstLine="420"/>
        <w:rPr>
          <w:rFonts w:hint="eastAsia" w:ascii="宋体" w:hAnsi="宋体"/>
          <w:sz w:val="21"/>
        </w:rPr>
      </w:pPr>
      <w:bookmarkStart w:id="380" w:name="_Toc447265255"/>
      <w:bookmarkStart w:id="381" w:name="_Toc447265541"/>
      <w:bookmarkStart w:id="382" w:name="_Toc447188703"/>
      <w:bookmarkStart w:id="383" w:name="_Toc107822516"/>
      <w:bookmarkStart w:id="384" w:name="_Toc226969309"/>
      <w:bookmarkStart w:id="385" w:name="_Toc227057915"/>
      <w:bookmarkStart w:id="386" w:name="_Toc488655860"/>
      <w:r>
        <w:rPr>
          <w:rFonts w:hint="eastAsia" w:ascii="宋体" w:hAnsi="宋体"/>
          <w:sz w:val="21"/>
        </w:rPr>
        <w:t>6.1.1  评审由依法组建的评审委员会负责，具体人数见投标人须知前附表。</w:t>
      </w:r>
    </w:p>
    <w:p w14:paraId="5A255066">
      <w:pPr>
        <w:pStyle w:val="102"/>
        <w:adjustRightInd w:val="0"/>
        <w:snapToGrid w:val="0"/>
        <w:spacing w:after="0"/>
        <w:ind w:firstLine="420"/>
        <w:rPr>
          <w:rFonts w:hint="eastAsia" w:ascii="宋体" w:hAnsi="宋体"/>
          <w:sz w:val="21"/>
        </w:rPr>
      </w:pPr>
      <w:r>
        <w:rPr>
          <w:rFonts w:hint="eastAsia" w:ascii="宋体" w:hAnsi="宋体"/>
          <w:sz w:val="21"/>
        </w:rPr>
        <w:t xml:space="preserve">6.1.2  </w:t>
      </w:r>
      <w:r>
        <w:rPr>
          <w:rFonts w:hint="eastAsia" w:ascii="宋体" w:hAnsi="宋体"/>
          <w:spacing w:val="-4"/>
          <w:sz w:val="21"/>
        </w:rPr>
        <w:t>评审期间，任何单位和个人不得非法干预或者影响评审的过程和结果。</w:t>
      </w:r>
    </w:p>
    <w:p w14:paraId="648A4A7F">
      <w:pPr>
        <w:pStyle w:val="102"/>
        <w:adjustRightInd w:val="0"/>
        <w:snapToGrid w:val="0"/>
        <w:spacing w:after="0"/>
        <w:ind w:firstLine="420"/>
        <w:rPr>
          <w:rFonts w:hint="eastAsia" w:ascii="宋体" w:hAnsi="宋体"/>
          <w:sz w:val="21"/>
        </w:rPr>
      </w:pPr>
      <w:r>
        <w:rPr>
          <w:rFonts w:ascii="宋体" w:hAnsi="宋体"/>
          <w:sz w:val="21"/>
        </w:rPr>
        <w:t>6.1.3</w:t>
      </w:r>
      <w:r>
        <w:rPr>
          <w:rFonts w:hint="eastAsia" w:ascii="宋体" w:hAnsi="宋体"/>
          <w:sz w:val="21"/>
        </w:rPr>
        <w:t xml:space="preserve">  评审委员会成员名单在成交结果确定前保密。</w:t>
      </w:r>
    </w:p>
    <w:p w14:paraId="2858C421">
      <w:pPr>
        <w:pStyle w:val="4"/>
        <w:snapToGrid w:val="0"/>
        <w:spacing w:before="0" w:after="0" w:line="360" w:lineRule="auto"/>
        <w:rPr>
          <w:rFonts w:hint="eastAsia" w:ascii="宋体" w:hAnsi="宋体" w:eastAsia="宋体"/>
          <w:sz w:val="21"/>
          <w:szCs w:val="21"/>
        </w:rPr>
      </w:pPr>
      <w:bookmarkStart w:id="387" w:name="_Toc152042340"/>
      <w:bookmarkStart w:id="388" w:name="_Toc144974532"/>
      <w:bookmarkStart w:id="389" w:name="_Toc296602453"/>
      <w:bookmarkStart w:id="390" w:name="_Toc447265538"/>
      <w:bookmarkStart w:id="391" w:name="_Toc246996951"/>
      <w:bookmarkStart w:id="392" w:name="_Toc485377443"/>
      <w:bookmarkStart w:id="393" w:name="_Toc447265252"/>
      <w:bookmarkStart w:id="394" w:name="_Toc247085722"/>
      <w:bookmarkStart w:id="395" w:name="_Toc179632582"/>
      <w:bookmarkStart w:id="396" w:name="_Toc152045564"/>
      <w:bookmarkStart w:id="397" w:name="_Toc246996208"/>
      <w:bookmarkStart w:id="398" w:name="_Toc472689523"/>
      <w:bookmarkStart w:id="399" w:name="_Toc479172345"/>
      <w:bookmarkStart w:id="400" w:name="_Toc450489311"/>
      <w:bookmarkStart w:id="401" w:name="_Toc508963727"/>
      <w:r>
        <w:rPr>
          <w:rFonts w:ascii="宋体" w:hAnsi="宋体" w:eastAsia="宋体"/>
          <w:sz w:val="21"/>
          <w:szCs w:val="21"/>
        </w:rPr>
        <w:t>6.2</w:t>
      </w:r>
      <w:r>
        <w:rPr>
          <w:rFonts w:hint="eastAsia" w:ascii="宋体" w:hAnsi="宋体" w:eastAsia="宋体"/>
          <w:sz w:val="21"/>
          <w:szCs w:val="21"/>
        </w:rPr>
        <w:t xml:space="preserve">  评审原则</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7068DF3B">
      <w:pPr>
        <w:pStyle w:val="102"/>
        <w:adjustRightInd w:val="0"/>
        <w:snapToGrid w:val="0"/>
        <w:spacing w:after="0"/>
        <w:ind w:firstLine="420"/>
        <w:rPr>
          <w:rFonts w:hint="eastAsia" w:ascii="宋体" w:hAnsi="宋体"/>
          <w:sz w:val="21"/>
        </w:rPr>
      </w:pPr>
      <w:r>
        <w:rPr>
          <w:rFonts w:hint="eastAsia" w:ascii="宋体" w:hAnsi="宋体"/>
          <w:sz w:val="21"/>
        </w:rPr>
        <w:t>6.2.1  评审活动遵循公平、公正、科学和择优的原则。</w:t>
      </w:r>
    </w:p>
    <w:p w14:paraId="0248D1F3">
      <w:pPr>
        <w:pStyle w:val="102"/>
        <w:adjustRightInd w:val="0"/>
        <w:snapToGrid w:val="0"/>
        <w:spacing w:after="0"/>
        <w:ind w:firstLine="420"/>
        <w:rPr>
          <w:rFonts w:hint="eastAsia" w:ascii="宋体" w:hAnsi="宋体"/>
          <w:sz w:val="21"/>
        </w:rPr>
      </w:pPr>
      <w:r>
        <w:rPr>
          <w:rFonts w:ascii="宋体" w:hAnsi="宋体"/>
          <w:sz w:val="21"/>
        </w:rPr>
        <w:t>6.2.2</w:t>
      </w:r>
      <w:r>
        <w:rPr>
          <w:rFonts w:hint="eastAsia" w:ascii="宋体" w:hAnsi="宋体"/>
          <w:sz w:val="21"/>
        </w:rPr>
        <w:t xml:space="preserve">  评审委员会按照第三章“评审办法”规定的方法、评审因素、标准和程序对投标文件进行评审。第三章“评审办法”没有规定的方法、评审因素和标准，不得作为评审依据。</w:t>
      </w:r>
    </w:p>
    <w:p w14:paraId="3EAAFFF7">
      <w:pPr>
        <w:pStyle w:val="4"/>
        <w:snapToGrid w:val="0"/>
        <w:spacing w:before="0" w:after="0" w:line="360" w:lineRule="auto"/>
        <w:rPr>
          <w:rFonts w:hint="eastAsia" w:ascii="宋体" w:hAnsi="宋体" w:eastAsia="宋体"/>
          <w:sz w:val="21"/>
          <w:szCs w:val="21"/>
        </w:rPr>
      </w:pPr>
      <w:bookmarkStart w:id="402" w:name="_Toc447265539"/>
      <w:bookmarkStart w:id="403" w:name="_Toc450489312"/>
      <w:bookmarkStart w:id="404" w:name="_Toc447265253"/>
      <w:bookmarkStart w:id="405" w:name="_Toc485377444"/>
      <w:bookmarkStart w:id="406" w:name="_Toc479172346"/>
      <w:bookmarkStart w:id="407" w:name="_Toc508963728"/>
      <w:bookmarkStart w:id="408" w:name="_Toc447188701"/>
      <w:bookmarkStart w:id="409" w:name="_Toc472689524"/>
      <w:r>
        <w:rPr>
          <w:rFonts w:hint="eastAsia" w:ascii="宋体" w:hAnsi="宋体" w:eastAsia="宋体"/>
          <w:sz w:val="21"/>
          <w:szCs w:val="21"/>
        </w:rPr>
        <w:t>6.3  评审方法</w:t>
      </w:r>
      <w:bookmarkEnd w:id="402"/>
      <w:bookmarkEnd w:id="403"/>
      <w:bookmarkEnd w:id="404"/>
      <w:bookmarkEnd w:id="405"/>
      <w:bookmarkEnd w:id="406"/>
      <w:bookmarkEnd w:id="407"/>
      <w:bookmarkEnd w:id="408"/>
      <w:bookmarkEnd w:id="409"/>
    </w:p>
    <w:p w14:paraId="412A7269">
      <w:pPr>
        <w:pStyle w:val="102"/>
        <w:adjustRightInd w:val="0"/>
        <w:snapToGrid w:val="0"/>
        <w:spacing w:after="0"/>
        <w:ind w:firstLine="420"/>
        <w:rPr>
          <w:rFonts w:hint="eastAsia" w:ascii="宋体" w:hAnsi="宋体"/>
          <w:sz w:val="21"/>
        </w:rPr>
      </w:pPr>
      <w:r>
        <w:rPr>
          <w:rFonts w:hint="eastAsia" w:ascii="宋体" w:hAnsi="宋体"/>
          <w:sz w:val="21"/>
        </w:rPr>
        <w:t>6.3.1  招标文件中详细载明下述评审方法之一作为本项目评审所采用的评审方法。评审方法见投标人须知前附表。</w:t>
      </w:r>
    </w:p>
    <w:p w14:paraId="14740229">
      <w:pPr>
        <w:pStyle w:val="102"/>
        <w:adjustRightInd w:val="0"/>
        <w:snapToGrid w:val="0"/>
        <w:spacing w:after="0"/>
        <w:ind w:firstLine="420"/>
        <w:rPr>
          <w:rFonts w:hint="eastAsia" w:ascii="宋体" w:hAnsi="宋体"/>
          <w:sz w:val="21"/>
        </w:rPr>
      </w:pPr>
      <w:r>
        <w:rPr>
          <w:rFonts w:hint="eastAsia" w:ascii="宋体" w:hAnsi="宋体"/>
          <w:sz w:val="21"/>
        </w:rPr>
        <w:t>6.3.2  采</w:t>
      </w:r>
      <w:r>
        <w:rPr>
          <w:rFonts w:hint="eastAsia" w:ascii="宋体" w:hAnsi="宋体"/>
          <w:spacing w:val="4"/>
          <w:sz w:val="21"/>
        </w:rPr>
        <w:t>用经评审的最低投标价法的，能够满足招标文件的实质性要求，并且经评审的最低投标价的报价，应当推荐为中标候选人，但是价格低于成本的除外。</w:t>
      </w:r>
    </w:p>
    <w:p w14:paraId="41839478">
      <w:pPr>
        <w:pStyle w:val="102"/>
        <w:adjustRightInd w:val="0"/>
        <w:snapToGrid w:val="0"/>
        <w:spacing w:after="0"/>
        <w:ind w:firstLine="420"/>
        <w:rPr>
          <w:rFonts w:hint="eastAsia" w:ascii="宋体" w:hAnsi="宋体"/>
          <w:sz w:val="21"/>
        </w:rPr>
      </w:pPr>
      <w:r>
        <w:rPr>
          <w:rFonts w:ascii="宋体" w:hAnsi="宋体"/>
          <w:sz w:val="21"/>
        </w:rPr>
        <w:t>6.3.3</w:t>
      </w:r>
      <w:r>
        <w:rPr>
          <w:rFonts w:hint="eastAsia" w:ascii="宋体" w:hAnsi="宋体"/>
          <w:sz w:val="21"/>
        </w:rPr>
        <w:t>采用综合评估法的，最大限度地满足招标文件中规定的各项综合评价标准的投标，应当推荐为中标候选人，量化的标准和权重应当在招标文件中明确规定。</w:t>
      </w:r>
    </w:p>
    <w:p w14:paraId="6FE3948F">
      <w:pPr>
        <w:pStyle w:val="102"/>
        <w:adjustRightInd w:val="0"/>
        <w:snapToGrid w:val="0"/>
        <w:spacing w:after="0"/>
        <w:ind w:firstLine="420"/>
        <w:rPr>
          <w:rFonts w:hint="eastAsia" w:ascii="宋体" w:hAnsi="宋体"/>
          <w:sz w:val="21"/>
        </w:rPr>
      </w:pPr>
      <w:r>
        <w:rPr>
          <w:rFonts w:hint="eastAsia" w:ascii="宋体" w:hAnsi="宋体"/>
          <w:sz w:val="21"/>
        </w:rPr>
        <w:t>6.3.</w:t>
      </w:r>
      <w:r>
        <w:rPr>
          <w:rFonts w:ascii="宋体" w:hAnsi="宋体"/>
          <w:sz w:val="21"/>
        </w:rPr>
        <w:t>4</w:t>
      </w:r>
      <w:r>
        <w:rPr>
          <w:rFonts w:hint="eastAsia" w:ascii="宋体" w:hAnsi="宋体"/>
          <w:sz w:val="21"/>
        </w:rPr>
        <w:t xml:space="preserve">  </w:t>
      </w:r>
      <w:r>
        <w:rPr>
          <w:rFonts w:ascii="宋体" w:hAnsi="宋体"/>
          <w:sz w:val="21"/>
        </w:rPr>
        <w:t>法律</w:t>
      </w:r>
      <w:r>
        <w:rPr>
          <w:rFonts w:hint="eastAsia" w:ascii="宋体" w:hAnsi="宋体"/>
          <w:sz w:val="21"/>
        </w:rPr>
        <w:t>、</w:t>
      </w:r>
      <w:r>
        <w:rPr>
          <w:rFonts w:ascii="宋体" w:hAnsi="宋体"/>
          <w:sz w:val="21"/>
        </w:rPr>
        <w:t>法规允许的其他评审方法</w:t>
      </w:r>
      <w:r>
        <w:rPr>
          <w:rFonts w:hint="eastAsia" w:ascii="宋体" w:hAnsi="宋体"/>
          <w:sz w:val="21"/>
        </w:rPr>
        <w:t>。</w:t>
      </w:r>
      <w:bookmarkStart w:id="410" w:name="_Toc447265540"/>
      <w:bookmarkStart w:id="411" w:name="_Toc447188702"/>
      <w:bookmarkStart w:id="412" w:name="_Toc447265254"/>
      <w:bookmarkStart w:id="413" w:name="_Toc144974534"/>
      <w:bookmarkStart w:id="414" w:name="_Toc152042342"/>
      <w:bookmarkStart w:id="415" w:name="_Toc296602455"/>
      <w:bookmarkStart w:id="416" w:name="_Toc152045566"/>
      <w:bookmarkStart w:id="417" w:name="_Toc179632584"/>
      <w:bookmarkStart w:id="418" w:name="_Toc246996953"/>
      <w:bookmarkStart w:id="419" w:name="_Toc246996210"/>
      <w:bookmarkStart w:id="420" w:name="_Toc247085724"/>
    </w:p>
    <w:p w14:paraId="08C73168">
      <w:pPr>
        <w:pStyle w:val="4"/>
        <w:snapToGrid w:val="0"/>
        <w:spacing w:before="0" w:after="0" w:line="360" w:lineRule="auto"/>
        <w:rPr>
          <w:rFonts w:hint="eastAsia" w:ascii="宋体" w:hAnsi="宋体" w:eastAsia="宋体"/>
          <w:sz w:val="21"/>
          <w:szCs w:val="21"/>
        </w:rPr>
      </w:pPr>
      <w:bookmarkStart w:id="421" w:name="_Toc485377445"/>
      <w:bookmarkStart w:id="422" w:name="_Toc472689525"/>
      <w:bookmarkStart w:id="423" w:name="_Toc450489313"/>
      <w:bookmarkStart w:id="424" w:name="_Toc508963729"/>
      <w:bookmarkStart w:id="425" w:name="_Toc479172347"/>
      <w:r>
        <w:rPr>
          <w:rFonts w:ascii="宋体" w:hAnsi="宋体" w:eastAsia="宋体"/>
          <w:sz w:val="21"/>
          <w:szCs w:val="21"/>
        </w:rPr>
        <w:t>6.4</w:t>
      </w:r>
      <w:r>
        <w:rPr>
          <w:rFonts w:hint="eastAsia" w:ascii="宋体" w:hAnsi="宋体" w:eastAsia="宋体"/>
          <w:sz w:val="21"/>
          <w:szCs w:val="21"/>
        </w:rPr>
        <w:t xml:space="preserve">  中标候选人</w:t>
      </w:r>
      <w:r>
        <w:rPr>
          <w:rFonts w:ascii="宋体" w:hAnsi="宋体" w:eastAsia="宋体"/>
          <w:sz w:val="21"/>
          <w:szCs w:val="21"/>
        </w:rPr>
        <w:t>推荐原则</w:t>
      </w:r>
      <w:bookmarkEnd w:id="421"/>
      <w:bookmarkEnd w:id="422"/>
      <w:bookmarkEnd w:id="423"/>
      <w:bookmarkEnd w:id="424"/>
      <w:bookmarkEnd w:id="425"/>
    </w:p>
    <w:p w14:paraId="5CBF1535">
      <w:pPr>
        <w:pStyle w:val="102"/>
        <w:adjustRightInd w:val="0"/>
        <w:snapToGrid w:val="0"/>
        <w:spacing w:after="0"/>
        <w:ind w:firstLine="428"/>
        <w:rPr>
          <w:rFonts w:hint="eastAsia" w:ascii="宋体" w:hAnsi="宋体"/>
          <w:spacing w:val="2"/>
          <w:sz w:val="21"/>
        </w:rPr>
      </w:pPr>
      <w:r>
        <w:rPr>
          <w:rFonts w:ascii="宋体" w:hAnsi="宋体"/>
          <w:spacing w:val="2"/>
          <w:sz w:val="21"/>
        </w:rPr>
        <w:t>评审委员会应当根据</w:t>
      </w:r>
      <w:r>
        <w:rPr>
          <w:rFonts w:hint="eastAsia" w:ascii="宋体" w:hAnsi="宋体"/>
          <w:spacing w:val="2"/>
          <w:sz w:val="21"/>
        </w:rPr>
        <w:t>《招标投标法》和《实施条例》的有关规定推荐中标候选人，具体推荐原则见投标人须知前附表。</w:t>
      </w:r>
    </w:p>
    <w:p w14:paraId="299D7576">
      <w:pPr>
        <w:pStyle w:val="4"/>
        <w:snapToGrid w:val="0"/>
        <w:spacing w:before="0" w:after="0" w:line="360" w:lineRule="auto"/>
        <w:rPr>
          <w:rFonts w:hint="eastAsia" w:ascii="宋体" w:hAnsi="宋体" w:eastAsia="宋体"/>
          <w:sz w:val="21"/>
          <w:szCs w:val="21"/>
        </w:rPr>
      </w:pPr>
      <w:bookmarkStart w:id="426" w:name="_Toc472689526"/>
      <w:bookmarkStart w:id="427" w:name="_Toc479172348"/>
      <w:bookmarkStart w:id="428" w:name="_Toc450489314"/>
      <w:bookmarkStart w:id="429" w:name="_Toc485377446"/>
      <w:bookmarkStart w:id="430" w:name="_Toc508963730"/>
      <w:r>
        <w:rPr>
          <w:rFonts w:hint="eastAsia" w:ascii="宋体" w:hAnsi="宋体" w:eastAsia="宋体"/>
          <w:sz w:val="21"/>
          <w:szCs w:val="21"/>
        </w:rPr>
        <w:t xml:space="preserve">6.5  </w:t>
      </w:r>
      <w:bookmarkEnd w:id="410"/>
      <w:bookmarkEnd w:id="411"/>
      <w:bookmarkEnd w:id="412"/>
      <w:bookmarkEnd w:id="426"/>
      <w:bookmarkEnd w:id="427"/>
      <w:bookmarkEnd w:id="428"/>
      <w:bookmarkEnd w:id="429"/>
      <w:bookmarkEnd w:id="430"/>
      <w:r>
        <w:rPr>
          <w:rFonts w:hint="eastAsia" w:ascii="宋体" w:hAnsi="宋体" w:eastAsia="宋体"/>
          <w:sz w:val="21"/>
          <w:szCs w:val="21"/>
        </w:rPr>
        <w:t>评标报告</w:t>
      </w:r>
    </w:p>
    <w:p w14:paraId="18AFF63A">
      <w:pPr>
        <w:pStyle w:val="102"/>
        <w:adjustRightInd w:val="0"/>
        <w:snapToGrid w:val="0"/>
        <w:spacing w:after="0"/>
        <w:ind w:firstLine="420"/>
        <w:rPr>
          <w:rFonts w:hint="eastAsia" w:ascii="宋体" w:hAnsi="宋体"/>
          <w:sz w:val="21"/>
        </w:rPr>
      </w:pPr>
      <w:r>
        <w:rPr>
          <w:rFonts w:hint="eastAsia" w:ascii="宋体" w:hAnsi="宋体"/>
          <w:sz w:val="21"/>
        </w:rPr>
        <w:t>评审完成后，评审委员会应当根据《招标投标法》和《实施条例》的有关规定及时向招标人提交评标报告和中标候选人名单。</w:t>
      </w:r>
    </w:p>
    <w:bookmarkEnd w:id="413"/>
    <w:bookmarkEnd w:id="414"/>
    <w:bookmarkEnd w:id="415"/>
    <w:bookmarkEnd w:id="416"/>
    <w:bookmarkEnd w:id="417"/>
    <w:bookmarkEnd w:id="418"/>
    <w:bookmarkEnd w:id="419"/>
    <w:bookmarkEnd w:id="420"/>
    <w:p w14:paraId="3185D80D">
      <w:pPr>
        <w:pStyle w:val="3"/>
        <w:adjustRightInd w:val="0"/>
        <w:snapToGrid w:val="0"/>
        <w:spacing w:before="0" w:after="0" w:line="360" w:lineRule="auto"/>
        <w:jc w:val="left"/>
        <w:rPr>
          <w:rFonts w:hint="eastAsia" w:ascii="宋体" w:hAnsi="宋体" w:eastAsia="宋体"/>
          <w:sz w:val="21"/>
          <w:szCs w:val="21"/>
        </w:rPr>
      </w:pPr>
      <w:bookmarkStart w:id="431" w:name="_Toc151663705"/>
      <w:bookmarkStart w:id="432" w:name="_Toc485377447"/>
      <w:bookmarkStart w:id="433" w:name="_Toc214432838"/>
      <w:bookmarkStart w:id="434" w:name="_Toc479172349"/>
      <w:bookmarkStart w:id="435" w:name="_Toc472689527"/>
      <w:r>
        <w:rPr>
          <w:rFonts w:hint="eastAsia" w:ascii="宋体" w:hAnsi="宋体" w:eastAsia="宋体"/>
          <w:sz w:val="21"/>
          <w:szCs w:val="21"/>
        </w:rPr>
        <w:t>7．成交</w:t>
      </w:r>
      <w:bookmarkEnd w:id="380"/>
      <w:bookmarkEnd w:id="381"/>
      <w:bookmarkEnd w:id="382"/>
      <w:bookmarkEnd w:id="431"/>
      <w:bookmarkEnd w:id="432"/>
      <w:bookmarkEnd w:id="433"/>
      <w:bookmarkEnd w:id="434"/>
      <w:bookmarkEnd w:id="435"/>
    </w:p>
    <w:p w14:paraId="76BE4169">
      <w:pPr>
        <w:pStyle w:val="4"/>
        <w:snapToGrid w:val="0"/>
        <w:spacing w:before="0" w:after="0" w:line="360" w:lineRule="auto"/>
        <w:rPr>
          <w:rFonts w:hint="eastAsia" w:ascii="宋体" w:hAnsi="宋体" w:eastAsia="宋体"/>
          <w:sz w:val="21"/>
          <w:szCs w:val="21"/>
        </w:rPr>
      </w:pPr>
      <w:bookmarkStart w:id="436" w:name="_Toc485377448"/>
      <w:bookmarkStart w:id="437" w:name="_Toc472689528"/>
      <w:bookmarkStart w:id="438" w:name="_Toc479172350"/>
      <w:bookmarkStart w:id="439" w:name="_Toc447265256"/>
      <w:bookmarkStart w:id="440" w:name="_Toc508963732"/>
      <w:bookmarkStart w:id="441" w:name="_Toc447188704"/>
      <w:bookmarkStart w:id="442" w:name="_Toc447265542"/>
      <w:r>
        <w:rPr>
          <w:rFonts w:hint="eastAsia" w:ascii="宋体" w:hAnsi="宋体" w:eastAsia="宋体"/>
          <w:sz w:val="21"/>
          <w:szCs w:val="21"/>
        </w:rPr>
        <w:t>7.1  中标候选人公示</w:t>
      </w:r>
      <w:bookmarkEnd w:id="436"/>
      <w:bookmarkEnd w:id="437"/>
      <w:bookmarkEnd w:id="438"/>
      <w:bookmarkEnd w:id="439"/>
      <w:bookmarkEnd w:id="440"/>
      <w:bookmarkEnd w:id="441"/>
      <w:bookmarkEnd w:id="442"/>
    </w:p>
    <w:bookmarkEnd w:id="383"/>
    <w:bookmarkEnd w:id="384"/>
    <w:bookmarkEnd w:id="385"/>
    <w:bookmarkEnd w:id="386"/>
    <w:p w14:paraId="7BE05F6A">
      <w:pPr>
        <w:pStyle w:val="102"/>
        <w:adjustRightInd w:val="0"/>
        <w:snapToGrid w:val="0"/>
        <w:spacing w:after="0"/>
        <w:ind w:firstLine="420"/>
        <w:rPr>
          <w:rFonts w:hint="eastAsia" w:ascii="宋体" w:hAnsi="宋体"/>
          <w:sz w:val="21"/>
        </w:rPr>
      </w:pPr>
      <w:bookmarkStart w:id="443" w:name="_Toc447265545"/>
      <w:bookmarkStart w:id="444" w:name="_Toc447265259"/>
      <w:bookmarkStart w:id="445" w:name="_Toc246996956"/>
      <w:bookmarkStart w:id="446" w:name="_Toc152045569"/>
      <w:bookmarkStart w:id="447" w:name="_Toc152042345"/>
      <w:bookmarkStart w:id="448" w:name="_Toc296602459"/>
      <w:bookmarkStart w:id="449" w:name="_Toc247085727"/>
      <w:bookmarkStart w:id="450" w:name="_Toc246996213"/>
      <w:bookmarkStart w:id="451" w:name="_Toc179632587"/>
      <w:bookmarkStart w:id="452" w:name="_Toc144974537"/>
      <w:bookmarkStart w:id="453" w:name="_Toc107822517"/>
      <w:bookmarkStart w:id="454" w:name="_Toc226969310"/>
      <w:bookmarkStart w:id="455" w:name="_Toc227057916"/>
      <w:r>
        <w:rPr>
          <w:rFonts w:hint="eastAsia" w:ascii="宋体" w:hAnsi="宋体"/>
          <w:sz w:val="21"/>
        </w:rPr>
        <w:t>7.1.1  依法必须进行招标项目，采用公开招标方式的，招标人在收到评标报告之日起3日内在“资格预审公告”或者“招标公告”发布媒介公示全部中标候选人，公示期不少于3日。</w:t>
      </w:r>
    </w:p>
    <w:p w14:paraId="69B95287">
      <w:pPr>
        <w:pStyle w:val="102"/>
        <w:adjustRightInd w:val="0"/>
        <w:snapToGrid w:val="0"/>
        <w:spacing w:after="0"/>
        <w:ind w:firstLine="420"/>
        <w:rPr>
          <w:rFonts w:hint="eastAsia" w:ascii="宋体" w:hAnsi="宋体"/>
          <w:sz w:val="21"/>
        </w:rPr>
      </w:pPr>
      <w:r>
        <w:rPr>
          <w:rFonts w:hint="eastAsia" w:ascii="宋体" w:hAnsi="宋体"/>
          <w:sz w:val="21"/>
        </w:rPr>
        <w:t>7.1.2  依法必须进行招标的项目，采用邀请招标方式的，招标人在收到评标报告之日起3日内在公示全部中标候选人，公示期不少于3日。公示媒介见投标人须知前附表。</w:t>
      </w:r>
    </w:p>
    <w:p w14:paraId="059FE9FA">
      <w:pPr>
        <w:pStyle w:val="102"/>
        <w:adjustRightInd w:val="0"/>
        <w:snapToGrid w:val="0"/>
        <w:spacing w:after="0"/>
        <w:ind w:firstLine="420"/>
        <w:rPr>
          <w:rFonts w:hint="eastAsia" w:ascii="宋体" w:hAnsi="宋体"/>
          <w:sz w:val="21"/>
        </w:rPr>
      </w:pPr>
      <w:r>
        <w:rPr>
          <w:rFonts w:hint="eastAsia" w:ascii="宋体" w:hAnsi="宋体"/>
          <w:sz w:val="21"/>
        </w:rPr>
        <w:t>7.1.3  投标人或者其他利害关系人对依法必须进行招标项目的评审结果有异议的，应当在中标候选人公示期间提出。</w:t>
      </w:r>
    </w:p>
    <w:p w14:paraId="62DFC2A2">
      <w:pPr>
        <w:pStyle w:val="4"/>
        <w:snapToGrid w:val="0"/>
        <w:spacing w:before="0" w:after="0" w:line="360" w:lineRule="auto"/>
        <w:rPr>
          <w:rFonts w:hint="eastAsia" w:ascii="宋体" w:hAnsi="宋体" w:eastAsia="宋体"/>
          <w:sz w:val="21"/>
          <w:szCs w:val="21"/>
        </w:rPr>
      </w:pPr>
      <w:bookmarkStart w:id="456" w:name="_Toc479172351"/>
      <w:bookmarkStart w:id="457" w:name="_Toc447188705"/>
      <w:bookmarkStart w:id="458" w:name="_Toc485377449"/>
      <w:bookmarkStart w:id="459" w:name="_Toc450489317"/>
      <w:bookmarkStart w:id="460" w:name="_Toc447265543"/>
      <w:bookmarkStart w:id="461" w:name="_Toc508963733"/>
      <w:bookmarkStart w:id="462" w:name="_Toc447265257"/>
      <w:bookmarkStart w:id="463" w:name="_Toc472689529"/>
      <w:r>
        <w:rPr>
          <w:rFonts w:ascii="宋体" w:hAnsi="宋体" w:eastAsia="宋体"/>
          <w:sz w:val="21"/>
          <w:szCs w:val="21"/>
        </w:rPr>
        <w:t>7.2</w:t>
      </w:r>
      <w:r>
        <w:rPr>
          <w:rFonts w:hint="eastAsia" w:ascii="宋体" w:hAnsi="宋体" w:eastAsia="宋体"/>
          <w:sz w:val="21"/>
          <w:szCs w:val="21"/>
        </w:rPr>
        <w:t xml:space="preserve">  确定</w:t>
      </w:r>
      <w:bookmarkEnd w:id="456"/>
      <w:bookmarkEnd w:id="457"/>
      <w:bookmarkEnd w:id="458"/>
      <w:bookmarkEnd w:id="459"/>
      <w:bookmarkEnd w:id="460"/>
      <w:bookmarkEnd w:id="461"/>
      <w:bookmarkEnd w:id="462"/>
      <w:bookmarkEnd w:id="463"/>
      <w:r>
        <w:rPr>
          <w:rFonts w:hint="eastAsia" w:ascii="宋体" w:hAnsi="宋体" w:eastAsia="宋体"/>
          <w:sz w:val="21"/>
          <w:szCs w:val="21"/>
        </w:rPr>
        <w:t>中标人</w:t>
      </w:r>
    </w:p>
    <w:p w14:paraId="3D3A9E23">
      <w:pPr>
        <w:pStyle w:val="102"/>
        <w:adjustRightInd w:val="0"/>
        <w:snapToGrid w:val="0"/>
        <w:spacing w:after="0"/>
        <w:ind w:firstLine="420"/>
        <w:rPr>
          <w:rFonts w:hint="eastAsia" w:ascii="宋体" w:hAnsi="宋体"/>
          <w:sz w:val="21"/>
        </w:rPr>
      </w:pPr>
      <w:r>
        <w:rPr>
          <w:rFonts w:hint="eastAsia" w:ascii="宋体" w:hAnsi="宋体"/>
          <w:sz w:val="21"/>
        </w:rPr>
        <w:t>7.2.1  除投标人须知前附表规定评审委员会直接确定中标人外，招标人依据评审委员会推荐的中标候选人确定中标人，中标人数量见投标人须知前附表。</w:t>
      </w:r>
    </w:p>
    <w:p w14:paraId="0CD18407">
      <w:pPr>
        <w:pStyle w:val="102"/>
        <w:adjustRightInd w:val="0"/>
        <w:snapToGrid w:val="0"/>
        <w:spacing w:after="0"/>
        <w:ind w:firstLine="420"/>
        <w:rPr>
          <w:rFonts w:hint="eastAsia" w:ascii="宋体" w:hAnsi="宋体"/>
          <w:sz w:val="21"/>
        </w:rPr>
      </w:pPr>
      <w:r>
        <w:rPr>
          <w:rFonts w:ascii="宋体" w:hAnsi="宋体"/>
          <w:sz w:val="21"/>
        </w:rPr>
        <w:t>7.2.2</w:t>
      </w:r>
      <w:r>
        <w:rPr>
          <w:rFonts w:hint="eastAsia" w:ascii="宋体" w:hAnsi="宋体"/>
          <w:sz w:val="21"/>
        </w:rPr>
        <w:t xml:space="preserve">  招标人根据评审委员会推荐的中标候选人名单排序依次确定中标人，具体成交原则见投标人须知前附表。</w:t>
      </w:r>
    </w:p>
    <w:p w14:paraId="5CC2B5D1">
      <w:pPr>
        <w:pStyle w:val="102"/>
        <w:adjustRightInd w:val="0"/>
        <w:snapToGrid w:val="0"/>
        <w:spacing w:after="0"/>
        <w:ind w:firstLine="420"/>
        <w:rPr>
          <w:rFonts w:hint="eastAsia" w:ascii="宋体" w:hAnsi="宋体"/>
          <w:sz w:val="21"/>
        </w:rPr>
      </w:pPr>
      <w:r>
        <w:rPr>
          <w:rFonts w:ascii="宋体" w:hAnsi="宋体"/>
          <w:sz w:val="21"/>
        </w:rPr>
        <w:t>7.2.3</w:t>
      </w:r>
      <w:r>
        <w:rPr>
          <w:rFonts w:hint="eastAsia" w:ascii="宋体" w:hAnsi="宋体"/>
          <w:sz w:val="21"/>
        </w:rPr>
        <w:t xml:space="preserve">  在签订合同之前，中标人放弃成交或者不能履行合同的，招标人可以按照评审委员会提出的中标候选人名单排序依次确定其他中标候选人为中标人，也可以对中标人的成交份额进行调整，具体调整规则见投标人须知前附表。</w:t>
      </w:r>
    </w:p>
    <w:p w14:paraId="34C5F263">
      <w:pPr>
        <w:pStyle w:val="4"/>
        <w:snapToGrid w:val="0"/>
        <w:spacing w:before="0" w:after="0" w:line="360" w:lineRule="auto"/>
        <w:rPr>
          <w:rFonts w:hint="eastAsia" w:ascii="宋体" w:hAnsi="宋体" w:eastAsia="宋体"/>
          <w:sz w:val="21"/>
          <w:szCs w:val="21"/>
        </w:rPr>
      </w:pPr>
      <w:bookmarkStart w:id="464" w:name="_Toc447265544"/>
      <w:bookmarkStart w:id="465" w:name="_Toc479172352"/>
      <w:bookmarkStart w:id="466" w:name="_Toc152042344"/>
      <w:bookmarkStart w:id="467" w:name="_Toc246996212"/>
      <w:bookmarkStart w:id="468" w:name="_Toc485377450"/>
      <w:bookmarkStart w:id="469" w:name="_Toc152045568"/>
      <w:bookmarkStart w:id="470" w:name="_Toc246996955"/>
      <w:bookmarkStart w:id="471" w:name="_Toc447265258"/>
      <w:bookmarkStart w:id="472" w:name="_Toc450489318"/>
      <w:bookmarkStart w:id="473" w:name="_Toc144974536"/>
      <w:bookmarkStart w:id="474" w:name="_Toc508963734"/>
      <w:bookmarkStart w:id="475" w:name="_Toc296602458"/>
      <w:bookmarkStart w:id="476" w:name="_Toc179632586"/>
      <w:bookmarkStart w:id="477" w:name="_Toc247085726"/>
      <w:bookmarkStart w:id="478" w:name="_Toc472689530"/>
      <w:bookmarkStart w:id="479" w:name="OLE_LINK7"/>
      <w:bookmarkStart w:id="480" w:name="OLE_LINK6"/>
      <w:r>
        <w:rPr>
          <w:rFonts w:hint="eastAsia" w:ascii="宋体" w:hAnsi="宋体" w:eastAsia="宋体"/>
          <w:sz w:val="21"/>
          <w:szCs w:val="21"/>
        </w:rPr>
        <w:t>7.3  成交通知</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28F0832D">
      <w:pPr>
        <w:pStyle w:val="102"/>
        <w:adjustRightInd w:val="0"/>
        <w:snapToGrid w:val="0"/>
        <w:spacing w:after="0"/>
        <w:ind w:firstLine="420"/>
        <w:rPr>
          <w:rFonts w:hint="eastAsia" w:ascii="宋体" w:hAnsi="宋体"/>
          <w:sz w:val="21"/>
        </w:rPr>
      </w:pPr>
      <w:r>
        <w:rPr>
          <w:rFonts w:hint="eastAsia" w:ascii="宋体" w:hAnsi="宋体"/>
          <w:sz w:val="21"/>
        </w:rPr>
        <w:t>7.3.1  在成交通知书发出前，中标候选人的经营、财务状况发生较大变化或者存在违法行为，可能影响其履约能力的，投标人应当主动告知招标人。</w:t>
      </w:r>
      <w:bookmarkEnd w:id="479"/>
      <w:bookmarkEnd w:id="480"/>
      <w:r>
        <w:rPr>
          <w:rFonts w:hint="eastAsia" w:ascii="宋体" w:hAnsi="宋体"/>
          <w:sz w:val="21"/>
        </w:rPr>
        <w:t>招标人认为可能影响其履约能力的，应当在发出成交通知书前由原评审委员会按照招标文件规定的标准和方法审查确认。</w:t>
      </w:r>
    </w:p>
    <w:p w14:paraId="2DE52C91">
      <w:pPr>
        <w:pStyle w:val="102"/>
        <w:adjustRightInd w:val="0"/>
        <w:snapToGrid w:val="0"/>
        <w:spacing w:after="0"/>
        <w:ind w:firstLine="420"/>
        <w:rPr>
          <w:rFonts w:hint="eastAsia" w:ascii="宋体" w:hAnsi="宋体"/>
          <w:sz w:val="21"/>
        </w:rPr>
      </w:pPr>
      <w:r>
        <w:rPr>
          <w:rFonts w:hint="eastAsia" w:ascii="宋体" w:hAnsi="宋体"/>
          <w:sz w:val="21"/>
        </w:rPr>
        <w:t>7.3.2  中标人确定后，招标人应当自行或者委托招标代理机构向中标人发出成交通知书，同时通知未中标人。</w:t>
      </w:r>
    </w:p>
    <w:p w14:paraId="4BEB7AA3">
      <w:pPr>
        <w:pStyle w:val="102"/>
        <w:adjustRightInd w:val="0"/>
        <w:snapToGrid w:val="0"/>
        <w:spacing w:after="0"/>
        <w:ind w:firstLine="420"/>
        <w:rPr>
          <w:rFonts w:hint="eastAsia" w:ascii="宋体" w:hAnsi="宋体"/>
          <w:sz w:val="21"/>
        </w:rPr>
      </w:pPr>
      <w:r>
        <w:rPr>
          <w:rFonts w:ascii="宋体" w:hAnsi="宋体"/>
          <w:sz w:val="21"/>
        </w:rPr>
        <w:t>7.3.3</w:t>
      </w:r>
      <w:r>
        <w:rPr>
          <w:rFonts w:hint="eastAsia" w:ascii="宋体" w:hAnsi="宋体"/>
          <w:sz w:val="21"/>
        </w:rPr>
        <w:t xml:space="preserve">  成交通知书是采购投标档案和合同的组成部分。</w:t>
      </w:r>
    </w:p>
    <w:p w14:paraId="23CC8F64">
      <w:pPr>
        <w:pStyle w:val="102"/>
        <w:adjustRightInd w:val="0"/>
        <w:snapToGrid w:val="0"/>
        <w:spacing w:after="0"/>
        <w:ind w:firstLine="420"/>
        <w:rPr>
          <w:rFonts w:hint="eastAsia" w:ascii="宋体" w:hAnsi="宋体"/>
          <w:sz w:val="21"/>
        </w:rPr>
      </w:pPr>
      <w:r>
        <w:rPr>
          <w:rFonts w:ascii="宋体" w:hAnsi="宋体"/>
          <w:sz w:val="21"/>
        </w:rPr>
        <w:t>7.3.4</w:t>
      </w:r>
      <w:r>
        <w:rPr>
          <w:rFonts w:hint="eastAsia" w:ascii="宋体" w:hAnsi="宋体"/>
          <w:sz w:val="21"/>
        </w:rPr>
        <w:t xml:space="preserve">  成交通知书对招标人和中标人具有法律约束力。成交通知书发出后，招标人改变成交结果或者中标人放弃成交的，应当承担法律责任。</w:t>
      </w:r>
    </w:p>
    <w:p w14:paraId="79A5B070">
      <w:pPr>
        <w:pStyle w:val="3"/>
        <w:adjustRightInd w:val="0"/>
        <w:snapToGrid w:val="0"/>
        <w:spacing w:before="0" w:after="0" w:line="360" w:lineRule="auto"/>
        <w:jc w:val="left"/>
        <w:rPr>
          <w:rFonts w:hint="eastAsia" w:ascii="宋体" w:hAnsi="宋体" w:eastAsia="宋体"/>
          <w:sz w:val="21"/>
          <w:szCs w:val="21"/>
        </w:rPr>
      </w:pPr>
      <w:bookmarkStart w:id="481" w:name="_Toc472689531"/>
      <w:bookmarkStart w:id="482" w:name="_Toc479172353"/>
      <w:bookmarkStart w:id="483" w:name="_Toc151663706"/>
      <w:bookmarkStart w:id="484" w:name="_Toc214432839"/>
      <w:bookmarkStart w:id="485" w:name="_Toc485377451"/>
      <w:r>
        <w:rPr>
          <w:rFonts w:hint="eastAsia" w:ascii="宋体" w:hAnsi="宋体" w:eastAsia="宋体"/>
          <w:sz w:val="21"/>
          <w:szCs w:val="21"/>
        </w:rPr>
        <w:t>8．合同签订</w:t>
      </w:r>
      <w:bookmarkEnd w:id="443"/>
      <w:bookmarkEnd w:id="444"/>
      <w:bookmarkEnd w:id="481"/>
      <w:bookmarkEnd w:id="482"/>
      <w:bookmarkEnd w:id="483"/>
      <w:bookmarkEnd w:id="484"/>
      <w:bookmarkEnd w:id="485"/>
    </w:p>
    <w:p w14:paraId="646EB2F8">
      <w:pPr>
        <w:pStyle w:val="4"/>
        <w:snapToGrid w:val="0"/>
        <w:spacing w:before="0" w:after="0" w:line="360" w:lineRule="auto"/>
        <w:rPr>
          <w:rFonts w:hint="eastAsia" w:ascii="宋体" w:hAnsi="宋体" w:eastAsia="宋体"/>
          <w:sz w:val="21"/>
          <w:szCs w:val="21"/>
        </w:rPr>
      </w:pPr>
      <w:bookmarkStart w:id="486" w:name="_Toc472689532"/>
      <w:bookmarkStart w:id="487" w:name="_Toc485377452"/>
      <w:bookmarkStart w:id="488" w:name="_Toc447265260"/>
      <w:bookmarkStart w:id="489" w:name="_Toc447265546"/>
      <w:bookmarkStart w:id="490" w:name="_Toc508963736"/>
      <w:bookmarkStart w:id="491" w:name="_Toc479172354"/>
      <w:r>
        <w:rPr>
          <w:rFonts w:hint="eastAsia" w:ascii="宋体" w:hAnsi="宋体" w:eastAsia="宋体"/>
          <w:sz w:val="21"/>
          <w:szCs w:val="21"/>
        </w:rPr>
        <w:t>8.1  履约</w:t>
      </w:r>
      <w:bookmarkEnd w:id="445"/>
      <w:bookmarkEnd w:id="446"/>
      <w:bookmarkEnd w:id="447"/>
      <w:bookmarkEnd w:id="448"/>
      <w:bookmarkEnd w:id="449"/>
      <w:bookmarkEnd w:id="450"/>
      <w:bookmarkEnd w:id="451"/>
      <w:bookmarkEnd w:id="452"/>
      <w:r>
        <w:rPr>
          <w:rFonts w:hint="eastAsia" w:ascii="宋体" w:hAnsi="宋体" w:eastAsia="宋体"/>
          <w:sz w:val="21"/>
          <w:szCs w:val="21"/>
        </w:rPr>
        <w:t>保证金</w:t>
      </w:r>
      <w:bookmarkEnd w:id="486"/>
      <w:bookmarkEnd w:id="487"/>
      <w:bookmarkEnd w:id="488"/>
      <w:bookmarkEnd w:id="489"/>
      <w:bookmarkEnd w:id="490"/>
      <w:bookmarkEnd w:id="491"/>
    </w:p>
    <w:bookmarkEnd w:id="453"/>
    <w:bookmarkEnd w:id="454"/>
    <w:bookmarkEnd w:id="455"/>
    <w:p w14:paraId="05D4BEB8">
      <w:pPr>
        <w:pStyle w:val="102"/>
        <w:adjustRightInd w:val="0"/>
        <w:snapToGrid w:val="0"/>
        <w:spacing w:after="0"/>
        <w:ind w:firstLine="420"/>
        <w:rPr>
          <w:rFonts w:hint="eastAsia" w:ascii="宋体" w:hAnsi="宋体"/>
          <w:sz w:val="21"/>
        </w:rPr>
      </w:pPr>
      <w:bookmarkStart w:id="492" w:name="_Toc107822519"/>
      <w:bookmarkStart w:id="493" w:name="_Toc488655867"/>
      <w:bookmarkStart w:id="494" w:name="_Toc447265263"/>
      <w:bookmarkStart w:id="495" w:name="_Toc447188707"/>
      <w:bookmarkStart w:id="496" w:name="_Toc227057918"/>
      <w:bookmarkStart w:id="497" w:name="_Toc226969312"/>
      <w:bookmarkStart w:id="498" w:name="_Toc447265549"/>
      <w:r>
        <w:rPr>
          <w:rFonts w:hint="eastAsia" w:ascii="宋体" w:hAnsi="宋体"/>
          <w:sz w:val="21"/>
        </w:rPr>
        <w:t>8.1.1  在签订合同前，中标人应当按照投标人须知前附表中规定的履约保证金的金额和形式向招标人递交履约保证金。</w:t>
      </w:r>
    </w:p>
    <w:p w14:paraId="4DA55E87">
      <w:pPr>
        <w:pStyle w:val="102"/>
        <w:adjustRightInd w:val="0"/>
        <w:snapToGrid w:val="0"/>
        <w:spacing w:after="0"/>
        <w:ind w:firstLine="420"/>
        <w:rPr>
          <w:rFonts w:hint="eastAsia" w:ascii="宋体" w:hAnsi="宋体"/>
          <w:sz w:val="21"/>
        </w:rPr>
      </w:pPr>
      <w:r>
        <w:rPr>
          <w:rFonts w:ascii="宋体" w:hAnsi="宋体"/>
          <w:sz w:val="21"/>
        </w:rPr>
        <w:t>8.1.2</w:t>
      </w:r>
      <w:r>
        <w:rPr>
          <w:rFonts w:hint="eastAsia" w:ascii="宋体" w:hAnsi="宋体"/>
          <w:sz w:val="21"/>
        </w:rPr>
        <w:t xml:space="preserve">  中标人不能按照招标文件要求递交履约担保的，视为放弃成交，其投标保证金不予退还，给招标人造成的损失超过保证金数额的，中标人还应当对超过部分予以赔偿。</w:t>
      </w:r>
    </w:p>
    <w:p w14:paraId="5C283809">
      <w:pPr>
        <w:pStyle w:val="4"/>
        <w:snapToGrid w:val="0"/>
        <w:spacing w:before="0" w:after="0" w:line="360" w:lineRule="auto"/>
        <w:rPr>
          <w:rFonts w:hint="eastAsia" w:ascii="宋体" w:hAnsi="宋体" w:eastAsia="宋体"/>
          <w:sz w:val="21"/>
          <w:szCs w:val="21"/>
        </w:rPr>
      </w:pPr>
      <w:bookmarkStart w:id="499" w:name="_Toc479172355"/>
      <w:bookmarkStart w:id="500" w:name="_Toc450489321"/>
      <w:bookmarkStart w:id="501" w:name="_Toc472689533"/>
      <w:bookmarkStart w:id="502" w:name="_Toc447265547"/>
      <w:bookmarkStart w:id="503" w:name="_Toc508963737"/>
      <w:bookmarkStart w:id="504" w:name="_Toc485377453"/>
      <w:bookmarkStart w:id="505" w:name="_Toc447265261"/>
      <w:r>
        <w:rPr>
          <w:rFonts w:hint="eastAsia" w:ascii="宋体" w:hAnsi="宋体" w:eastAsia="宋体"/>
          <w:sz w:val="21"/>
          <w:szCs w:val="21"/>
        </w:rPr>
        <w:t>8.2  合同签订</w:t>
      </w:r>
      <w:bookmarkEnd w:id="499"/>
      <w:bookmarkEnd w:id="500"/>
      <w:bookmarkEnd w:id="501"/>
      <w:bookmarkEnd w:id="502"/>
      <w:bookmarkEnd w:id="503"/>
      <w:bookmarkEnd w:id="504"/>
      <w:bookmarkEnd w:id="505"/>
    </w:p>
    <w:p w14:paraId="0DFA86B1">
      <w:pPr>
        <w:pStyle w:val="102"/>
        <w:adjustRightInd w:val="0"/>
        <w:snapToGrid w:val="0"/>
        <w:spacing w:after="0"/>
        <w:ind w:firstLine="420"/>
        <w:rPr>
          <w:rFonts w:hint="eastAsia" w:ascii="宋体" w:hAnsi="宋体"/>
          <w:sz w:val="21"/>
        </w:rPr>
      </w:pPr>
      <w:r>
        <w:rPr>
          <w:rFonts w:hint="eastAsia" w:ascii="宋体" w:hAnsi="宋体"/>
          <w:sz w:val="21"/>
        </w:rPr>
        <w:t>8.2.1  招标人和中标人应当自成交通知书发出之日起30日内，根据招标文件和中标人的投标文件订立书面合同。招标人和中标人不得订立背离合同实质性内容的其他协议。</w:t>
      </w:r>
    </w:p>
    <w:p w14:paraId="5F0DEA79">
      <w:pPr>
        <w:pStyle w:val="102"/>
        <w:adjustRightInd w:val="0"/>
        <w:snapToGrid w:val="0"/>
        <w:spacing w:after="0"/>
        <w:ind w:firstLine="420"/>
        <w:rPr>
          <w:rFonts w:hint="eastAsia" w:ascii="宋体" w:hAnsi="宋体"/>
          <w:sz w:val="21"/>
        </w:rPr>
      </w:pPr>
      <w:r>
        <w:rPr>
          <w:rFonts w:hint="eastAsia" w:ascii="宋体" w:hAnsi="宋体"/>
          <w:sz w:val="21"/>
        </w:rPr>
        <w:t>8.2.2  中标人无正当理由拒签合同的，招标人取消其成交资格，其保证金不予退还；给招标人造成的损失超过保证金数额的，中标人还应当对超过部分予以赔偿。</w:t>
      </w:r>
    </w:p>
    <w:p w14:paraId="33E90A4F">
      <w:pPr>
        <w:pStyle w:val="3"/>
        <w:adjustRightInd w:val="0"/>
        <w:snapToGrid w:val="0"/>
        <w:spacing w:before="0" w:after="0" w:line="360" w:lineRule="auto"/>
        <w:jc w:val="left"/>
        <w:rPr>
          <w:rFonts w:hint="eastAsia" w:ascii="宋体" w:hAnsi="宋体" w:eastAsia="宋体"/>
          <w:sz w:val="21"/>
          <w:szCs w:val="21"/>
        </w:rPr>
      </w:pPr>
      <w:bookmarkStart w:id="506" w:name="_Toc214432840"/>
      <w:bookmarkStart w:id="507" w:name="_Toc485377454"/>
      <w:bookmarkStart w:id="508" w:name="_Toc479172356"/>
      <w:bookmarkStart w:id="509" w:name="_Toc472689534"/>
      <w:bookmarkStart w:id="510" w:name="_Toc151663707"/>
      <w:r>
        <w:rPr>
          <w:rFonts w:hint="eastAsia" w:ascii="宋体" w:hAnsi="宋体" w:eastAsia="宋体"/>
          <w:sz w:val="21"/>
          <w:szCs w:val="21"/>
        </w:rPr>
        <w:t>9．招标代理服务费</w:t>
      </w:r>
      <w:bookmarkEnd w:id="492"/>
      <w:bookmarkEnd w:id="493"/>
      <w:bookmarkEnd w:id="494"/>
      <w:bookmarkEnd w:id="495"/>
      <w:bookmarkEnd w:id="496"/>
      <w:bookmarkEnd w:id="497"/>
      <w:bookmarkEnd w:id="498"/>
      <w:bookmarkEnd w:id="506"/>
      <w:bookmarkEnd w:id="507"/>
      <w:bookmarkEnd w:id="508"/>
      <w:bookmarkEnd w:id="509"/>
      <w:bookmarkEnd w:id="510"/>
    </w:p>
    <w:p w14:paraId="0E3D5730">
      <w:pPr>
        <w:pStyle w:val="102"/>
        <w:adjustRightInd w:val="0"/>
        <w:snapToGrid w:val="0"/>
        <w:spacing w:after="0"/>
        <w:ind w:firstLine="420"/>
        <w:rPr>
          <w:rFonts w:hint="eastAsia" w:ascii="宋体" w:hAnsi="宋体"/>
          <w:sz w:val="21"/>
        </w:rPr>
      </w:pPr>
      <w:r>
        <w:rPr>
          <w:rFonts w:hint="eastAsia" w:ascii="宋体" w:hAnsi="宋体"/>
          <w:sz w:val="21"/>
        </w:rPr>
        <w:t>中标人应当按照招标文件规定交纳招标代理服务费，招标人和招标代理机构另有约定的从其约定。招标代理服务费的金额、交纳方式和时限见投标人须知前附表。</w:t>
      </w:r>
    </w:p>
    <w:p w14:paraId="624681C9">
      <w:pPr>
        <w:pStyle w:val="3"/>
        <w:adjustRightInd w:val="0"/>
        <w:snapToGrid w:val="0"/>
        <w:spacing w:before="0" w:after="0" w:line="360" w:lineRule="auto"/>
        <w:jc w:val="left"/>
        <w:rPr>
          <w:rFonts w:hint="eastAsia" w:ascii="宋体" w:hAnsi="宋体" w:eastAsia="宋体"/>
          <w:sz w:val="21"/>
          <w:szCs w:val="21"/>
        </w:rPr>
      </w:pPr>
      <w:bookmarkStart w:id="511" w:name="_Toc485377455"/>
      <w:bookmarkStart w:id="512" w:name="_Toc296602461"/>
      <w:bookmarkStart w:id="513" w:name="_Toc447188708"/>
      <w:bookmarkStart w:id="514" w:name="_Toc151663708"/>
      <w:bookmarkStart w:id="515" w:name="_Toc214432841"/>
      <w:bookmarkStart w:id="516" w:name="_Toc479172357"/>
      <w:bookmarkStart w:id="517" w:name="_Toc447265550"/>
      <w:bookmarkStart w:id="518" w:name="_Toc472689535"/>
      <w:bookmarkStart w:id="519" w:name="_Toc447265264"/>
      <w:r>
        <w:rPr>
          <w:rFonts w:hint="eastAsia" w:ascii="宋体" w:hAnsi="宋体" w:eastAsia="宋体"/>
          <w:sz w:val="21"/>
          <w:szCs w:val="21"/>
        </w:rPr>
        <w:t>10．纪律和监督</w:t>
      </w:r>
      <w:bookmarkEnd w:id="511"/>
      <w:bookmarkEnd w:id="512"/>
      <w:bookmarkEnd w:id="513"/>
      <w:bookmarkEnd w:id="514"/>
      <w:bookmarkEnd w:id="515"/>
      <w:bookmarkEnd w:id="516"/>
      <w:bookmarkEnd w:id="517"/>
      <w:bookmarkEnd w:id="518"/>
      <w:bookmarkEnd w:id="519"/>
    </w:p>
    <w:p w14:paraId="45EDE272">
      <w:pPr>
        <w:pStyle w:val="4"/>
        <w:snapToGrid w:val="0"/>
        <w:spacing w:before="0" w:after="0" w:line="360" w:lineRule="auto"/>
        <w:rPr>
          <w:rFonts w:hint="eastAsia" w:ascii="宋体" w:hAnsi="宋体" w:eastAsia="宋体"/>
          <w:sz w:val="21"/>
          <w:szCs w:val="21"/>
        </w:rPr>
      </w:pPr>
      <w:bookmarkStart w:id="520" w:name="_Toc447265551"/>
      <w:bookmarkStart w:id="521" w:name="_Toc447265265"/>
      <w:bookmarkStart w:id="522" w:name="_Toc152045575"/>
      <w:bookmarkStart w:id="523" w:name="_Toc485377456"/>
      <w:bookmarkStart w:id="524" w:name="_Toc179632593"/>
      <w:bookmarkStart w:id="525" w:name="_Toc296590983"/>
      <w:bookmarkStart w:id="526" w:name="_Toc144974543"/>
      <w:bookmarkStart w:id="527" w:name="_Toc296602462"/>
      <w:bookmarkStart w:id="528" w:name="_Toc247085733"/>
      <w:bookmarkStart w:id="529" w:name="_Toc508963740"/>
      <w:bookmarkStart w:id="530" w:name="_Toc479172358"/>
      <w:bookmarkStart w:id="531" w:name="_Toc246996962"/>
      <w:bookmarkStart w:id="532" w:name="_Toc246996219"/>
      <w:bookmarkStart w:id="533" w:name="_Toc472689536"/>
      <w:bookmarkStart w:id="534" w:name="_Toc152042351"/>
      <w:r>
        <w:rPr>
          <w:rFonts w:hint="eastAsia" w:ascii="宋体" w:hAnsi="宋体" w:eastAsia="宋体"/>
          <w:sz w:val="21"/>
          <w:szCs w:val="21"/>
        </w:rPr>
        <w:t>10.1  对招标人的纪律要求</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521514DE">
      <w:pPr>
        <w:pStyle w:val="102"/>
        <w:adjustRightInd w:val="0"/>
        <w:snapToGrid w:val="0"/>
        <w:spacing w:after="0"/>
        <w:ind w:firstLine="420"/>
        <w:rPr>
          <w:rFonts w:hint="eastAsia" w:ascii="宋体" w:hAnsi="宋体"/>
          <w:sz w:val="21"/>
        </w:rPr>
      </w:pPr>
      <w:r>
        <w:rPr>
          <w:rFonts w:hint="eastAsia" w:ascii="宋体" w:hAnsi="宋体"/>
          <w:sz w:val="21"/>
        </w:rPr>
        <w:t>招标人不得泄漏招标投标活动中应当保密的情况和资料，不得与投标人串通损害国家利益、社会公共利益或者他人合法权益。</w:t>
      </w:r>
    </w:p>
    <w:p w14:paraId="0DCE603E">
      <w:pPr>
        <w:pStyle w:val="4"/>
        <w:snapToGrid w:val="0"/>
        <w:spacing w:before="0" w:after="0" w:line="360" w:lineRule="auto"/>
        <w:rPr>
          <w:rFonts w:hint="eastAsia" w:ascii="宋体" w:hAnsi="宋体" w:eastAsia="宋体"/>
          <w:sz w:val="21"/>
          <w:szCs w:val="21"/>
        </w:rPr>
      </w:pPr>
      <w:bookmarkStart w:id="535" w:name="_Toc447265552"/>
      <w:bookmarkStart w:id="536" w:name="_Toc447265266"/>
      <w:bookmarkStart w:id="537" w:name="_Toc144974544"/>
      <w:bookmarkStart w:id="538" w:name="_Toc296602463"/>
      <w:bookmarkStart w:id="539" w:name="_Toc246996963"/>
      <w:bookmarkStart w:id="540" w:name="_Toc179632594"/>
      <w:bookmarkStart w:id="541" w:name="_Toc485377457"/>
      <w:bookmarkStart w:id="542" w:name="_Toc247085734"/>
      <w:bookmarkStart w:id="543" w:name="_Toc246996220"/>
      <w:bookmarkStart w:id="544" w:name="_Toc472689537"/>
      <w:bookmarkStart w:id="545" w:name="_Toc152045576"/>
      <w:bookmarkStart w:id="546" w:name="_Toc152042352"/>
      <w:bookmarkStart w:id="547" w:name="_Toc508963741"/>
      <w:bookmarkStart w:id="548" w:name="_Toc479172359"/>
      <w:r>
        <w:rPr>
          <w:rFonts w:hint="eastAsia" w:ascii="宋体" w:hAnsi="宋体" w:eastAsia="宋体"/>
          <w:sz w:val="21"/>
          <w:szCs w:val="21"/>
        </w:rPr>
        <w:t>10.2  对投标人的纪律要求</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414EEAF6">
      <w:pPr>
        <w:pStyle w:val="102"/>
        <w:adjustRightInd w:val="0"/>
        <w:snapToGrid w:val="0"/>
        <w:spacing w:after="0"/>
        <w:ind w:firstLine="420"/>
        <w:rPr>
          <w:rFonts w:hint="eastAsia" w:ascii="宋体" w:hAnsi="宋体"/>
          <w:sz w:val="21"/>
        </w:rPr>
      </w:pPr>
      <w:r>
        <w:rPr>
          <w:rFonts w:hint="eastAsia" w:ascii="宋体" w:hAnsi="宋体"/>
          <w:sz w:val="21"/>
        </w:rPr>
        <w:t>投标人不得相互串通投标或者与招标人串通投标，不得向招标人或者评审委员会成员行贿谋取成交，不得以他人名义投标或者以其他方式弄虚作假骗取成交；投标人不得以任何方式干扰、影响评审工作。</w:t>
      </w:r>
    </w:p>
    <w:p w14:paraId="0B98C14D">
      <w:pPr>
        <w:pStyle w:val="4"/>
        <w:snapToGrid w:val="0"/>
        <w:spacing w:before="0" w:after="0" w:line="360" w:lineRule="auto"/>
        <w:rPr>
          <w:rFonts w:hint="eastAsia" w:ascii="宋体" w:hAnsi="宋体" w:eastAsia="宋体"/>
          <w:sz w:val="21"/>
          <w:szCs w:val="21"/>
        </w:rPr>
      </w:pPr>
      <w:bookmarkStart w:id="549" w:name="_Toc179632595"/>
      <w:bookmarkStart w:id="550" w:name="_Toc152045577"/>
      <w:bookmarkStart w:id="551" w:name="_Toc296602464"/>
      <w:bookmarkStart w:id="552" w:name="_Toc144974545"/>
      <w:bookmarkStart w:id="553" w:name="_Toc447265553"/>
      <w:bookmarkStart w:id="554" w:name="_Toc508963742"/>
      <w:bookmarkStart w:id="555" w:name="_Toc472689538"/>
      <w:bookmarkStart w:id="556" w:name="_Toc485377458"/>
      <w:bookmarkStart w:id="557" w:name="_Toc152042353"/>
      <w:bookmarkStart w:id="558" w:name="_Toc246996221"/>
      <w:bookmarkStart w:id="559" w:name="_Toc246996964"/>
      <w:bookmarkStart w:id="560" w:name="_Toc447265267"/>
      <w:bookmarkStart w:id="561" w:name="_Toc247085735"/>
      <w:bookmarkStart w:id="562" w:name="_Toc479172360"/>
      <w:r>
        <w:rPr>
          <w:rFonts w:hint="eastAsia" w:ascii="宋体" w:hAnsi="宋体" w:eastAsia="宋体"/>
          <w:sz w:val="21"/>
          <w:szCs w:val="21"/>
        </w:rPr>
        <w:t>10.3  对评审委员会成员的纪律要求</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E3C69F5">
      <w:pPr>
        <w:pStyle w:val="102"/>
        <w:adjustRightInd w:val="0"/>
        <w:snapToGrid w:val="0"/>
        <w:spacing w:after="0"/>
        <w:ind w:firstLine="420"/>
        <w:rPr>
          <w:rFonts w:hint="eastAsia" w:ascii="宋体" w:hAnsi="宋体"/>
          <w:sz w:val="21"/>
        </w:rPr>
      </w:pPr>
      <w:r>
        <w:rPr>
          <w:rFonts w:hint="eastAsia" w:ascii="宋体" w:hAnsi="宋体"/>
          <w:sz w:val="21"/>
        </w:rPr>
        <w:t>评审委员会成员不得收受他人的财物或者其他好处，不得向他人透漏对投标文件的评审和比较、中标候选人的推荐情况以及评审有关的其他情况。在评审活动中，评审委员会成员应当客观、公正地履行职责，遵守职业道德，不得擅离职守，影响评审程序正常进行，不得使用第三章“评审办法”没有规定的评审因素和标准进行评审。</w:t>
      </w:r>
    </w:p>
    <w:p w14:paraId="6EB9C4AD">
      <w:pPr>
        <w:pStyle w:val="4"/>
        <w:snapToGrid w:val="0"/>
        <w:spacing w:before="0" w:after="0" w:line="360" w:lineRule="auto"/>
        <w:rPr>
          <w:rFonts w:hint="eastAsia" w:ascii="宋体" w:hAnsi="宋体" w:eastAsia="宋体"/>
          <w:sz w:val="21"/>
          <w:szCs w:val="21"/>
        </w:rPr>
      </w:pPr>
      <w:bookmarkStart w:id="563" w:name="_Toc152045578"/>
      <w:bookmarkStart w:id="564" w:name="_Toc152042354"/>
      <w:bookmarkStart w:id="565" w:name="_Toc472689539"/>
      <w:bookmarkStart w:id="566" w:name="_Toc479172361"/>
      <w:bookmarkStart w:id="567" w:name="_Toc508963743"/>
      <w:bookmarkStart w:id="568" w:name="_Toc246996965"/>
      <w:bookmarkStart w:id="569" w:name="_Toc447265268"/>
      <w:bookmarkStart w:id="570" w:name="_Toc179632596"/>
      <w:bookmarkStart w:id="571" w:name="_Toc247085736"/>
      <w:bookmarkStart w:id="572" w:name="_Toc246996222"/>
      <w:bookmarkStart w:id="573" w:name="_Toc296602465"/>
      <w:bookmarkStart w:id="574" w:name="_Toc485377459"/>
      <w:bookmarkStart w:id="575" w:name="_Toc447265554"/>
      <w:bookmarkStart w:id="576" w:name="_Toc144974546"/>
      <w:r>
        <w:rPr>
          <w:rFonts w:hint="eastAsia" w:ascii="宋体" w:hAnsi="宋体" w:eastAsia="宋体"/>
          <w:sz w:val="21"/>
          <w:szCs w:val="21"/>
        </w:rPr>
        <w:t>10.4  对与评审活动有关的工作人员的纪律要求</w:t>
      </w:r>
      <w:bookmarkEnd w:id="563"/>
      <w:bookmarkEnd w:id="564"/>
      <w:bookmarkEnd w:id="565"/>
      <w:bookmarkEnd w:id="566"/>
      <w:bookmarkEnd w:id="567"/>
      <w:bookmarkEnd w:id="568"/>
      <w:bookmarkEnd w:id="569"/>
      <w:bookmarkEnd w:id="570"/>
      <w:bookmarkEnd w:id="571"/>
      <w:bookmarkEnd w:id="572"/>
      <w:bookmarkEnd w:id="573"/>
      <w:bookmarkEnd w:id="574"/>
      <w:bookmarkEnd w:id="575"/>
    </w:p>
    <w:p w14:paraId="67BB179B">
      <w:pPr>
        <w:pStyle w:val="102"/>
        <w:adjustRightInd w:val="0"/>
        <w:snapToGrid w:val="0"/>
        <w:spacing w:after="0"/>
        <w:ind w:firstLine="420"/>
        <w:rPr>
          <w:rFonts w:hint="eastAsia" w:ascii="宋体" w:hAnsi="宋体"/>
          <w:sz w:val="21"/>
        </w:rPr>
      </w:pPr>
      <w:bookmarkStart w:id="577" w:name="_Toc152042355"/>
      <w:r>
        <w:rPr>
          <w:rFonts w:hint="eastAsia" w:ascii="宋体" w:hAnsi="宋体"/>
          <w:sz w:val="21"/>
        </w:rPr>
        <w:t>与评审活动有关的工作人员不得收受他人的财物或者其他好处，不得向他人透漏对投标文件的评审和比较、中标候选人的推荐情况以及评审有关的其他情况。在评审活动中，与评审活动有关的工作人员不得擅离职守，影响评审程序正常进行。</w:t>
      </w:r>
      <w:bookmarkEnd w:id="577"/>
    </w:p>
    <w:p w14:paraId="0F8591C5">
      <w:pPr>
        <w:pStyle w:val="4"/>
        <w:snapToGrid w:val="0"/>
        <w:spacing w:before="0" w:after="0" w:line="360" w:lineRule="auto"/>
        <w:rPr>
          <w:rFonts w:hint="eastAsia" w:ascii="宋体" w:hAnsi="宋体" w:eastAsia="宋体"/>
          <w:sz w:val="21"/>
          <w:szCs w:val="21"/>
        </w:rPr>
      </w:pPr>
      <w:bookmarkStart w:id="578" w:name="_Toc247085737"/>
      <w:bookmarkStart w:id="579" w:name="_Toc152045579"/>
      <w:bookmarkStart w:id="580" w:name="_Toc485377460"/>
      <w:bookmarkStart w:id="581" w:name="_Toc296602466"/>
      <w:bookmarkStart w:id="582" w:name="_Toc152042356"/>
      <w:bookmarkStart w:id="583" w:name="_Toc447265269"/>
      <w:bookmarkStart w:id="584" w:name="_Toc246996223"/>
      <w:bookmarkStart w:id="585" w:name="_Toc472689540"/>
      <w:bookmarkStart w:id="586" w:name="_Toc508963744"/>
      <w:bookmarkStart w:id="587" w:name="_Toc447265555"/>
      <w:bookmarkStart w:id="588" w:name="_Toc246996966"/>
      <w:bookmarkStart w:id="589" w:name="_Toc179632597"/>
      <w:bookmarkStart w:id="590" w:name="_Toc479172362"/>
      <w:r>
        <w:rPr>
          <w:rFonts w:hint="eastAsia" w:ascii="宋体" w:hAnsi="宋体" w:eastAsia="宋体"/>
          <w:sz w:val="21"/>
          <w:szCs w:val="21"/>
        </w:rPr>
        <w:t>10.5  投诉</w:t>
      </w:r>
      <w:bookmarkEnd w:id="576"/>
      <w:bookmarkEnd w:id="578"/>
      <w:bookmarkEnd w:id="579"/>
      <w:bookmarkEnd w:id="580"/>
      <w:bookmarkEnd w:id="581"/>
      <w:bookmarkEnd w:id="582"/>
      <w:bookmarkEnd w:id="583"/>
      <w:bookmarkEnd w:id="584"/>
      <w:bookmarkEnd w:id="585"/>
      <w:bookmarkEnd w:id="586"/>
      <w:bookmarkEnd w:id="587"/>
      <w:bookmarkEnd w:id="588"/>
      <w:bookmarkEnd w:id="589"/>
      <w:bookmarkEnd w:id="590"/>
    </w:p>
    <w:p w14:paraId="1235DABB">
      <w:pPr>
        <w:pStyle w:val="102"/>
        <w:adjustRightInd w:val="0"/>
        <w:snapToGrid w:val="0"/>
        <w:spacing w:after="0"/>
        <w:ind w:firstLine="420"/>
        <w:rPr>
          <w:rFonts w:hint="eastAsia" w:ascii="宋体" w:hAnsi="宋体"/>
          <w:sz w:val="21"/>
        </w:rPr>
      </w:pPr>
      <w:r>
        <w:rPr>
          <w:rFonts w:hint="eastAsia" w:ascii="宋体" w:hAnsi="宋体"/>
          <w:sz w:val="21"/>
        </w:rPr>
        <w:t>10.5.1  投标人或者其他利害关系人认为招标投标活动不符合法律、法规规定的，可以自知道或者应当知道之日起10日内向有关行政监督部门投诉。投诉应当有明确的请求和必要的证明材料。</w:t>
      </w:r>
    </w:p>
    <w:p w14:paraId="3714F932">
      <w:pPr>
        <w:pStyle w:val="102"/>
        <w:adjustRightInd w:val="0"/>
        <w:snapToGrid w:val="0"/>
        <w:spacing w:after="0"/>
        <w:ind w:firstLine="420"/>
        <w:rPr>
          <w:rFonts w:hint="eastAsia" w:ascii="宋体" w:hAnsi="宋体"/>
          <w:sz w:val="21"/>
        </w:rPr>
      </w:pPr>
      <w:r>
        <w:rPr>
          <w:rFonts w:hint="eastAsia" w:ascii="宋体" w:hAnsi="宋体"/>
          <w:sz w:val="21"/>
        </w:rPr>
        <w:t>10.5.2  就招标文件内容、开标、中标候选人公示投诉的，应当先向招标人提出异议，异议答复期间不计算在前款规定的期限内。</w:t>
      </w:r>
    </w:p>
    <w:p w14:paraId="3AA8D505">
      <w:pPr>
        <w:pStyle w:val="3"/>
        <w:adjustRightInd w:val="0"/>
        <w:snapToGrid w:val="0"/>
        <w:spacing w:before="0" w:after="0" w:line="360" w:lineRule="auto"/>
        <w:jc w:val="left"/>
        <w:rPr>
          <w:rFonts w:hint="eastAsia" w:ascii="宋体" w:hAnsi="宋体" w:eastAsia="宋体"/>
          <w:sz w:val="21"/>
          <w:szCs w:val="21"/>
        </w:rPr>
      </w:pPr>
      <w:bookmarkStart w:id="591" w:name="_Toc472689541"/>
      <w:bookmarkStart w:id="592" w:name="_Toc447265556"/>
      <w:bookmarkStart w:id="593" w:name="_Toc447188709"/>
      <w:bookmarkStart w:id="594" w:name="_Toc479172363"/>
      <w:bookmarkStart w:id="595" w:name="_Toc246996967"/>
      <w:bookmarkStart w:id="596" w:name="_Toc152042357"/>
      <w:bookmarkStart w:id="597" w:name="_Toc179632598"/>
      <w:bookmarkStart w:id="598" w:name="_Toc485377461"/>
      <w:bookmarkStart w:id="599" w:name="_Toc247085738"/>
      <w:bookmarkStart w:id="600" w:name="_Toc152045580"/>
      <w:bookmarkStart w:id="601" w:name="_Toc214432842"/>
      <w:bookmarkStart w:id="602" w:name="_Toc296602467"/>
      <w:bookmarkStart w:id="603" w:name="_Toc151663709"/>
      <w:bookmarkStart w:id="604" w:name="_Toc246996224"/>
      <w:bookmarkStart w:id="605" w:name="_Toc447265270"/>
      <w:bookmarkStart w:id="606" w:name="_Toc144974547"/>
      <w:r>
        <w:rPr>
          <w:rFonts w:hint="eastAsia" w:ascii="宋体" w:hAnsi="宋体" w:eastAsia="宋体"/>
          <w:sz w:val="21"/>
          <w:szCs w:val="21"/>
        </w:rPr>
        <w:t>11．需要补充的其他内容</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bookmarkEnd w:id="23"/>
    <w:p w14:paraId="7A010332">
      <w:pPr>
        <w:pStyle w:val="102"/>
        <w:adjustRightInd w:val="0"/>
        <w:snapToGrid w:val="0"/>
        <w:spacing w:after="0"/>
        <w:ind w:firstLine="420"/>
        <w:rPr>
          <w:rFonts w:hint="eastAsia" w:ascii="宋体" w:hAnsi="宋体" w:cs="宋体"/>
          <w:b/>
          <w:kern w:val="0"/>
          <w:sz w:val="28"/>
          <w:szCs w:val="28"/>
        </w:rPr>
      </w:pPr>
      <w:bookmarkStart w:id="607" w:name="_Toc467158021"/>
      <w:bookmarkStart w:id="608" w:name="_Toc474851058"/>
      <w:r>
        <w:rPr>
          <w:rFonts w:hint="eastAsia" w:ascii="宋体" w:hAnsi="宋体"/>
          <w:sz w:val="21"/>
        </w:rPr>
        <w:t>需要补充的其他内容：见投标人须知前附表。</w:t>
      </w:r>
      <w:bookmarkEnd w:id="607"/>
      <w:bookmarkEnd w:id="608"/>
      <w:bookmarkStart w:id="609" w:name="_Toc447265559"/>
      <w:bookmarkStart w:id="610" w:name="_Toc447265273"/>
      <w:r>
        <w:rPr>
          <w:rFonts w:ascii="宋体" w:hAnsi="宋体" w:cs="宋体"/>
          <w:b/>
          <w:kern w:val="0"/>
          <w:sz w:val="28"/>
          <w:szCs w:val="28"/>
        </w:rPr>
        <w:br w:type="page"/>
      </w:r>
    </w:p>
    <w:p w14:paraId="13E481F7">
      <w:pPr>
        <w:pStyle w:val="80"/>
        <w:spacing w:before="240" w:after="120"/>
        <w:rPr>
          <w:rFonts w:hint="eastAsia" w:ascii="宋体" w:hAnsi="宋体" w:eastAsia="宋体" w:cs="宋体"/>
          <w:b/>
          <w:bCs w:val="0"/>
          <w:kern w:val="0"/>
          <w:sz w:val="28"/>
          <w:szCs w:val="28"/>
        </w:rPr>
      </w:pPr>
      <w:bookmarkStart w:id="611" w:name="_Toc214432843"/>
      <w:r>
        <w:rPr>
          <w:rFonts w:hint="eastAsia" w:ascii="宋体" w:hAnsi="宋体" w:eastAsia="宋体" w:cs="宋体"/>
          <w:b/>
          <w:bCs w:val="0"/>
          <w:kern w:val="0"/>
          <w:sz w:val="28"/>
          <w:szCs w:val="28"/>
        </w:rPr>
        <w:t>第三章 评审办法（综合评估法）</w:t>
      </w:r>
      <w:bookmarkEnd w:id="609"/>
      <w:bookmarkEnd w:id="610"/>
      <w:bookmarkEnd w:id="611"/>
    </w:p>
    <w:p w14:paraId="405A8A51">
      <w:pPr>
        <w:adjustRightInd w:val="0"/>
        <w:snapToGrid w:val="0"/>
        <w:spacing w:after="0" w:line="240" w:lineRule="auto"/>
        <w:ind w:firstLine="420" w:firstLineChars="200"/>
        <w:jc w:val="left"/>
        <w:rPr>
          <w:rFonts w:hint="eastAsia" w:ascii="宋体" w:hAnsi="宋体" w:cs="宋体"/>
          <w:kern w:val="0"/>
          <w:szCs w:val="21"/>
        </w:rPr>
      </w:pPr>
      <w:r>
        <w:rPr>
          <w:rFonts w:hint="eastAsia" w:ascii="宋体" w:hAnsi="宋体" w:cs="宋体"/>
          <w:kern w:val="0"/>
          <w:szCs w:val="21"/>
        </w:rPr>
        <w:t>本项目采用综合评估法，总分共</w:t>
      </w:r>
      <w:r>
        <w:rPr>
          <w:rFonts w:ascii="宋体" w:hAnsi="宋体" w:cs="宋体"/>
          <w:kern w:val="0"/>
          <w:szCs w:val="21"/>
        </w:rPr>
        <w:t>100</w:t>
      </w:r>
      <w:r>
        <w:rPr>
          <w:rFonts w:hint="eastAsia" w:ascii="宋体" w:hAnsi="宋体" w:cs="宋体"/>
          <w:kern w:val="0"/>
          <w:szCs w:val="21"/>
        </w:rPr>
        <w:t>分，其中商务技术60分，价格4</w:t>
      </w:r>
      <w:r>
        <w:rPr>
          <w:rFonts w:ascii="宋体" w:hAnsi="宋体" w:cs="宋体"/>
          <w:kern w:val="0"/>
          <w:szCs w:val="21"/>
        </w:rPr>
        <w:t>0</w:t>
      </w:r>
      <w:r>
        <w:rPr>
          <w:rFonts w:hint="eastAsia" w:ascii="宋体" w:hAnsi="宋体" w:cs="宋体"/>
          <w:kern w:val="0"/>
          <w:szCs w:val="21"/>
        </w:rPr>
        <w:t>分。</w:t>
      </w:r>
    </w:p>
    <w:p w14:paraId="6C7917FF">
      <w:pPr>
        <w:pStyle w:val="99"/>
        <w:adjustRightInd w:val="0"/>
        <w:spacing w:before="0" w:after="0"/>
        <w:ind w:left="0" w:firstLine="0"/>
        <w:rPr>
          <w:rFonts w:hint="eastAsia"/>
          <w:sz w:val="24"/>
          <w:szCs w:val="22"/>
        </w:rPr>
      </w:pPr>
      <w:bookmarkStart w:id="612" w:name="_Toc447265274"/>
      <w:bookmarkStart w:id="613" w:name="_Toc151663711"/>
      <w:bookmarkStart w:id="614" w:name="_Toc450489344"/>
      <w:bookmarkStart w:id="615" w:name="_Toc214432844"/>
      <w:bookmarkStart w:id="616" w:name="_Toc447265560"/>
      <w:bookmarkStart w:id="617" w:name="_Toc227057922"/>
      <w:bookmarkStart w:id="618" w:name="_Toc447265562"/>
      <w:bookmarkStart w:id="619" w:name="_Toc107822520"/>
      <w:bookmarkStart w:id="620" w:name="_Toc447265276"/>
      <w:bookmarkStart w:id="621" w:name="_Toc226969316"/>
      <w:r>
        <w:rPr>
          <w:rFonts w:hint="eastAsia"/>
          <w:sz w:val="24"/>
          <w:szCs w:val="22"/>
        </w:rPr>
        <w:t>评审办法前附表</w:t>
      </w:r>
      <w:bookmarkEnd w:id="612"/>
      <w:bookmarkEnd w:id="613"/>
      <w:bookmarkEnd w:id="614"/>
      <w:bookmarkEnd w:id="615"/>
      <w:bookmarkEnd w:id="616"/>
    </w:p>
    <w:tbl>
      <w:tblPr>
        <w:tblStyle w:val="4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43"/>
        <w:gridCol w:w="6433"/>
        <w:gridCol w:w="482"/>
        <w:gridCol w:w="482"/>
        <w:gridCol w:w="482"/>
      </w:tblGrid>
      <w:tr w14:paraId="4C112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0" w:type="auto"/>
            <w:gridSpan w:val="5"/>
            <w:tcBorders>
              <w:top w:val="single" w:color="auto" w:sz="4" w:space="0"/>
              <w:left w:val="single" w:color="auto" w:sz="4" w:space="0"/>
              <w:bottom w:val="single" w:color="auto" w:sz="4" w:space="0"/>
              <w:right w:val="single" w:color="auto" w:sz="4" w:space="0"/>
            </w:tcBorders>
            <w:vAlign w:val="center"/>
          </w:tcPr>
          <w:p w14:paraId="7C9A71EB">
            <w:pPr>
              <w:tabs>
                <w:tab w:val="left" w:pos="7380"/>
              </w:tabs>
              <w:adjustRightInd w:val="0"/>
              <w:snapToGrid w:val="0"/>
              <w:spacing w:after="0" w:line="240" w:lineRule="auto"/>
              <w:jc w:val="center"/>
              <w:rPr>
                <w:rFonts w:hint="eastAsia" w:ascii="宋体" w:hAnsi="宋体"/>
                <w:b/>
                <w:sz w:val="24"/>
              </w:rPr>
            </w:pPr>
            <w:bookmarkStart w:id="622" w:name="_Hlk156857135"/>
            <w:r>
              <w:rPr>
                <w:rFonts w:hint="eastAsia" w:ascii="宋体" w:hAnsi="宋体"/>
                <w:b/>
                <w:sz w:val="24"/>
              </w:rPr>
              <w:t>初步评审表</w:t>
            </w:r>
          </w:p>
        </w:tc>
      </w:tr>
      <w:tr w14:paraId="7B84BE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0" w:type="auto"/>
            <w:tcBorders>
              <w:top w:val="single" w:color="auto" w:sz="4" w:space="0"/>
              <w:bottom w:val="single" w:color="auto" w:sz="4" w:space="0"/>
              <w:right w:val="single" w:color="auto" w:sz="4" w:space="0"/>
            </w:tcBorders>
            <w:vAlign w:val="center"/>
          </w:tcPr>
          <w:p w14:paraId="4A1C7435">
            <w:pPr>
              <w:adjustRightInd w:val="0"/>
              <w:snapToGrid w:val="0"/>
              <w:spacing w:after="0" w:line="240" w:lineRule="auto"/>
              <w:jc w:val="center"/>
              <w:rPr>
                <w:rFonts w:hint="eastAsia" w:ascii="宋体" w:hAnsi="宋体"/>
                <w:b/>
                <w:sz w:val="18"/>
                <w:szCs w:val="21"/>
              </w:rPr>
            </w:pPr>
            <w:r>
              <w:rPr>
                <w:rFonts w:hint="eastAsia" w:ascii="宋体" w:hAnsi="宋体"/>
                <w:b/>
                <w:sz w:val="18"/>
                <w:szCs w:val="21"/>
              </w:rPr>
              <w:t>审查项</w:t>
            </w:r>
          </w:p>
        </w:tc>
        <w:tc>
          <w:tcPr>
            <w:tcW w:w="0" w:type="auto"/>
            <w:tcBorders>
              <w:top w:val="single" w:color="auto" w:sz="4" w:space="0"/>
              <w:left w:val="single" w:color="auto" w:sz="4" w:space="0"/>
              <w:bottom w:val="single" w:color="auto" w:sz="4" w:space="0"/>
              <w:right w:val="single" w:color="auto" w:sz="4" w:space="0"/>
            </w:tcBorders>
            <w:vAlign w:val="center"/>
          </w:tcPr>
          <w:p w14:paraId="40A2E02F">
            <w:pPr>
              <w:adjustRightInd w:val="0"/>
              <w:snapToGrid w:val="0"/>
              <w:spacing w:after="0" w:line="240" w:lineRule="auto"/>
              <w:jc w:val="center"/>
              <w:rPr>
                <w:rFonts w:hint="eastAsia" w:ascii="宋体" w:hAnsi="宋体"/>
                <w:b/>
                <w:sz w:val="18"/>
                <w:szCs w:val="21"/>
              </w:rPr>
            </w:pPr>
            <w:r>
              <w:rPr>
                <w:rFonts w:hint="eastAsia" w:ascii="宋体" w:hAnsi="宋体"/>
                <w:b/>
                <w:sz w:val="18"/>
                <w:szCs w:val="21"/>
              </w:rPr>
              <w:t>评审标准</w:t>
            </w:r>
          </w:p>
        </w:tc>
        <w:tc>
          <w:tcPr>
            <w:tcW w:w="0" w:type="auto"/>
            <w:tcBorders>
              <w:top w:val="single" w:color="auto" w:sz="4" w:space="0"/>
              <w:left w:val="single" w:color="auto" w:sz="4" w:space="0"/>
              <w:bottom w:val="single" w:color="auto" w:sz="4" w:space="0"/>
              <w:right w:val="single" w:color="auto" w:sz="4" w:space="0"/>
            </w:tcBorders>
            <w:vAlign w:val="center"/>
          </w:tcPr>
          <w:p w14:paraId="437F3720">
            <w:pPr>
              <w:widowControl/>
              <w:adjustRightInd w:val="0"/>
              <w:snapToGrid w:val="0"/>
              <w:spacing w:after="0" w:line="240" w:lineRule="auto"/>
              <w:jc w:val="center"/>
              <w:rPr>
                <w:rFonts w:hint="eastAsia" w:ascii="宋体" w:hAnsi="宋体" w:cs="宋体"/>
                <w:b/>
                <w:bCs/>
                <w:kern w:val="0"/>
                <w:sz w:val="18"/>
                <w:szCs w:val="22"/>
              </w:rPr>
            </w:pPr>
            <w:r>
              <w:rPr>
                <w:rFonts w:hint="eastAsia" w:ascii="宋体" w:hAnsi="宋体" w:cs="宋体"/>
                <w:b/>
                <w:bCs/>
                <w:kern w:val="0"/>
                <w:sz w:val="18"/>
                <w:szCs w:val="22"/>
              </w:rPr>
              <w:t>投标人A</w:t>
            </w:r>
          </w:p>
        </w:tc>
        <w:tc>
          <w:tcPr>
            <w:tcW w:w="0" w:type="auto"/>
            <w:tcBorders>
              <w:top w:val="single" w:color="auto" w:sz="4" w:space="0"/>
              <w:left w:val="single" w:color="auto" w:sz="4" w:space="0"/>
              <w:bottom w:val="single" w:color="auto" w:sz="4" w:space="0"/>
              <w:right w:val="single" w:color="auto" w:sz="4" w:space="0"/>
            </w:tcBorders>
            <w:vAlign w:val="center"/>
          </w:tcPr>
          <w:p w14:paraId="0272AE7B">
            <w:pPr>
              <w:widowControl/>
              <w:adjustRightInd w:val="0"/>
              <w:snapToGrid w:val="0"/>
              <w:spacing w:after="0" w:line="240" w:lineRule="auto"/>
              <w:jc w:val="center"/>
              <w:rPr>
                <w:rFonts w:hint="eastAsia" w:ascii="宋体" w:hAnsi="宋体" w:cs="宋体"/>
                <w:b/>
                <w:bCs/>
                <w:kern w:val="0"/>
                <w:sz w:val="18"/>
                <w:szCs w:val="22"/>
              </w:rPr>
            </w:pPr>
            <w:r>
              <w:rPr>
                <w:rFonts w:hint="eastAsia" w:ascii="宋体" w:hAnsi="宋体" w:cs="宋体"/>
                <w:b/>
                <w:bCs/>
                <w:kern w:val="0"/>
                <w:sz w:val="18"/>
                <w:szCs w:val="22"/>
              </w:rPr>
              <w:t>投标人B</w:t>
            </w:r>
          </w:p>
        </w:tc>
        <w:tc>
          <w:tcPr>
            <w:tcW w:w="0" w:type="auto"/>
            <w:tcBorders>
              <w:top w:val="single" w:color="auto" w:sz="4" w:space="0"/>
              <w:left w:val="single" w:color="auto" w:sz="4" w:space="0"/>
              <w:bottom w:val="single" w:color="auto" w:sz="4" w:space="0"/>
              <w:right w:val="single" w:color="auto" w:sz="4" w:space="0"/>
            </w:tcBorders>
            <w:vAlign w:val="center"/>
          </w:tcPr>
          <w:p w14:paraId="049C4EB9">
            <w:pPr>
              <w:widowControl/>
              <w:adjustRightInd w:val="0"/>
              <w:snapToGrid w:val="0"/>
              <w:spacing w:after="0" w:line="240" w:lineRule="auto"/>
              <w:jc w:val="center"/>
              <w:rPr>
                <w:rFonts w:hint="eastAsia" w:ascii="宋体" w:hAnsi="宋体" w:cs="宋体"/>
                <w:b/>
                <w:bCs/>
                <w:kern w:val="0"/>
                <w:sz w:val="18"/>
                <w:szCs w:val="22"/>
              </w:rPr>
            </w:pPr>
            <w:r>
              <w:rPr>
                <w:rFonts w:hint="eastAsia" w:ascii="宋体" w:hAnsi="宋体" w:cs="宋体"/>
                <w:b/>
                <w:bCs/>
                <w:kern w:val="0"/>
                <w:sz w:val="18"/>
                <w:szCs w:val="22"/>
              </w:rPr>
              <w:t>投标人C</w:t>
            </w:r>
          </w:p>
        </w:tc>
      </w:tr>
      <w:tr w14:paraId="1DBA6F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5" w:hRule="atLeast"/>
          <w:jc w:val="center"/>
        </w:trPr>
        <w:tc>
          <w:tcPr>
            <w:tcW w:w="643" w:type="dxa"/>
            <w:vMerge w:val="restart"/>
            <w:tcBorders>
              <w:top w:val="single" w:color="auto" w:sz="4" w:space="0"/>
              <w:bottom w:val="single" w:color="auto" w:sz="4" w:space="0"/>
              <w:right w:val="single" w:color="auto" w:sz="4" w:space="0"/>
            </w:tcBorders>
            <w:vAlign w:val="center"/>
          </w:tcPr>
          <w:p w14:paraId="3E6EB7CE">
            <w:pPr>
              <w:adjustRightInd w:val="0"/>
              <w:snapToGrid w:val="0"/>
              <w:spacing w:after="0" w:line="240" w:lineRule="auto"/>
              <w:jc w:val="center"/>
              <w:rPr>
                <w:rFonts w:hint="eastAsia" w:ascii="宋体" w:hAnsi="宋体"/>
                <w:szCs w:val="21"/>
              </w:rPr>
            </w:pPr>
            <w:r>
              <w:rPr>
                <w:rFonts w:ascii="宋体" w:hAnsi="宋体"/>
                <w:szCs w:val="21"/>
              </w:rPr>
              <w:t>资格</w:t>
            </w:r>
            <w:r>
              <w:rPr>
                <w:rFonts w:hint="eastAsia" w:ascii="宋体" w:hAnsi="宋体"/>
                <w:szCs w:val="21"/>
                <w:lang w:val="en-US" w:eastAsia="zh-CN"/>
              </w:rPr>
              <w:t>性</w:t>
            </w:r>
            <w:r>
              <w:rPr>
                <w:rFonts w:ascii="宋体" w:hAnsi="宋体"/>
                <w:szCs w:val="21"/>
              </w:rPr>
              <w:t>评审</w:t>
            </w:r>
          </w:p>
        </w:tc>
        <w:tc>
          <w:tcPr>
            <w:tcW w:w="6433" w:type="dxa"/>
            <w:tcBorders>
              <w:top w:val="single" w:color="auto" w:sz="4" w:space="0"/>
              <w:left w:val="single" w:color="auto" w:sz="4" w:space="0"/>
              <w:bottom w:val="single" w:color="auto" w:sz="4" w:space="0"/>
              <w:right w:val="single" w:color="auto" w:sz="4" w:space="0"/>
            </w:tcBorders>
            <w:vAlign w:val="center"/>
          </w:tcPr>
          <w:p w14:paraId="388E36D3">
            <w:pPr>
              <w:tabs>
                <w:tab w:val="left" w:pos="357"/>
              </w:tabs>
              <w:adjustRightInd w:val="0"/>
              <w:snapToGrid w:val="0"/>
              <w:spacing w:after="0" w:line="240" w:lineRule="auto"/>
              <w:jc w:val="left"/>
              <w:rPr>
                <w:rFonts w:hint="eastAsia" w:ascii="宋体" w:hAnsi="宋体"/>
                <w:szCs w:val="21"/>
              </w:rPr>
            </w:pPr>
            <w:r>
              <w:rPr>
                <w:rFonts w:hint="eastAsia" w:ascii="宋体" w:hAnsi="宋体"/>
                <w:szCs w:val="21"/>
              </w:rPr>
              <w:t>1、投标人必须是具有独立承担民事责任能力的在中华人民共和国境内注册的法人或其他组织，提供有效的营业执照或法人登记证书复印件。</w:t>
            </w:r>
          </w:p>
        </w:tc>
        <w:tc>
          <w:tcPr>
            <w:tcW w:w="0" w:type="auto"/>
            <w:tcBorders>
              <w:top w:val="single" w:color="auto" w:sz="4" w:space="0"/>
              <w:left w:val="single" w:color="auto" w:sz="4" w:space="0"/>
              <w:bottom w:val="single" w:color="auto" w:sz="4" w:space="0"/>
              <w:right w:val="single" w:color="auto" w:sz="4" w:space="0"/>
            </w:tcBorders>
            <w:vAlign w:val="center"/>
          </w:tcPr>
          <w:p w14:paraId="42DA0017">
            <w:pPr>
              <w:adjustRightInd w:val="0"/>
              <w:snapToGrid w:val="0"/>
              <w:spacing w:after="0" w:line="240" w:lineRule="auto"/>
              <w:ind w:left="330" w:hanging="330" w:hangingChars="150"/>
              <w:jc w:val="center"/>
              <w:rPr>
                <w:rFonts w:hint="eastAsia" w:ascii="宋体" w:hAnsi="宋体" w:cs="宋体"/>
                <w:kern w:val="0"/>
                <w:sz w:val="22"/>
                <w:szCs w:val="22"/>
              </w:rPr>
            </w:pPr>
          </w:p>
        </w:tc>
        <w:tc>
          <w:tcPr>
            <w:tcW w:w="0" w:type="auto"/>
            <w:tcBorders>
              <w:top w:val="single" w:color="auto" w:sz="4" w:space="0"/>
              <w:left w:val="single" w:color="auto" w:sz="4" w:space="0"/>
              <w:bottom w:val="single" w:color="auto" w:sz="4" w:space="0"/>
              <w:right w:val="single" w:color="auto" w:sz="4" w:space="0"/>
            </w:tcBorders>
            <w:vAlign w:val="center"/>
          </w:tcPr>
          <w:p w14:paraId="4042381D">
            <w:pPr>
              <w:adjustRightInd w:val="0"/>
              <w:snapToGrid w:val="0"/>
              <w:spacing w:after="0" w:line="240" w:lineRule="auto"/>
              <w:ind w:left="330" w:hanging="330" w:hangingChars="150"/>
              <w:jc w:val="center"/>
              <w:rPr>
                <w:rFonts w:hint="eastAsia" w:ascii="宋体" w:hAnsi="宋体" w:cs="宋体"/>
                <w:kern w:val="0"/>
                <w:sz w:val="22"/>
                <w:szCs w:val="22"/>
              </w:rPr>
            </w:pPr>
          </w:p>
        </w:tc>
        <w:tc>
          <w:tcPr>
            <w:tcW w:w="0" w:type="auto"/>
            <w:tcBorders>
              <w:top w:val="single" w:color="auto" w:sz="4" w:space="0"/>
              <w:left w:val="single" w:color="auto" w:sz="4" w:space="0"/>
              <w:bottom w:val="single" w:color="auto" w:sz="4" w:space="0"/>
              <w:right w:val="single" w:color="auto" w:sz="4" w:space="0"/>
            </w:tcBorders>
            <w:vAlign w:val="center"/>
          </w:tcPr>
          <w:p w14:paraId="476F8E7F">
            <w:pPr>
              <w:adjustRightInd w:val="0"/>
              <w:snapToGrid w:val="0"/>
              <w:spacing w:after="0" w:line="240" w:lineRule="auto"/>
              <w:ind w:left="330" w:hanging="330" w:hangingChars="150"/>
              <w:jc w:val="center"/>
              <w:rPr>
                <w:rFonts w:hint="eastAsia" w:ascii="宋体" w:hAnsi="宋体" w:cs="宋体"/>
                <w:kern w:val="0"/>
                <w:sz w:val="22"/>
                <w:szCs w:val="22"/>
              </w:rPr>
            </w:pPr>
          </w:p>
        </w:tc>
      </w:tr>
      <w:tr w14:paraId="52284E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43" w:hRule="atLeast"/>
          <w:jc w:val="center"/>
        </w:trPr>
        <w:tc>
          <w:tcPr>
            <w:tcW w:w="643" w:type="dxa"/>
            <w:vMerge w:val="continue"/>
            <w:tcBorders>
              <w:top w:val="single" w:color="auto" w:sz="4" w:space="0"/>
              <w:bottom w:val="single" w:color="auto" w:sz="4" w:space="0"/>
              <w:right w:val="single" w:color="auto" w:sz="4" w:space="0"/>
            </w:tcBorders>
            <w:vAlign w:val="center"/>
          </w:tcPr>
          <w:p w14:paraId="1451D23D">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21FB2AA1">
            <w:pPr>
              <w:adjustRightInd w:val="0"/>
              <w:snapToGrid w:val="0"/>
              <w:spacing w:after="0" w:line="240" w:lineRule="auto"/>
              <w:jc w:val="left"/>
              <w:rPr>
                <w:rFonts w:hint="eastAsia" w:ascii="宋体" w:hAnsi="宋体"/>
                <w:szCs w:val="21"/>
              </w:rPr>
            </w:pPr>
            <w:r>
              <w:rPr>
                <w:rFonts w:hint="eastAsia" w:ascii="宋体" w:hAnsi="宋体"/>
              </w:rPr>
              <w:t>2、投标人未被列入“信用中国”网站(www.creditchina.gov.cn)“记录失信被执行人或重大税收违法失信主体或政府采购严重违法失信行为”记录名单。（提供信息查询结果界面截图，加盖投标人公章。如相关失信记录已失效，投标人需提供相关证明资料。）</w:t>
            </w:r>
          </w:p>
        </w:tc>
        <w:tc>
          <w:tcPr>
            <w:tcW w:w="0" w:type="auto"/>
            <w:tcBorders>
              <w:top w:val="single" w:color="auto" w:sz="4" w:space="0"/>
              <w:left w:val="single" w:color="auto" w:sz="4" w:space="0"/>
              <w:bottom w:val="single" w:color="auto" w:sz="4" w:space="0"/>
              <w:right w:val="single" w:color="auto" w:sz="4" w:space="0"/>
            </w:tcBorders>
            <w:vAlign w:val="center"/>
          </w:tcPr>
          <w:p w14:paraId="3B9F2C5E">
            <w:pPr>
              <w:adjustRightInd w:val="0"/>
              <w:snapToGrid w:val="0"/>
              <w:spacing w:after="0" w:line="240" w:lineRule="auto"/>
              <w:ind w:left="330" w:hanging="330" w:hangingChars="150"/>
              <w:jc w:val="center"/>
              <w:rPr>
                <w:rFonts w:hint="eastAsia" w:ascii="宋体" w:hAnsi="宋体" w:cs="宋体"/>
                <w:kern w:val="0"/>
                <w:sz w:val="22"/>
                <w:szCs w:val="22"/>
              </w:rPr>
            </w:pPr>
          </w:p>
        </w:tc>
        <w:tc>
          <w:tcPr>
            <w:tcW w:w="0" w:type="auto"/>
            <w:tcBorders>
              <w:top w:val="single" w:color="auto" w:sz="4" w:space="0"/>
              <w:left w:val="single" w:color="auto" w:sz="4" w:space="0"/>
              <w:bottom w:val="single" w:color="auto" w:sz="4" w:space="0"/>
              <w:right w:val="single" w:color="auto" w:sz="4" w:space="0"/>
            </w:tcBorders>
            <w:vAlign w:val="center"/>
          </w:tcPr>
          <w:p w14:paraId="6475EFBB">
            <w:pPr>
              <w:adjustRightInd w:val="0"/>
              <w:snapToGrid w:val="0"/>
              <w:spacing w:after="0" w:line="240" w:lineRule="auto"/>
              <w:ind w:left="330" w:hanging="330" w:hangingChars="150"/>
              <w:jc w:val="center"/>
              <w:rPr>
                <w:rFonts w:hint="eastAsia" w:ascii="宋体" w:hAnsi="宋体" w:cs="宋体"/>
                <w:kern w:val="0"/>
                <w:sz w:val="22"/>
                <w:szCs w:val="22"/>
              </w:rPr>
            </w:pPr>
          </w:p>
        </w:tc>
        <w:tc>
          <w:tcPr>
            <w:tcW w:w="0" w:type="auto"/>
            <w:tcBorders>
              <w:top w:val="single" w:color="auto" w:sz="4" w:space="0"/>
              <w:left w:val="single" w:color="auto" w:sz="4" w:space="0"/>
              <w:bottom w:val="single" w:color="auto" w:sz="4" w:space="0"/>
              <w:right w:val="single" w:color="auto" w:sz="4" w:space="0"/>
            </w:tcBorders>
            <w:vAlign w:val="center"/>
          </w:tcPr>
          <w:p w14:paraId="1B7AD41E">
            <w:pPr>
              <w:adjustRightInd w:val="0"/>
              <w:snapToGrid w:val="0"/>
              <w:spacing w:after="0" w:line="240" w:lineRule="auto"/>
              <w:ind w:left="330" w:hanging="330" w:hangingChars="150"/>
              <w:jc w:val="center"/>
              <w:rPr>
                <w:rFonts w:hint="eastAsia" w:ascii="宋体" w:hAnsi="宋体" w:cs="宋体"/>
                <w:kern w:val="0"/>
                <w:sz w:val="22"/>
                <w:szCs w:val="22"/>
              </w:rPr>
            </w:pPr>
          </w:p>
        </w:tc>
      </w:tr>
      <w:tr w14:paraId="0EB7D8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643" w:type="dxa"/>
            <w:vMerge w:val="continue"/>
            <w:tcBorders>
              <w:top w:val="single" w:color="auto" w:sz="4" w:space="0"/>
              <w:bottom w:val="single" w:color="auto" w:sz="4" w:space="0"/>
              <w:right w:val="single" w:color="auto" w:sz="4" w:space="0"/>
            </w:tcBorders>
            <w:vAlign w:val="center"/>
          </w:tcPr>
          <w:p w14:paraId="6F4729AD">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1816D3B3">
            <w:pPr>
              <w:adjustRightInd w:val="0"/>
              <w:snapToGrid w:val="0"/>
              <w:spacing w:after="0" w:line="240" w:lineRule="auto"/>
              <w:jc w:val="left"/>
              <w:rPr>
                <w:rFonts w:hint="eastAsia" w:ascii="宋体" w:hAnsi="宋体"/>
                <w:szCs w:val="21"/>
              </w:rPr>
            </w:pPr>
            <w:r>
              <w:rPr>
                <w:rFonts w:hint="eastAsia" w:ascii="宋体" w:hAnsi="宋体" w:cs="宋体"/>
                <w:szCs w:val="21"/>
              </w:rPr>
              <w:t>3、本项目不接受联合体投标。</w:t>
            </w:r>
          </w:p>
        </w:tc>
        <w:tc>
          <w:tcPr>
            <w:tcW w:w="0" w:type="auto"/>
            <w:tcBorders>
              <w:top w:val="single" w:color="auto" w:sz="4" w:space="0"/>
              <w:left w:val="single" w:color="auto" w:sz="4" w:space="0"/>
              <w:bottom w:val="single" w:color="auto" w:sz="4" w:space="0"/>
              <w:right w:val="single" w:color="auto" w:sz="4" w:space="0"/>
            </w:tcBorders>
            <w:vAlign w:val="center"/>
          </w:tcPr>
          <w:p w14:paraId="3EC44BA0">
            <w:pPr>
              <w:adjustRightInd w:val="0"/>
              <w:snapToGrid w:val="0"/>
              <w:spacing w:after="0" w:line="240" w:lineRule="auto"/>
              <w:ind w:left="330" w:hanging="330" w:hangingChars="150"/>
              <w:jc w:val="center"/>
              <w:rPr>
                <w:rFonts w:hint="eastAsia" w:ascii="宋体" w:hAnsi="宋体" w:cs="宋体"/>
                <w:kern w:val="0"/>
                <w:sz w:val="22"/>
                <w:szCs w:val="22"/>
              </w:rPr>
            </w:pPr>
          </w:p>
        </w:tc>
        <w:tc>
          <w:tcPr>
            <w:tcW w:w="0" w:type="auto"/>
            <w:tcBorders>
              <w:top w:val="single" w:color="auto" w:sz="4" w:space="0"/>
              <w:left w:val="single" w:color="auto" w:sz="4" w:space="0"/>
              <w:bottom w:val="single" w:color="auto" w:sz="4" w:space="0"/>
              <w:right w:val="single" w:color="auto" w:sz="4" w:space="0"/>
            </w:tcBorders>
            <w:vAlign w:val="center"/>
          </w:tcPr>
          <w:p w14:paraId="0B960B8D">
            <w:pPr>
              <w:adjustRightInd w:val="0"/>
              <w:snapToGrid w:val="0"/>
              <w:spacing w:after="0" w:line="240" w:lineRule="auto"/>
              <w:ind w:left="330" w:hanging="330" w:hangingChars="150"/>
              <w:jc w:val="center"/>
              <w:rPr>
                <w:rFonts w:hint="eastAsia" w:ascii="宋体" w:hAnsi="宋体" w:cs="宋体"/>
                <w:kern w:val="0"/>
                <w:sz w:val="22"/>
                <w:szCs w:val="22"/>
              </w:rPr>
            </w:pPr>
          </w:p>
        </w:tc>
        <w:tc>
          <w:tcPr>
            <w:tcW w:w="0" w:type="auto"/>
            <w:tcBorders>
              <w:top w:val="single" w:color="auto" w:sz="4" w:space="0"/>
              <w:left w:val="single" w:color="auto" w:sz="4" w:space="0"/>
              <w:bottom w:val="single" w:color="auto" w:sz="4" w:space="0"/>
              <w:right w:val="single" w:color="auto" w:sz="4" w:space="0"/>
            </w:tcBorders>
            <w:vAlign w:val="center"/>
          </w:tcPr>
          <w:p w14:paraId="1645CC35">
            <w:pPr>
              <w:adjustRightInd w:val="0"/>
              <w:snapToGrid w:val="0"/>
              <w:spacing w:after="0" w:line="240" w:lineRule="auto"/>
              <w:ind w:left="330" w:hanging="330" w:hangingChars="150"/>
              <w:jc w:val="center"/>
              <w:rPr>
                <w:rFonts w:hint="eastAsia" w:ascii="宋体" w:hAnsi="宋体" w:cs="宋体"/>
                <w:kern w:val="0"/>
                <w:sz w:val="22"/>
                <w:szCs w:val="22"/>
              </w:rPr>
            </w:pPr>
          </w:p>
        </w:tc>
      </w:tr>
      <w:tr w14:paraId="6C5F3B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643" w:type="dxa"/>
            <w:vMerge w:val="continue"/>
            <w:tcBorders>
              <w:top w:val="single" w:color="auto" w:sz="4" w:space="0"/>
              <w:bottom w:val="single" w:color="auto" w:sz="4" w:space="0"/>
              <w:right w:val="single" w:color="auto" w:sz="4" w:space="0"/>
            </w:tcBorders>
            <w:vAlign w:val="center"/>
          </w:tcPr>
          <w:p w14:paraId="3DFE8E5A">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69A7E1D1">
            <w:pPr>
              <w:adjustRightInd w:val="0"/>
              <w:snapToGrid w:val="0"/>
              <w:spacing w:after="0" w:line="240" w:lineRule="auto"/>
              <w:jc w:val="left"/>
              <w:rPr>
                <w:rFonts w:hint="eastAsia" w:ascii="宋体" w:hAnsi="宋体"/>
                <w:szCs w:val="21"/>
              </w:rPr>
            </w:pPr>
            <w:r>
              <w:rPr>
                <w:rFonts w:hint="eastAsia" w:ascii="宋体" w:hAnsi="宋体"/>
                <w:szCs w:val="21"/>
              </w:rPr>
              <w:t>4、</w:t>
            </w:r>
            <w:r>
              <w:rPr>
                <w:rFonts w:hint="eastAsia" w:ascii="宋体" w:hAnsi="宋体" w:cs="宋体"/>
                <w:szCs w:val="21"/>
              </w:rPr>
              <w:t>单位负责人若为同一人或者存在控股、管理关系的不同投标人，不得同时参与本项目的投标。</w:t>
            </w:r>
          </w:p>
        </w:tc>
        <w:tc>
          <w:tcPr>
            <w:tcW w:w="0" w:type="auto"/>
            <w:tcBorders>
              <w:top w:val="single" w:color="auto" w:sz="4" w:space="0"/>
              <w:left w:val="single" w:color="auto" w:sz="4" w:space="0"/>
              <w:bottom w:val="single" w:color="auto" w:sz="4" w:space="0"/>
              <w:right w:val="single" w:color="auto" w:sz="4" w:space="0"/>
            </w:tcBorders>
            <w:vAlign w:val="center"/>
          </w:tcPr>
          <w:p w14:paraId="688F07EF">
            <w:pPr>
              <w:adjustRightInd w:val="0"/>
              <w:snapToGrid w:val="0"/>
              <w:spacing w:after="0" w:line="240" w:lineRule="auto"/>
              <w:ind w:left="330" w:hanging="330" w:hangingChars="150"/>
              <w:jc w:val="center"/>
              <w:rPr>
                <w:rFonts w:hint="eastAsia" w:ascii="宋体" w:hAnsi="宋体" w:cs="宋体"/>
                <w:kern w:val="0"/>
                <w:sz w:val="22"/>
                <w:szCs w:val="22"/>
              </w:rPr>
            </w:pPr>
          </w:p>
        </w:tc>
        <w:tc>
          <w:tcPr>
            <w:tcW w:w="0" w:type="auto"/>
            <w:tcBorders>
              <w:top w:val="single" w:color="auto" w:sz="4" w:space="0"/>
              <w:left w:val="single" w:color="auto" w:sz="4" w:space="0"/>
              <w:bottom w:val="single" w:color="auto" w:sz="4" w:space="0"/>
              <w:right w:val="single" w:color="auto" w:sz="4" w:space="0"/>
            </w:tcBorders>
            <w:vAlign w:val="center"/>
          </w:tcPr>
          <w:p w14:paraId="52304313">
            <w:pPr>
              <w:adjustRightInd w:val="0"/>
              <w:snapToGrid w:val="0"/>
              <w:spacing w:after="0" w:line="240" w:lineRule="auto"/>
              <w:ind w:left="330" w:hanging="330" w:hangingChars="150"/>
              <w:jc w:val="center"/>
              <w:rPr>
                <w:rFonts w:hint="eastAsia" w:ascii="宋体" w:hAnsi="宋体" w:cs="宋体"/>
                <w:kern w:val="0"/>
                <w:sz w:val="22"/>
                <w:szCs w:val="22"/>
              </w:rPr>
            </w:pPr>
          </w:p>
        </w:tc>
        <w:tc>
          <w:tcPr>
            <w:tcW w:w="0" w:type="auto"/>
            <w:tcBorders>
              <w:top w:val="single" w:color="auto" w:sz="4" w:space="0"/>
              <w:left w:val="single" w:color="auto" w:sz="4" w:space="0"/>
              <w:bottom w:val="single" w:color="auto" w:sz="4" w:space="0"/>
              <w:right w:val="single" w:color="auto" w:sz="4" w:space="0"/>
            </w:tcBorders>
            <w:vAlign w:val="center"/>
          </w:tcPr>
          <w:p w14:paraId="208A1548">
            <w:pPr>
              <w:adjustRightInd w:val="0"/>
              <w:snapToGrid w:val="0"/>
              <w:spacing w:after="0" w:line="240" w:lineRule="auto"/>
              <w:ind w:left="330" w:hanging="330" w:hangingChars="150"/>
              <w:jc w:val="center"/>
              <w:rPr>
                <w:rFonts w:hint="eastAsia" w:ascii="宋体" w:hAnsi="宋体" w:cs="宋体"/>
                <w:kern w:val="0"/>
                <w:sz w:val="22"/>
                <w:szCs w:val="22"/>
              </w:rPr>
            </w:pPr>
          </w:p>
        </w:tc>
      </w:tr>
      <w:tr w14:paraId="195379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643" w:type="dxa"/>
            <w:vMerge w:val="continue"/>
            <w:tcBorders>
              <w:top w:val="single" w:color="auto" w:sz="4" w:space="0"/>
              <w:bottom w:val="single" w:color="auto" w:sz="4" w:space="0"/>
              <w:right w:val="single" w:color="auto" w:sz="4" w:space="0"/>
            </w:tcBorders>
            <w:vAlign w:val="center"/>
          </w:tcPr>
          <w:p w14:paraId="1C852C38">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3BFE1B9D">
            <w:pPr>
              <w:adjustRightInd w:val="0"/>
              <w:snapToGrid w:val="0"/>
              <w:spacing w:after="0" w:line="240" w:lineRule="auto"/>
              <w:jc w:val="left"/>
              <w:rPr>
                <w:rFonts w:hint="eastAsia" w:ascii="宋体" w:hAnsi="宋体"/>
                <w:szCs w:val="21"/>
              </w:rPr>
            </w:pPr>
            <w:r>
              <w:rPr>
                <w:rFonts w:hint="eastAsia" w:ascii="宋体" w:hAnsi="宋体"/>
                <w:szCs w:val="21"/>
              </w:rPr>
              <w:t>5、</w:t>
            </w:r>
            <w:r>
              <w:rPr>
                <w:rFonts w:hint="eastAsia" w:ascii="宋体" w:hAnsi="宋体" w:cs="宋体"/>
                <w:szCs w:val="21"/>
              </w:rPr>
              <w:t>法律法规规定的其他必须符合的要求。</w:t>
            </w:r>
          </w:p>
        </w:tc>
        <w:tc>
          <w:tcPr>
            <w:tcW w:w="0" w:type="auto"/>
            <w:tcBorders>
              <w:top w:val="single" w:color="auto" w:sz="4" w:space="0"/>
              <w:left w:val="single" w:color="auto" w:sz="4" w:space="0"/>
              <w:bottom w:val="single" w:color="auto" w:sz="4" w:space="0"/>
              <w:right w:val="single" w:color="auto" w:sz="4" w:space="0"/>
            </w:tcBorders>
            <w:vAlign w:val="center"/>
          </w:tcPr>
          <w:p w14:paraId="1E762383">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353D2B63">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06B643CB">
            <w:pPr>
              <w:adjustRightInd w:val="0"/>
              <w:snapToGrid w:val="0"/>
              <w:spacing w:after="0" w:line="240" w:lineRule="auto"/>
              <w:ind w:left="339"/>
              <w:jc w:val="center"/>
              <w:rPr>
                <w:rFonts w:hint="eastAsia" w:ascii="宋体" w:hAnsi="宋体"/>
              </w:rPr>
            </w:pPr>
          </w:p>
        </w:tc>
      </w:tr>
      <w:tr w14:paraId="7435EA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643" w:type="dxa"/>
            <w:vMerge w:val="restart"/>
            <w:tcBorders>
              <w:top w:val="single" w:color="auto" w:sz="4" w:space="0"/>
              <w:right w:val="single" w:color="auto" w:sz="4" w:space="0"/>
            </w:tcBorders>
            <w:vAlign w:val="center"/>
          </w:tcPr>
          <w:p w14:paraId="3269B4B1">
            <w:pPr>
              <w:adjustRightInd w:val="0"/>
              <w:snapToGrid w:val="0"/>
              <w:spacing w:after="0" w:line="240" w:lineRule="auto"/>
              <w:jc w:val="center"/>
              <w:rPr>
                <w:rFonts w:hint="eastAsia" w:ascii="宋体" w:hAnsi="宋体"/>
                <w:szCs w:val="21"/>
              </w:rPr>
            </w:pPr>
            <w:r>
              <w:rPr>
                <w:rFonts w:hint="eastAsia" w:ascii="宋体" w:hAnsi="宋体"/>
                <w:szCs w:val="21"/>
                <w:lang w:val="en-US" w:eastAsia="zh-CN"/>
              </w:rPr>
              <w:t>符合性</w:t>
            </w:r>
            <w:r>
              <w:rPr>
                <w:rFonts w:hint="eastAsia" w:ascii="宋体" w:hAnsi="宋体"/>
                <w:szCs w:val="21"/>
              </w:rPr>
              <w:t>评审</w:t>
            </w:r>
          </w:p>
        </w:tc>
        <w:tc>
          <w:tcPr>
            <w:tcW w:w="6433" w:type="dxa"/>
            <w:tcBorders>
              <w:top w:val="single" w:color="auto" w:sz="4" w:space="0"/>
              <w:left w:val="single" w:color="auto" w:sz="4" w:space="0"/>
              <w:bottom w:val="single" w:color="auto" w:sz="4" w:space="0"/>
              <w:right w:val="single" w:color="auto" w:sz="4" w:space="0"/>
            </w:tcBorders>
            <w:vAlign w:val="center"/>
          </w:tcPr>
          <w:p w14:paraId="1C45A7D2">
            <w:pPr>
              <w:tabs>
                <w:tab w:val="left" w:pos="7380"/>
              </w:tabs>
              <w:adjustRightInd w:val="0"/>
              <w:snapToGrid w:val="0"/>
              <w:spacing w:after="0" w:line="240" w:lineRule="auto"/>
              <w:rPr>
                <w:rFonts w:hint="eastAsia" w:ascii="宋体" w:hAnsi="宋体"/>
                <w:szCs w:val="21"/>
              </w:rPr>
            </w:pPr>
            <w:r>
              <w:rPr>
                <w:rFonts w:hint="eastAsia" w:ascii="宋体" w:hAnsi="宋体"/>
                <w:szCs w:val="21"/>
              </w:rPr>
              <w:t>1、投标人名称与营业执照一致。</w:t>
            </w:r>
          </w:p>
        </w:tc>
        <w:tc>
          <w:tcPr>
            <w:tcW w:w="0" w:type="auto"/>
            <w:tcBorders>
              <w:top w:val="single" w:color="auto" w:sz="4" w:space="0"/>
              <w:left w:val="single" w:color="auto" w:sz="4" w:space="0"/>
              <w:bottom w:val="single" w:color="auto" w:sz="4" w:space="0"/>
              <w:right w:val="single" w:color="auto" w:sz="4" w:space="0"/>
            </w:tcBorders>
            <w:vAlign w:val="center"/>
          </w:tcPr>
          <w:p w14:paraId="3743DBA3">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414DC678">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5FC3C3A8">
            <w:pPr>
              <w:adjustRightInd w:val="0"/>
              <w:snapToGrid w:val="0"/>
              <w:spacing w:after="0" w:line="240" w:lineRule="auto"/>
              <w:ind w:left="339"/>
              <w:jc w:val="center"/>
              <w:rPr>
                <w:rFonts w:hint="eastAsia" w:ascii="宋体" w:hAnsi="宋体"/>
              </w:rPr>
            </w:pPr>
          </w:p>
        </w:tc>
      </w:tr>
      <w:tr w14:paraId="5A8A51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643" w:type="dxa"/>
            <w:vMerge w:val="continue"/>
            <w:tcBorders>
              <w:right w:val="single" w:color="auto" w:sz="4" w:space="0"/>
            </w:tcBorders>
            <w:vAlign w:val="center"/>
          </w:tcPr>
          <w:p w14:paraId="53762FB3">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7810B560">
            <w:pPr>
              <w:tabs>
                <w:tab w:val="left" w:pos="7380"/>
              </w:tabs>
              <w:adjustRightInd w:val="0"/>
              <w:snapToGrid w:val="0"/>
              <w:spacing w:after="0" w:line="240" w:lineRule="auto"/>
              <w:rPr>
                <w:rFonts w:hint="eastAsia" w:ascii="宋体" w:hAnsi="宋体"/>
                <w:szCs w:val="21"/>
              </w:rPr>
            </w:pPr>
            <w:r>
              <w:rPr>
                <w:rFonts w:hint="eastAsia" w:ascii="宋体" w:hAnsi="宋体"/>
              </w:rPr>
              <w:t>2、</w:t>
            </w:r>
            <w:r>
              <w:rPr>
                <w:rFonts w:hint="eastAsia" w:ascii="宋体" w:hAnsi="宋体" w:cs="宋体"/>
                <w:kern w:val="0"/>
                <w:szCs w:val="21"/>
              </w:rPr>
              <w:t>投标有效期符合第二章“投标人须知”</w:t>
            </w:r>
            <w:r>
              <w:rPr>
                <w:rFonts w:ascii="宋体" w:hAnsi="宋体" w:cs="宋体"/>
                <w:kern w:val="0"/>
                <w:szCs w:val="21"/>
              </w:rPr>
              <w:t>3.4.1</w:t>
            </w:r>
            <w:r>
              <w:rPr>
                <w:rFonts w:hint="eastAsia" w:ascii="宋体" w:hAnsi="宋体" w:cs="宋体"/>
                <w:kern w:val="0"/>
                <w:szCs w:val="21"/>
              </w:rPr>
              <w:t>款规定。</w:t>
            </w:r>
          </w:p>
        </w:tc>
        <w:tc>
          <w:tcPr>
            <w:tcW w:w="0" w:type="auto"/>
            <w:tcBorders>
              <w:top w:val="single" w:color="auto" w:sz="4" w:space="0"/>
              <w:left w:val="single" w:color="auto" w:sz="4" w:space="0"/>
              <w:bottom w:val="single" w:color="auto" w:sz="4" w:space="0"/>
              <w:right w:val="single" w:color="auto" w:sz="4" w:space="0"/>
            </w:tcBorders>
            <w:vAlign w:val="center"/>
          </w:tcPr>
          <w:p w14:paraId="340B0B6D">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26C22FA3">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02AA4E4B">
            <w:pPr>
              <w:adjustRightInd w:val="0"/>
              <w:snapToGrid w:val="0"/>
              <w:spacing w:after="0" w:line="240" w:lineRule="auto"/>
              <w:ind w:left="339"/>
              <w:jc w:val="center"/>
              <w:rPr>
                <w:rFonts w:hint="eastAsia" w:ascii="宋体" w:hAnsi="宋体"/>
              </w:rPr>
            </w:pPr>
          </w:p>
        </w:tc>
      </w:tr>
      <w:tr w14:paraId="52F91B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3" w:hRule="atLeast"/>
          <w:jc w:val="center"/>
        </w:trPr>
        <w:tc>
          <w:tcPr>
            <w:tcW w:w="643" w:type="dxa"/>
            <w:vMerge w:val="continue"/>
            <w:tcBorders>
              <w:right w:val="single" w:color="auto" w:sz="4" w:space="0"/>
            </w:tcBorders>
            <w:vAlign w:val="center"/>
          </w:tcPr>
          <w:p w14:paraId="0754A70A">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5598D50B">
            <w:pPr>
              <w:tabs>
                <w:tab w:val="left" w:pos="7380"/>
              </w:tabs>
              <w:adjustRightInd w:val="0"/>
              <w:snapToGrid w:val="0"/>
              <w:spacing w:after="0" w:line="240" w:lineRule="auto"/>
              <w:rPr>
                <w:rFonts w:hint="eastAsia" w:ascii="宋体" w:hAnsi="宋体"/>
                <w:szCs w:val="21"/>
              </w:rPr>
            </w:pPr>
            <w:r>
              <w:rPr>
                <w:rFonts w:hint="eastAsia" w:ascii="宋体" w:hAnsi="宋体"/>
                <w:szCs w:val="21"/>
              </w:rPr>
              <w:t>3、提供有效的法定代表人证明书及法定代表授权委托书原件（如是法定代表人直接签署投标文件并参加投标的，则无需提交法定代表授权委托书），按照第六章“投标文件格式”中的格式及要求提供，且有身份证复印件。</w:t>
            </w:r>
          </w:p>
        </w:tc>
        <w:tc>
          <w:tcPr>
            <w:tcW w:w="0" w:type="auto"/>
            <w:tcBorders>
              <w:top w:val="single" w:color="auto" w:sz="4" w:space="0"/>
              <w:left w:val="single" w:color="auto" w:sz="4" w:space="0"/>
              <w:bottom w:val="single" w:color="auto" w:sz="4" w:space="0"/>
              <w:right w:val="single" w:color="auto" w:sz="4" w:space="0"/>
            </w:tcBorders>
            <w:vAlign w:val="center"/>
          </w:tcPr>
          <w:p w14:paraId="6331D97E">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0A719017">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41B1899D">
            <w:pPr>
              <w:adjustRightInd w:val="0"/>
              <w:snapToGrid w:val="0"/>
              <w:spacing w:after="0" w:line="240" w:lineRule="auto"/>
              <w:ind w:left="339"/>
              <w:jc w:val="center"/>
              <w:rPr>
                <w:rFonts w:hint="eastAsia" w:ascii="宋体" w:hAnsi="宋体"/>
              </w:rPr>
            </w:pPr>
          </w:p>
        </w:tc>
      </w:tr>
      <w:tr w14:paraId="7085E6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643" w:type="dxa"/>
            <w:vMerge w:val="continue"/>
            <w:tcBorders>
              <w:right w:val="single" w:color="auto" w:sz="4" w:space="0"/>
            </w:tcBorders>
            <w:vAlign w:val="center"/>
          </w:tcPr>
          <w:p w14:paraId="39B0853F">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43F4A64A">
            <w:pPr>
              <w:tabs>
                <w:tab w:val="left" w:pos="7380"/>
              </w:tabs>
              <w:adjustRightInd w:val="0"/>
              <w:snapToGrid w:val="0"/>
              <w:spacing w:after="0" w:line="240" w:lineRule="auto"/>
              <w:rPr>
                <w:rFonts w:hint="eastAsia" w:ascii="宋体" w:hAnsi="宋体"/>
                <w:szCs w:val="21"/>
              </w:rPr>
            </w:pPr>
            <w:r>
              <w:rPr>
                <w:rFonts w:hint="eastAsia" w:ascii="宋体" w:hAnsi="宋体"/>
                <w:szCs w:val="21"/>
              </w:rPr>
              <w:t>4、</w:t>
            </w:r>
            <w:r>
              <w:rPr>
                <w:rFonts w:hint="eastAsia" w:ascii="宋体" w:hAnsi="宋体" w:cs="宋体"/>
                <w:kern w:val="0"/>
                <w:szCs w:val="21"/>
              </w:rPr>
              <w:t>投标文件签字盖章符合第二章“投标人须知”第</w:t>
            </w:r>
            <w:r>
              <w:rPr>
                <w:rFonts w:ascii="宋体" w:hAnsi="宋体" w:cs="宋体"/>
                <w:kern w:val="0"/>
                <w:szCs w:val="21"/>
              </w:rPr>
              <w:t>3.2.4</w:t>
            </w:r>
            <w:r>
              <w:rPr>
                <w:rFonts w:hint="eastAsia" w:ascii="宋体" w:hAnsi="宋体" w:cs="宋体"/>
                <w:kern w:val="0"/>
                <w:szCs w:val="21"/>
              </w:rPr>
              <w:t>款规定。</w:t>
            </w:r>
          </w:p>
        </w:tc>
        <w:tc>
          <w:tcPr>
            <w:tcW w:w="0" w:type="auto"/>
            <w:tcBorders>
              <w:top w:val="single" w:color="auto" w:sz="4" w:space="0"/>
              <w:left w:val="single" w:color="auto" w:sz="4" w:space="0"/>
              <w:bottom w:val="single" w:color="auto" w:sz="4" w:space="0"/>
              <w:right w:val="single" w:color="auto" w:sz="4" w:space="0"/>
            </w:tcBorders>
            <w:vAlign w:val="center"/>
          </w:tcPr>
          <w:p w14:paraId="1B9C4E02">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5669767F">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26F3C2D3">
            <w:pPr>
              <w:adjustRightInd w:val="0"/>
              <w:snapToGrid w:val="0"/>
              <w:spacing w:after="0" w:line="240" w:lineRule="auto"/>
              <w:ind w:left="339"/>
              <w:jc w:val="center"/>
              <w:rPr>
                <w:rFonts w:hint="eastAsia" w:ascii="宋体" w:hAnsi="宋体"/>
              </w:rPr>
            </w:pPr>
          </w:p>
        </w:tc>
      </w:tr>
      <w:tr w14:paraId="52AE69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643" w:type="dxa"/>
            <w:vMerge w:val="continue"/>
            <w:tcBorders>
              <w:right w:val="single" w:color="auto" w:sz="4" w:space="0"/>
            </w:tcBorders>
            <w:vAlign w:val="center"/>
          </w:tcPr>
          <w:p w14:paraId="5BEB9202">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774D3343">
            <w:pPr>
              <w:tabs>
                <w:tab w:val="left" w:pos="7380"/>
              </w:tabs>
              <w:adjustRightInd w:val="0"/>
              <w:snapToGrid w:val="0"/>
              <w:spacing w:after="0" w:line="240" w:lineRule="auto"/>
              <w:rPr>
                <w:rFonts w:hint="eastAsia" w:ascii="宋体" w:hAnsi="宋体"/>
                <w:szCs w:val="21"/>
              </w:rPr>
            </w:pPr>
            <w:r>
              <w:rPr>
                <w:rFonts w:hint="eastAsia" w:ascii="宋体" w:hAnsi="宋体"/>
                <w:szCs w:val="21"/>
                <w:lang w:val="en-US" w:eastAsia="zh-CN"/>
              </w:rPr>
              <w:t>5</w:t>
            </w:r>
            <w:r>
              <w:rPr>
                <w:rFonts w:hint="eastAsia" w:ascii="宋体" w:hAnsi="宋体"/>
                <w:szCs w:val="21"/>
              </w:rPr>
              <w:t>、保证金</w:t>
            </w:r>
            <w:r>
              <w:rPr>
                <w:rFonts w:hint="eastAsia" w:ascii="宋体" w:hAnsi="宋体" w:cs="宋体"/>
                <w:kern w:val="0"/>
                <w:szCs w:val="21"/>
              </w:rPr>
              <w:t>符合第二章“投标人须知”</w:t>
            </w:r>
            <w:r>
              <w:rPr>
                <w:rFonts w:ascii="宋体" w:hAnsi="宋体" w:cs="宋体"/>
                <w:kern w:val="0"/>
                <w:szCs w:val="21"/>
              </w:rPr>
              <w:t>3.5.1</w:t>
            </w:r>
            <w:r>
              <w:rPr>
                <w:rFonts w:hint="eastAsia" w:ascii="宋体" w:hAnsi="宋体" w:cs="宋体"/>
                <w:kern w:val="0"/>
                <w:szCs w:val="21"/>
              </w:rPr>
              <w:t>、</w:t>
            </w:r>
            <w:r>
              <w:rPr>
                <w:rFonts w:ascii="宋体" w:hAnsi="宋体" w:cs="宋体"/>
                <w:kern w:val="0"/>
                <w:szCs w:val="21"/>
              </w:rPr>
              <w:t>3.5</w:t>
            </w:r>
            <w:r>
              <w:rPr>
                <w:rFonts w:hint="eastAsia" w:ascii="宋体" w:hAnsi="宋体" w:cs="宋体"/>
                <w:kern w:val="0"/>
                <w:szCs w:val="21"/>
              </w:rPr>
              <w:t>.</w:t>
            </w:r>
            <w:r>
              <w:rPr>
                <w:rFonts w:ascii="宋体" w:hAnsi="宋体" w:cs="宋体"/>
                <w:kern w:val="0"/>
                <w:szCs w:val="21"/>
              </w:rPr>
              <w:t>2</w:t>
            </w:r>
            <w:r>
              <w:rPr>
                <w:rFonts w:hint="eastAsia" w:ascii="宋体" w:hAnsi="宋体" w:cs="宋体"/>
                <w:kern w:val="0"/>
                <w:szCs w:val="21"/>
              </w:rPr>
              <w:t>款规定。</w:t>
            </w:r>
          </w:p>
        </w:tc>
        <w:tc>
          <w:tcPr>
            <w:tcW w:w="0" w:type="auto"/>
            <w:tcBorders>
              <w:top w:val="single" w:color="auto" w:sz="4" w:space="0"/>
              <w:left w:val="single" w:color="auto" w:sz="4" w:space="0"/>
              <w:bottom w:val="single" w:color="auto" w:sz="4" w:space="0"/>
              <w:right w:val="single" w:color="auto" w:sz="4" w:space="0"/>
            </w:tcBorders>
            <w:vAlign w:val="center"/>
          </w:tcPr>
          <w:p w14:paraId="67B477B1">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11609FF0">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42E47D79">
            <w:pPr>
              <w:adjustRightInd w:val="0"/>
              <w:snapToGrid w:val="0"/>
              <w:spacing w:after="0" w:line="240" w:lineRule="auto"/>
              <w:ind w:left="339"/>
              <w:jc w:val="center"/>
              <w:rPr>
                <w:rFonts w:hint="eastAsia" w:ascii="宋体" w:hAnsi="宋体"/>
              </w:rPr>
            </w:pPr>
          </w:p>
        </w:tc>
      </w:tr>
      <w:tr w14:paraId="417029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643" w:type="dxa"/>
            <w:vMerge w:val="continue"/>
            <w:tcBorders>
              <w:right w:val="single" w:color="auto" w:sz="4" w:space="0"/>
            </w:tcBorders>
            <w:vAlign w:val="center"/>
          </w:tcPr>
          <w:p w14:paraId="08047049">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2D544AB5">
            <w:pPr>
              <w:tabs>
                <w:tab w:val="left" w:pos="7380"/>
              </w:tabs>
              <w:adjustRightInd w:val="0"/>
              <w:snapToGrid w:val="0"/>
              <w:spacing w:after="0" w:line="240" w:lineRule="auto"/>
              <w:rPr>
                <w:rFonts w:hint="eastAsia" w:ascii="宋体" w:hAnsi="宋体"/>
                <w:szCs w:val="21"/>
              </w:rPr>
            </w:pPr>
            <w:r>
              <w:rPr>
                <w:rFonts w:hint="eastAsia" w:ascii="宋体" w:hAnsi="宋体"/>
                <w:szCs w:val="21"/>
                <w:lang w:val="en-US" w:eastAsia="zh-CN"/>
              </w:rPr>
              <w:t>6</w:t>
            </w:r>
            <w:r>
              <w:rPr>
                <w:rFonts w:hint="eastAsia" w:ascii="宋体" w:hAnsi="宋体"/>
                <w:szCs w:val="21"/>
              </w:rPr>
              <w:t>、</w:t>
            </w:r>
            <w:r>
              <w:rPr>
                <w:rFonts w:hint="eastAsia" w:ascii="宋体" w:hAnsi="宋体" w:cs="宋体"/>
                <w:kern w:val="0"/>
                <w:szCs w:val="21"/>
              </w:rPr>
              <w:t>投标报价要求符合第二章“投标人须知”</w:t>
            </w:r>
            <w:r>
              <w:rPr>
                <w:rFonts w:ascii="宋体" w:hAnsi="宋体" w:cs="宋体"/>
                <w:kern w:val="0"/>
                <w:szCs w:val="21"/>
              </w:rPr>
              <w:t>3.3.3款规定</w:t>
            </w:r>
            <w:r>
              <w:rPr>
                <w:rFonts w:hint="eastAsia" w:ascii="宋体" w:hAnsi="宋体" w:cs="宋体"/>
                <w:kern w:val="0"/>
                <w:szCs w:val="21"/>
              </w:rPr>
              <w:t>。</w:t>
            </w:r>
          </w:p>
        </w:tc>
        <w:tc>
          <w:tcPr>
            <w:tcW w:w="0" w:type="auto"/>
            <w:tcBorders>
              <w:top w:val="single" w:color="auto" w:sz="4" w:space="0"/>
              <w:left w:val="single" w:color="auto" w:sz="4" w:space="0"/>
              <w:bottom w:val="single" w:color="auto" w:sz="4" w:space="0"/>
              <w:right w:val="single" w:color="auto" w:sz="4" w:space="0"/>
            </w:tcBorders>
            <w:vAlign w:val="center"/>
          </w:tcPr>
          <w:p w14:paraId="15C2BF59">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6B3378A5">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30A83E70">
            <w:pPr>
              <w:adjustRightInd w:val="0"/>
              <w:snapToGrid w:val="0"/>
              <w:spacing w:after="0" w:line="240" w:lineRule="auto"/>
              <w:ind w:left="339"/>
              <w:jc w:val="center"/>
              <w:rPr>
                <w:rFonts w:hint="eastAsia" w:ascii="宋体" w:hAnsi="宋体"/>
              </w:rPr>
            </w:pPr>
          </w:p>
        </w:tc>
      </w:tr>
      <w:tr w14:paraId="2B7DAE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643" w:type="dxa"/>
            <w:vMerge w:val="continue"/>
            <w:tcBorders>
              <w:right w:val="single" w:color="auto" w:sz="4" w:space="0"/>
            </w:tcBorders>
            <w:vAlign w:val="center"/>
          </w:tcPr>
          <w:p w14:paraId="06E693AF">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56BC58FF">
            <w:pPr>
              <w:tabs>
                <w:tab w:val="left" w:pos="7380"/>
              </w:tabs>
              <w:adjustRightInd w:val="0"/>
              <w:snapToGrid w:val="0"/>
              <w:spacing w:after="0" w:line="240" w:lineRule="auto"/>
              <w:rPr>
                <w:rFonts w:hint="eastAsia" w:ascii="宋体" w:hAnsi="宋体"/>
              </w:rPr>
            </w:pPr>
            <w:r>
              <w:rPr>
                <w:rFonts w:hint="eastAsia" w:ascii="宋体" w:hAnsi="宋体"/>
                <w:lang w:val="en-US" w:eastAsia="zh-CN"/>
              </w:rPr>
              <w:t>7</w:t>
            </w:r>
            <w:r>
              <w:rPr>
                <w:rFonts w:hint="eastAsia" w:ascii="宋体" w:hAnsi="宋体"/>
              </w:rPr>
              <w:t>、投标文件没有招标文件中规定的其它无效投标条款的。</w:t>
            </w:r>
          </w:p>
        </w:tc>
        <w:tc>
          <w:tcPr>
            <w:tcW w:w="0" w:type="auto"/>
            <w:tcBorders>
              <w:top w:val="single" w:color="auto" w:sz="4" w:space="0"/>
              <w:left w:val="single" w:color="auto" w:sz="4" w:space="0"/>
              <w:bottom w:val="single" w:color="auto" w:sz="4" w:space="0"/>
              <w:right w:val="single" w:color="auto" w:sz="4" w:space="0"/>
            </w:tcBorders>
            <w:vAlign w:val="center"/>
          </w:tcPr>
          <w:p w14:paraId="12AEFFDD">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5E9A70DD">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65E8B53C">
            <w:pPr>
              <w:adjustRightInd w:val="0"/>
              <w:snapToGrid w:val="0"/>
              <w:spacing w:after="0" w:line="240" w:lineRule="auto"/>
              <w:ind w:left="339"/>
              <w:jc w:val="center"/>
              <w:rPr>
                <w:rFonts w:hint="eastAsia" w:ascii="宋体" w:hAnsi="宋体"/>
              </w:rPr>
            </w:pPr>
          </w:p>
        </w:tc>
      </w:tr>
      <w:tr w14:paraId="46417F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643" w:type="dxa"/>
            <w:vMerge w:val="continue"/>
            <w:tcBorders>
              <w:bottom w:val="single" w:color="auto" w:sz="4" w:space="0"/>
              <w:right w:val="single" w:color="auto" w:sz="4" w:space="0"/>
            </w:tcBorders>
            <w:vAlign w:val="center"/>
          </w:tcPr>
          <w:p w14:paraId="75C3CE4E">
            <w:pPr>
              <w:adjustRightInd w:val="0"/>
              <w:snapToGrid w:val="0"/>
              <w:spacing w:after="0" w:line="240" w:lineRule="auto"/>
              <w:jc w:val="center"/>
              <w:rPr>
                <w:rFonts w:hint="eastAsia" w:ascii="宋体" w:hAnsi="宋体"/>
                <w:szCs w:val="21"/>
              </w:rPr>
            </w:pPr>
          </w:p>
        </w:tc>
        <w:tc>
          <w:tcPr>
            <w:tcW w:w="6433" w:type="dxa"/>
            <w:tcBorders>
              <w:top w:val="single" w:color="auto" w:sz="4" w:space="0"/>
              <w:left w:val="single" w:color="auto" w:sz="4" w:space="0"/>
              <w:bottom w:val="single" w:color="auto" w:sz="4" w:space="0"/>
              <w:right w:val="single" w:color="auto" w:sz="4" w:space="0"/>
            </w:tcBorders>
            <w:vAlign w:val="center"/>
          </w:tcPr>
          <w:p w14:paraId="4701888E">
            <w:pPr>
              <w:tabs>
                <w:tab w:val="left" w:pos="7380"/>
              </w:tabs>
              <w:adjustRightInd w:val="0"/>
              <w:snapToGrid w:val="0"/>
              <w:spacing w:after="0" w:line="240" w:lineRule="auto"/>
              <w:rPr>
                <w:rFonts w:hint="eastAsia" w:ascii="宋体" w:hAnsi="宋体"/>
                <w:lang w:val="en-US" w:eastAsia="zh-CN"/>
              </w:rPr>
            </w:pPr>
            <w:r>
              <w:rPr>
                <w:rFonts w:hint="eastAsia" w:ascii="宋体" w:hAnsi="宋体"/>
                <w:lang w:val="en-US" w:eastAsia="zh-CN"/>
              </w:rPr>
              <w:t>8</w:t>
            </w:r>
            <w:r>
              <w:rPr>
                <w:rFonts w:hint="eastAsia" w:ascii="宋体" w:hAnsi="宋体"/>
              </w:rPr>
              <w:t>、</w:t>
            </w:r>
            <w:r>
              <w:t>投标文件对招标文件的实质性技术与商务的条款</w:t>
            </w:r>
            <w:r>
              <w:rPr>
                <w:rFonts w:hint="eastAsia"/>
              </w:rPr>
              <w:t>（</w:t>
            </w:r>
            <w:r>
              <w:t>即标注“★”号条款</w:t>
            </w:r>
            <w:r>
              <w:rPr>
                <w:rFonts w:hint="eastAsia"/>
              </w:rPr>
              <w:t>）</w:t>
            </w:r>
            <w:r>
              <w:t>无产生负偏离 ；</w:t>
            </w:r>
          </w:p>
        </w:tc>
        <w:tc>
          <w:tcPr>
            <w:tcW w:w="0" w:type="auto"/>
            <w:tcBorders>
              <w:top w:val="single" w:color="auto" w:sz="4" w:space="0"/>
              <w:left w:val="single" w:color="auto" w:sz="4" w:space="0"/>
              <w:bottom w:val="single" w:color="auto" w:sz="4" w:space="0"/>
              <w:right w:val="single" w:color="auto" w:sz="4" w:space="0"/>
            </w:tcBorders>
            <w:vAlign w:val="center"/>
          </w:tcPr>
          <w:p w14:paraId="00A33453">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2ED9E81E">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44B8FB87">
            <w:pPr>
              <w:adjustRightInd w:val="0"/>
              <w:snapToGrid w:val="0"/>
              <w:spacing w:after="0" w:line="240" w:lineRule="auto"/>
              <w:ind w:left="339"/>
              <w:jc w:val="center"/>
              <w:rPr>
                <w:rFonts w:hint="eastAsia" w:ascii="宋体" w:hAnsi="宋体"/>
              </w:rPr>
            </w:pPr>
          </w:p>
        </w:tc>
      </w:tr>
      <w:tr w14:paraId="23F4CE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0" w:type="auto"/>
            <w:gridSpan w:val="2"/>
            <w:tcBorders>
              <w:top w:val="single" w:color="auto" w:sz="4" w:space="0"/>
              <w:bottom w:val="single" w:color="auto" w:sz="4" w:space="0"/>
              <w:right w:val="single" w:color="auto" w:sz="4" w:space="0"/>
            </w:tcBorders>
            <w:vAlign w:val="center"/>
          </w:tcPr>
          <w:p w14:paraId="0FA290DE">
            <w:pPr>
              <w:adjustRightInd w:val="0"/>
              <w:snapToGrid w:val="0"/>
              <w:spacing w:after="0" w:line="240" w:lineRule="auto"/>
              <w:jc w:val="center"/>
              <w:rPr>
                <w:rFonts w:hint="eastAsia" w:ascii="宋体" w:hAnsi="宋体"/>
                <w:b/>
              </w:rPr>
            </w:pPr>
            <w:r>
              <w:rPr>
                <w:rFonts w:hint="eastAsia" w:ascii="宋体" w:hAnsi="宋体"/>
                <w:b/>
              </w:rPr>
              <w:t>结论</w:t>
            </w:r>
          </w:p>
        </w:tc>
        <w:tc>
          <w:tcPr>
            <w:tcW w:w="0" w:type="auto"/>
            <w:tcBorders>
              <w:top w:val="single" w:color="auto" w:sz="4" w:space="0"/>
              <w:left w:val="single" w:color="auto" w:sz="4" w:space="0"/>
              <w:bottom w:val="single" w:color="auto" w:sz="4" w:space="0"/>
              <w:right w:val="single" w:color="auto" w:sz="4" w:space="0"/>
            </w:tcBorders>
            <w:vAlign w:val="center"/>
          </w:tcPr>
          <w:p w14:paraId="6A9C57B5">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0ADDAA67">
            <w:pPr>
              <w:adjustRightInd w:val="0"/>
              <w:snapToGrid w:val="0"/>
              <w:spacing w:after="0" w:line="240" w:lineRule="auto"/>
              <w:ind w:left="339"/>
              <w:jc w:val="center"/>
              <w:rPr>
                <w:rFonts w:hint="eastAsia" w:ascii="宋体" w:hAnsi="宋体"/>
              </w:rPr>
            </w:pPr>
          </w:p>
        </w:tc>
        <w:tc>
          <w:tcPr>
            <w:tcW w:w="0" w:type="auto"/>
            <w:tcBorders>
              <w:top w:val="single" w:color="auto" w:sz="4" w:space="0"/>
              <w:left w:val="single" w:color="auto" w:sz="4" w:space="0"/>
              <w:bottom w:val="single" w:color="auto" w:sz="4" w:space="0"/>
              <w:right w:val="single" w:color="auto" w:sz="4" w:space="0"/>
            </w:tcBorders>
            <w:vAlign w:val="center"/>
          </w:tcPr>
          <w:p w14:paraId="74DED741">
            <w:pPr>
              <w:adjustRightInd w:val="0"/>
              <w:snapToGrid w:val="0"/>
              <w:spacing w:after="0" w:line="240" w:lineRule="auto"/>
              <w:ind w:left="339"/>
              <w:jc w:val="center"/>
              <w:rPr>
                <w:rFonts w:hint="eastAsia" w:ascii="宋体" w:hAnsi="宋体"/>
              </w:rPr>
            </w:pPr>
          </w:p>
        </w:tc>
      </w:tr>
      <w:bookmarkEnd w:id="622"/>
    </w:tbl>
    <w:p w14:paraId="019F0D94">
      <w:pPr>
        <w:ind w:left="124" w:hanging="124" w:hangingChars="59"/>
        <w:jc w:val="left"/>
        <w:rPr>
          <w:rFonts w:hint="eastAsia" w:ascii="宋体" w:hAnsi="宋体"/>
          <w:b/>
        </w:rPr>
      </w:pPr>
      <w:r>
        <w:rPr>
          <w:rFonts w:hint="eastAsia" w:ascii="宋体" w:hAnsi="宋体"/>
          <w:b/>
        </w:rPr>
        <w:t>注：如对本表中某种情形的评审意见不一致时，以评审委员会过半数成员的意见作为评审委员会对该情形的认定结论。对结论为“不通过”的响应，要说明原因。</w:t>
      </w:r>
    </w:p>
    <w:p w14:paraId="4DD8972B">
      <w:pPr>
        <w:pStyle w:val="42"/>
        <w:ind w:firstLine="280"/>
      </w:pPr>
    </w:p>
    <w:p w14:paraId="092C3381">
      <w:pPr>
        <w:rPr>
          <w:rFonts w:hint="eastAsia" w:ascii="宋体" w:hAnsi="宋体"/>
          <w:b/>
          <w:sz w:val="24"/>
        </w:rPr>
      </w:pPr>
      <w:bookmarkStart w:id="623" w:name="_Toc450489345"/>
      <w:r>
        <w:rPr>
          <w:rFonts w:hint="eastAsia" w:ascii="宋体" w:hAnsi="宋体"/>
          <w:b/>
          <w:sz w:val="24"/>
        </w:rPr>
        <w:br w:type="page"/>
      </w:r>
    </w:p>
    <w:p w14:paraId="7FC0837F">
      <w:pPr>
        <w:tabs>
          <w:tab w:val="left" w:pos="1440"/>
        </w:tabs>
        <w:spacing w:line="360" w:lineRule="auto"/>
        <w:ind w:firstLine="590" w:firstLineChars="245"/>
        <w:rPr>
          <w:rFonts w:hint="eastAsia" w:ascii="宋体" w:hAnsi="宋体"/>
          <w:b/>
          <w:sz w:val="24"/>
        </w:rPr>
      </w:pPr>
      <w:r>
        <w:rPr>
          <w:rFonts w:hint="eastAsia" w:ascii="宋体" w:hAnsi="宋体"/>
          <w:b/>
          <w:sz w:val="24"/>
        </w:rPr>
        <w:t>2.</w:t>
      </w:r>
      <w:r>
        <w:rPr>
          <w:rFonts w:ascii="宋体" w:hAnsi="宋体"/>
          <w:b/>
          <w:sz w:val="24"/>
        </w:rPr>
        <w:t>2详细评审</w:t>
      </w:r>
      <w:r>
        <w:rPr>
          <w:rFonts w:hint="eastAsia" w:ascii="宋体" w:hAnsi="宋体"/>
          <w:b/>
          <w:sz w:val="24"/>
        </w:rPr>
        <w:t>：</w:t>
      </w:r>
    </w:p>
    <w:tbl>
      <w:tblPr>
        <w:tblStyle w:val="44"/>
        <w:tblW w:w="0" w:type="auto"/>
        <w:tblInd w:w="-2" w:type="dxa"/>
        <w:tblLayout w:type="autofit"/>
        <w:tblCellMar>
          <w:top w:w="0" w:type="dxa"/>
          <w:left w:w="108" w:type="dxa"/>
          <w:bottom w:w="0" w:type="dxa"/>
          <w:right w:w="108" w:type="dxa"/>
        </w:tblCellMar>
      </w:tblPr>
      <w:tblGrid>
        <w:gridCol w:w="847"/>
        <w:gridCol w:w="450"/>
        <w:gridCol w:w="767"/>
        <w:gridCol w:w="534"/>
        <w:gridCol w:w="5926"/>
      </w:tblGrid>
      <w:tr w14:paraId="634BF875">
        <w:tblPrEx>
          <w:tblCellMar>
            <w:top w:w="0" w:type="dxa"/>
            <w:left w:w="108" w:type="dxa"/>
            <w:bottom w:w="0" w:type="dxa"/>
            <w:right w:w="108" w:type="dxa"/>
          </w:tblCellMar>
        </w:tblPrEx>
        <w:trPr>
          <w:trHeight w:val="90" w:hRule="atLeast"/>
        </w:trPr>
        <w:tc>
          <w:tcPr>
            <w:tcW w:w="0" w:type="auto"/>
            <w:gridSpan w:val="5"/>
            <w:tcBorders>
              <w:top w:val="single" w:color="auto" w:sz="4" w:space="0"/>
              <w:left w:val="single" w:color="auto" w:sz="4" w:space="0"/>
              <w:bottom w:val="single" w:color="auto" w:sz="4" w:space="0"/>
              <w:right w:val="single" w:color="auto" w:sz="4" w:space="0"/>
            </w:tcBorders>
            <w:vAlign w:val="center"/>
          </w:tcPr>
          <w:p w14:paraId="1781A2B7">
            <w:pPr>
              <w:widowControl/>
              <w:jc w:val="center"/>
              <w:rPr>
                <w:rFonts w:hint="eastAsia" w:ascii="宋体" w:hAnsi="宋体" w:cs="宋体"/>
                <w:b/>
                <w:bCs/>
                <w:kern w:val="0"/>
              </w:rPr>
            </w:pPr>
            <w:bookmarkStart w:id="624" w:name="_Hlk172278548"/>
            <w:r>
              <w:rPr>
                <w:rFonts w:hint="eastAsia" w:ascii="宋体" w:hAnsi="宋体" w:cs="宋体"/>
                <w:b/>
                <w:bCs/>
                <w:kern w:val="0"/>
                <w:sz w:val="28"/>
                <w:szCs w:val="28"/>
              </w:rPr>
              <w:t>详细评审表</w:t>
            </w:r>
          </w:p>
        </w:tc>
      </w:tr>
      <w:tr w14:paraId="174BC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exact"/>
        </w:trPr>
        <w:tc>
          <w:tcPr>
            <w:tcW w:w="0" w:type="auto"/>
            <w:vMerge w:val="restart"/>
            <w:vAlign w:val="center"/>
          </w:tcPr>
          <w:p w14:paraId="74878042">
            <w:pPr>
              <w:pStyle w:val="5"/>
              <w:autoSpaceDE/>
              <w:autoSpaceDN/>
              <w:snapToGrid w:val="0"/>
              <w:spacing w:after="0" w:line="240" w:lineRule="auto"/>
              <w:ind w:firstLine="0"/>
              <w:rPr>
                <w:rFonts w:hint="eastAsia" w:ascii="宋体" w:hAnsi="宋体" w:eastAsia="宋体" w:cs="宋体"/>
                <w:b/>
                <w:sz w:val="21"/>
                <w:szCs w:val="21"/>
              </w:rPr>
            </w:pPr>
            <w:r>
              <w:rPr>
                <w:rFonts w:hint="eastAsia" w:ascii="宋体" w:hAnsi="宋体" w:eastAsia="宋体" w:cs="宋体"/>
                <w:b/>
                <w:sz w:val="21"/>
                <w:szCs w:val="21"/>
              </w:rPr>
              <w:t>分值构成（总分100分）</w:t>
            </w:r>
          </w:p>
        </w:tc>
        <w:tc>
          <w:tcPr>
            <w:tcW w:w="0" w:type="auto"/>
            <w:tcBorders>
              <w:bottom w:val="single" w:color="auto" w:sz="4" w:space="0"/>
            </w:tcBorders>
            <w:vAlign w:val="center"/>
          </w:tcPr>
          <w:p w14:paraId="0D50696D">
            <w:pPr>
              <w:pStyle w:val="5"/>
              <w:autoSpaceDE/>
              <w:autoSpaceDN/>
              <w:snapToGrid w:val="0"/>
              <w:spacing w:after="0"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767" w:type="dxa"/>
            <w:tcBorders>
              <w:bottom w:val="single" w:color="auto" w:sz="4" w:space="0"/>
            </w:tcBorders>
            <w:vAlign w:val="center"/>
          </w:tcPr>
          <w:p w14:paraId="60E94167">
            <w:pPr>
              <w:pStyle w:val="5"/>
              <w:autoSpaceDE/>
              <w:autoSpaceDN/>
              <w:snapToGrid w:val="0"/>
              <w:spacing w:after="0"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评分内容</w:t>
            </w:r>
          </w:p>
        </w:tc>
        <w:tc>
          <w:tcPr>
            <w:tcW w:w="534" w:type="dxa"/>
            <w:tcBorders>
              <w:bottom w:val="single" w:color="auto" w:sz="4" w:space="0"/>
            </w:tcBorders>
            <w:vAlign w:val="center"/>
          </w:tcPr>
          <w:p w14:paraId="6F7EFF35">
            <w:pPr>
              <w:pStyle w:val="5"/>
              <w:autoSpaceDE/>
              <w:autoSpaceDN/>
              <w:snapToGrid w:val="0"/>
              <w:spacing w:after="0"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0" w:type="auto"/>
            <w:tcBorders>
              <w:bottom w:val="single" w:color="auto" w:sz="4" w:space="0"/>
            </w:tcBorders>
            <w:vAlign w:val="center"/>
          </w:tcPr>
          <w:p w14:paraId="76117894">
            <w:pPr>
              <w:pStyle w:val="5"/>
              <w:autoSpaceDE/>
              <w:autoSpaceDN/>
              <w:snapToGrid w:val="0"/>
              <w:spacing w:after="0"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评分标准</w:t>
            </w:r>
          </w:p>
        </w:tc>
      </w:tr>
      <w:tr w14:paraId="4DD27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exact"/>
        </w:trPr>
        <w:tc>
          <w:tcPr>
            <w:tcW w:w="0" w:type="auto"/>
            <w:vMerge w:val="continue"/>
            <w:tcBorders>
              <w:bottom w:val="single" w:color="auto" w:sz="4" w:space="0"/>
            </w:tcBorders>
            <w:vAlign w:val="center"/>
          </w:tcPr>
          <w:p w14:paraId="52387E5B">
            <w:pPr>
              <w:pStyle w:val="5"/>
              <w:autoSpaceDE/>
              <w:autoSpaceDN/>
              <w:snapToGrid w:val="0"/>
              <w:spacing w:after="0" w:line="240" w:lineRule="auto"/>
              <w:ind w:firstLine="0"/>
              <w:rPr>
                <w:rFonts w:hint="eastAsia" w:ascii="宋体" w:hAnsi="宋体" w:eastAsia="宋体" w:cs="宋体"/>
                <w:b/>
                <w:sz w:val="21"/>
                <w:szCs w:val="21"/>
              </w:rPr>
            </w:pPr>
          </w:p>
        </w:tc>
        <w:tc>
          <w:tcPr>
            <w:tcW w:w="0" w:type="auto"/>
            <w:gridSpan w:val="4"/>
            <w:tcBorders>
              <w:bottom w:val="single" w:color="auto" w:sz="4" w:space="0"/>
            </w:tcBorders>
            <w:vAlign w:val="center"/>
          </w:tcPr>
          <w:p w14:paraId="5C544837">
            <w:pPr>
              <w:pStyle w:val="5"/>
              <w:autoSpaceDE/>
              <w:autoSpaceDN/>
              <w:snapToGrid w:val="0"/>
              <w:spacing w:after="0" w:line="240" w:lineRule="auto"/>
              <w:ind w:firstLine="0"/>
              <w:rPr>
                <w:rFonts w:hint="eastAsia" w:ascii="宋体" w:hAnsi="宋体" w:eastAsia="宋体" w:cs="宋体"/>
                <w:b/>
                <w:sz w:val="21"/>
                <w:szCs w:val="21"/>
              </w:rPr>
            </w:pPr>
            <w:r>
              <w:rPr>
                <w:rFonts w:hint="eastAsia" w:ascii="宋体" w:hAnsi="宋体" w:eastAsia="宋体" w:cs="宋体"/>
                <w:b/>
                <w:sz w:val="21"/>
                <w:szCs w:val="21"/>
              </w:rPr>
              <w:t>商务部分：35分</w:t>
            </w:r>
          </w:p>
          <w:p w14:paraId="28635A0C">
            <w:pPr>
              <w:pStyle w:val="5"/>
              <w:autoSpaceDE/>
              <w:autoSpaceDN/>
              <w:snapToGrid w:val="0"/>
              <w:spacing w:after="0" w:line="240" w:lineRule="auto"/>
              <w:ind w:firstLine="0"/>
              <w:rPr>
                <w:rFonts w:hint="eastAsia" w:ascii="宋体" w:hAnsi="宋体" w:eastAsia="宋体" w:cs="宋体"/>
                <w:b/>
                <w:sz w:val="21"/>
                <w:szCs w:val="21"/>
              </w:rPr>
            </w:pPr>
            <w:r>
              <w:rPr>
                <w:rFonts w:hint="eastAsia" w:ascii="宋体" w:hAnsi="宋体" w:eastAsia="宋体" w:cs="宋体"/>
                <w:b/>
                <w:sz w:val="21"/>
                <w:szCs w:val="21"/>
              </w:rPr>
              <w:t>技术部分：25分</w:t>
            </w:r>
          </w:p>
          <w:p w14:paraId="06823FB3">
            <w:pPr>
              <w:pStyle w:val="5"/>
              <w:autoSpaceDE/>
              <w:autoSpaceDN/>
              <w:snapToGrid w:val="0"/>
              <w:spacing w:after="0" w:line="240" w:lineRule="auto"/>
              <w:ind w:firstLine="0"/>
              <w:rPr>
                <w:rFonts w:hint="eastAsia" w:ascii="宋体" w:hAnsi="宋体" w:eastAsia="宋体" w:cs="宋体"/>
                <w:b/>
                <w:sz w:val="21"/>
                <w:szCs w:val="21"/>
              </w:rPr>
            </w:pPr>
            <w:r>
              <w:rPr>
                <w:rFonts w:hint="eastAsia" w:ascii="宋体" w:hAnsi="宋体" w:eastAsia="宋体" w:cs="宋体"/>
                <w:b/>
                <w:sz w:val="21"/>
                <w:szCs w:val="21"/>
              </w:rPr>
              <w:t>价格部分：40分</w:t>
            </w:r>
          </w:p>
        </w:tc>
      </w:tr>
      <w:tr w14:paraId="3880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4" w:hRule="exact"/>
        </w:trPr>
        <w:tc>
          <w:tcPr>
            <w:tcW w:w="0" w:type="auto"/>
            <w:vMerge w:val="restart"/>
            <w:tcBorders>
              <w:top w:val="single" w:color="auto" w:sz="4" w:space="0"/>
              <w:left w:val="single" w:color="auto" w:sz="4" w:space="0"/>
              <w:right w:val="single" w:color="auto" w:sz="4" w:space="0"/>
            </w:tcBorders>
            <w:vAlign w:val="center"/>
          </w:tcPr>
          <w:p w14:paraId="1E6531AC">
            <w:pPr>
              <w:adjustRightInd w:val="0"/>
              <w:snapToGrid w:val="0"/>
              <w:spacing w:after="0" w:line="240" w:lineRule="auto"/>
              <w:jc w:val="center"/>
              <w:rPr>
                <w:rFonts w:hint="eastAsia" w:ascii="宋体" w:hAnsi="宋体" w:cs="宋体"/>
                <w:szCs w:val="21"/>
              </w:rPr>
            </w:pPr>
            <w:r>
              <w:rPr>
                <w:rFonts w:hint="eastAsia" w:ascii="宋体" w:hAnsi="宋体" w:cs="宋体"/>
                <w:szCs w:val="21"/>
              </w:rPr>
              <w:t>商务部分（满分35分）</w:t>
            </w:r>
          </w:p>
        </w:tc>
        <w:tc>
          <w:tcPr>
            <w:tcW w:w="0" w:type="auto"/>
            <w:tcBorders>
              <w:top w:val="single" w:color="auto" w:sz="4" w:space="0"/>
              <w:left w:val="single" w:color="auto" w:sz="4" w:space="0"/>
              <w:bottom w:val="single" w:color="auto" w:sz="4" w:space="0"/>
              <w:right w:val="single" w:color="auto" w:sz="4" w:space="0"/>
            </w:tcBorders>
            <w:vAlign w:val="center"/>
          </w:tcPr>
          <w:p w14:paraId="2B2F5A4B">
            <w:pPr>
              <w:adjustRightInd w:val="0"/>
              <w:snapToGrid w:val="0"/>
              <w:spacing w:after="0" w:line="240" w:lineRule="auto"/>
              <w:jc w:val="center"/>
              <w:rPr>
                <w:rFonts w:hint="eastAsia" w:ascii="宋体" w:hAnsi="宋体" w:cs="宋体"/>
                <w:szCs w:val="21"/>
              </w:rPr>
            </w:pPr>
            <w:r>
              <w:rPr>
                <w:rFonts w:ascii="宋体" w:hAnsi="宋体" w:cs="宋体"/>
                <w:szCs w:val="21"/>
              </w:rPr>
              <w:t>1</w:t>
            </w:r>
          </w:p>
        </w:tc>
        <w:tc>
          <w:tcPr>
            <w:tcW w:w="767" w:type="dxa"/>
            <w:tcBorders>
              <w:top w:val="single" w:color="auto" w:sz="4" w:space="0"/>
              <w:left w:val="single" w:color="auto" w:sz="4" w:space="0"/>
              <w:bottom w:val="single" w:color="auto" w:sz="4" w:space="0"/>
              <w:right w:val="single" w:color="auto" w:sz="4" w:space="0"/>
            </w:tcBorders>
            <w:vAlign w:val="center"/>
          </w:tcPr>
          <w:p w14:paraId="52A7BBAC">
            <w:pPr>
              <w:adjustRightInd w:val="0"/>
              <w:snapToGrid w:val="0"/>
              <w:spacing w:after="0" w:line="240" w:lineRule="auto"/>
              <w:jc w:val="center"/>
              <w:rPr>
                <w:rFonts w:hint="eastAsia" w:ascii="宋体" w:hAnsi="宋体"/>
                <w:szCs w:val="20"/>
              </w:rPr>
            </w:pPr>
            <w:r>
              <w:rPr>
                <w:rFonts w:hint="eastAsia" w:ascii="宋体" w:hAnsi="宋体" w:cs="宋体"/>
                <w:szCs w:val="21"/>
                <w:lang w:bidi="ar"/>
              </w:rPr>
              <w:t>产品参数</w:t>
            </w:r>
          </w:p>
        </w:tc>
        <w:tc>
          <w:tcPr>
            <w:tcW w:w="534" w:type="dxa"/>
            <w:tcBorders>
              <w:top w:val="single" w:color="auto" w:sz="4" w:space="0"/>
              <w:left w:val="single" w:color="auto" w:sz="4" w:space="0"/>
              <w:bottom w:val="single" w:color="auto" w:sz="4" w:space="0"/>
              <w:right w:val="single" w:color="auto" w:sz="4" w:space="0"/>
            </w:tcBorders>
            <w:vAlign w:val="center"/>
          </w:tcPr>
          <w:p w14:paraId="07D799D1">
            <w:pPr>
              <w:adjustRightInd w:val="0"/>
              <w:snapToGrid w:val="0"/>
              <w:spacing w:after="0" w:line="240" w:lineRule="auto"/>
              <w:jc w:val="center"/>
              <w:rPr>
                <w:rFonts w:hint="eastAsia" w:ascii="宋体" w:hAnsi="宋体" w:cs="宋体"/>
                <w:kern w:val="0"/>
                <w:szCs w:val="21"/>
              </w:rPr>
            </w:pPr>
            <w:r>
              <w:rPr>
                <w:rFonts w:hint="eastAsia" w:ascii="宋体" w:hAnsi="宋体" w:cs="宋体"/>
                <w:kern w:val="0"/>
                <w:szCs w:val="21"/>
                <w:lang w:bidi="ar"/>
              </w:rPr>
              <w:t>30</w:t>
            </w:r>
          </w:p>
        </w:tc>
        <w:tc>
          <w:tcPr>
            <w:tcW w:w="0" w:type="auto"/>
            <w:tcBorders>
              <w:top w:val="single" w:color="auto" w:sz="4" w:space="0"/>
              <w:left w:val="single" w:color="auto" w:sz="4" w:space="0"/>
              <w:bottom w:val="single" w:color="auto" w:sz="4" w:space="0"/>
              <w:right w:val="single" w:color="auto" w:sz="4" w:space="0"/>
            </w:tcBorders>
            <w:vAlign w:val="center"/>
          </w:tcPr>
          <w:p w14:paraId="7534A2B7">
            <w:pPr>
              <w:tabs>
                <w:tab w:val="left" w:pos="0"/>
                <w:tab w:val="left" w:pos="1134"/>
                <w:tab w:val="left" w:pos="8505"/>
              </w:tabs>
              <w:adjustRightInd w:val="0"/>
              <w:snapToGrid w:val="0"/>
              <w:spacing w:after="0" w:line="240" w:lineRule="auto"/>
              <w:textAlignment w:val="baseline"/>
              <w:rPr>
                <w:rFonts w:hint="eastAsia" w:ascii="宋体" w:hAnsi="宋体" w:cs="宋体"/>
                <w:szCs w:val="21"/>
              </w:rPr>
            </w:pPr>
            <w:r>
              <w:rPr>
                <w:rFonts w:hint="eastAsia" w:ascii="宋体" w:hAnsi="宋体" w:cs="宋体"/>
                <w:szCs w:val="21"/>
              </w:rPr>
              <w:t>第四章用户需求书六、货物清单 产品参数针对重要参数进行评审，▲条款共30个，每1项满足得1分。</w:t>
            </w:r>
          </w:p>
          <w:p w14:paraId="7F5344BB">
            <w:pPr>
              <w:tabs>
                <w:tab w:val="left" w:pos="0"/>
                <w:tab w:val="left" w:pos="1134"/>
                <w:tab w:val="left" w:pos="8505"/>
              </w:tabs>
              <w:adjustRightInd w:val="0"/>
              <w:snapToGrid w:val="0"/>
              <w:spacing w:after="0" w:line="240" w:lineRule="auto"/>
              <w:contextualSpacing/>
              <w:textAlignment w:val="baseline"/>
              <w:rPr>
                <w:rFonts w:hint="eastAsia" w:ascii="宋体" w:hAnsi="宋体" w:cs="宋体"/>
                <w:szCs w:val="21"/>
              </w:rPr>
            </w:pPr>
            <w:r>
              <w:t>注：1、投标人对所有技术参数要求均需提供佐证材料，否则视为不满足。 2、技术参数要求条款中有明确佐证材料要求的，按其要求提供。 3、技术参数要求条款中没有明确佐证材料要求的，投标人可提供以下任意一种佐证材料： （1）提供第三方检验（检测）机构出具的检验（检测）报告原件扫描件佐证（报告需加盖机构公章或检验检测专用章，并标注资质认定标志CMA或CNAS）。 （2）提供制造商公布（出具）的产品说明书原件或技术白皮书原件扫描件。 （3）提供制造商公布（出具）的产品彩页原件扫描件。 （4）提供我国政府部门（机构）出具的相关材料原件扫描件（如产品核准证书等）。 4、投标人提供的佐证材料应完整（如检测报告、技术白皮书、产品说明书及彩页等应提供整份完整的检测报告），不得仅提供材料中的部分内容。且材料的尺寸和清晰度应该能够清晰的在电脑上被阅读、识别和判断，否则将承担不利的评审后果。 5、若投标人提供的材料属于非中文描述的，还应按电子投标文件的语言要求条要求提供中文译本，否则不予认可。</w:t>
            </w:r>
          </w:p>
        </w:tc>
      </w:tr>
      <w:tr w14:paraId="6F41B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exact"/>
        </w:trPr>
        <w:tc>
          <w:tcPr>
            <w:tcW w:w="0" w:type="auto"/>
            <w:vMerge w:val="continue"/>
            <w:tcBorders>
              <w:left w:val="single" w:color="auto" w:sz="4" w:space="0"/>
              <w:bottom w:val="single" w:color="auto" w:sz="4" w:space="0"/>
              <w:right w:val="single" w:color="auto" w:sz="4" w:space="0"/>
            </w:tcBorders>
            <w:vAlign w:val="center"/>
          </w:tcPr>
          <w:p w14:paraId="3DD35E11">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70CC7981">
            <w:pPr>
              <w:adjustRightInd w:val="0"/>
              <w:snapToGrid w:val="0"/>
              <w:spacing w:after="0" w:line="240" w:lineRule="auto"/>
              <w:jc w:val="center"/>
              <w:rPr>
                <w:rFonts w:hint="eastAsia" w:ascii="宋体" w:hAnsi="宋体" w:cs="宋体"/>
                <w:szCs w:val="21"/>
              </w:rPr>
            </w:pPr>
            <w:r>
              <w:rPr>
                <w:rFonts w:hint="eastAsia" w:ascii="宋体" w:hAnsi="宋体" w:cs="宋体"/>
                <w:szCs w:val="21"/>
              </w:rPr>
              <w:t>2</w:t>
            </w:r>
          </w:p>
        </w:tc>
        <w:tc>
          <w:tcPr>
            <w:tcW w:w="767" w:type="dxa"/>
            <w:tcBorders>
              <w:top w:val="single" w:color="auto" w:sz="4" w:space="0"/>
              <w:left w:val="single" w:color="auto" w:sz="4" w:space="0"/>
              <w:bottom w:val="single" w:color="auto" w:sz="4" w:space="0"/>
              <w:right w:val="single" w:color="auto" w:sz="4" w:space="0"/>
            </w:tcBorders>
            <w:vAlign w:val="center"/>
          </w:tcPr>
          <w:p w14:paraId="6F5E4711">
            <w:pPr>
              <w:adjustRightInd w:val="0"/>
              <w:snapToGrid w:val="0"/>
              <w:spacing w:beforeAutospacing="1" w:after="0" w:line="273" w:lineRule="auto"/>
              <w:jc w:val="center"/>
              <w:rPr>
                <w:rFonts w:hint="eastAsia" w:ascii="宋体" w:hAnsi="宋体"/>
              </w:rPr>
            </w:pPr>
            <w:r>
              <w:rPr>
                <w:rFonts w:hint="eastAsia" w:ascii="宋体" w:hAnsi="宋体"/>
              </w:rPr>
              <w:t>团队人员</w:t>
            </w:r>
          </w:p>
        </w:tc>
        <w:tc>
          <w:tcPr>
            <w:tcW w:w="534" w:type="dxa"/>
            <w:tcBorders>
              <w:top w:val="single" w:color="auto" w:sz="4" w:space="0"/>
              <w:left w:val="single" w:color="auto" w:sz="4" w:space="0"/>
              <w:bottom w:val="single" w:color="auto" w:sz="4" w:space="0"/>
              <w:right w:val="single" w:color="auto" w:sz="4" w:space="0"/>
            </w:tcBorders>
            <w:vAlign w:val="center"/>
          </w:tcPr>
          <w:p w14:paraId="0ED94519">
            <w:pPr>
              <w:adjustRightInd w:val="0"/>
              <w:snapToGrid w:val="0"/>
              <w:spacing w:beforeAutospacing="1" w:after="0" w:line="273" w:lineRule="auto"/>
              <w:jc w:val="center"/>
              <w:rPr>
                <w:rFonts w:hint="eastAsia" w:ascii="宋体" w:hAnsi="宋体" w:cs="宋体"/>
                <w:kern w:val="0"/>
                <w:szCs w:val="21"/>
              </w:rPr>
            </w:pPr>
            <w:r>
              <w:rPr>
                <w:rFonts w:hint="eastAsia" w:ascii="宋体" w:hAnsi="宋体" w:cs="宋体"/>
                <w:kern w:val="0"/>
                <w:szCs w:val="21"/>
              </w:rPr>
              <w:t>5</w:t>
            </w:r>
          </w:p>
        </w:tc>
        <w:tc>
          <w:tcPr>
            <w:tcW w:w="0" w:type="auto"/>
            <w:tcBorders>
              <w:top w:val="single" w:color="auto" w:sz="4" w:space="0"/>
              <w:left w:val="single" w:color="auto" w:sz="4" w:space="0"/>
              <w:bottom w:val="single" w:color="auto" w:sz="4" w:space="0"/>
              <w:right w:val="single" w:color="auto" w:sz="4" w:space="0"/>
            </w:tcBorders>
            <w:vAlign w:val="center"/>
          </w:tcPr>
          <w:p w14:paraId="403C958A">
            <w:pPr>
              <w:pStyle w:val="81"/>
              <w:tabs>
                <w:tab w:val="left" w:pos="0"/>
                <w:tab w:val="left" w:pos="1134"/>
                <w:tab w:val="left" w:pos="8505"/>
              </w:tabs>
              <w:adjustRightInd w:val="0"/>
              <w:snapToGrid w:val="0"/>
              <w:spacing w:beforeAutospacing="1" w:after="0" w:line="240" w:lineRule="auto"/>
              <w:ind w:firstLine="0" w:firstLineChars="0"/>
              <w:textAlignment w:val="baseline"/>
            </w:pPr>
            <w:r>
              <w:rPr>
                <w:rFonts w:hint="eastAsia"/>
              </w:rPr>
              <w:t>1、拟派本项目的项目负责人具有电力或电气类或机电类专业高级工程师技术职称的得3分。2、除项目负责人外其他团队人员具有有效期内的特种作业操作证(高、低压电工作业)的每个得 2 分。</w:t>
            </w:r>
            <w:r>
              <w:rPr>
                <w:rFonts w:hint="eastAsia"/>
              </w:rPr>
              <w:br w:type="textWrapping"/>
            </w:r>
            <w:r>
              <w:rPr>
                <w:rFonts w:hint="eastAsia"/>
              </w:rPr>
              <w:t>注：本项最高得5分，须提供身份证、相关证书、近3个月在投标单位的社保明细证明扫描件。</w:t>
            </w:r>
          </w:p>
        </w:tc>
      </w:tr>
      <w:tr w14:paraId="104E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exact"/>
        </w:trPr>
        <w:tc>
          <w:tcPr>
            <w:tcW w:w="0" w:type="auto"/>
            <w:vMerge w:val="restart"/>
            <w:tcBorders>
              <w:top w:val="single" w:color="auto" w:sz="4" w:space="0"/>
              <w:left w:val="single" w:color="auto" w:sz="4" w:space="0"/>
              <w:right w:val="single" w:color="auto" w:sz="4" w:space="0"/>
            </w:tcBorders>
            <w:vAlign w:val="center"/>
          </w:tcPr>
          <w:p w14:paraId="472CB0E9">
            <w:pPr>
              <w:adjustRightInd w:val="0"/>
              <w:snapToGrid w:val="0"/>
              <w:spacing w:after="0" w:line="240" w:lineRule="auto"/>
              <w:jc w:val="center"/>
              <w:rPr>
                <w:rFonts w:hint="eastAsia" w:ascii="宋体" w:hAnsi="宋体" w:cs="宋体"/>
                <w:szCs w:val="21"/>
              </w:rPr>
            </w:pPr>
            <w:r>
              <w:rPr>
                <w:rFonts w:hint="eastAsia" w:ascii="宋体" w:hAnsi="宋体" w:cs="宋体"/>
                <w:szCs w:val="21"/>
              </w:rPr>
              <w:t>技术部分（满分25分）</w:t>
            </w:r>
          </w:p>
        </w:tc>
        <w:tc>
          <w:tcPr>
            <w:tcW w:w="0" w:type="auto"/>
            <w:tcBorders>
              <w:top w:val="single" w:color="auto" w:sz="4" w:space="0"/>
              <w:left w:val="single" w:color="auto" w:sz="4" w:space="0"/>
              <w:bottom w:val="single" w:color="auto" w:sz="4" w:space="0"/>
              <w:right w:val="single" w:color="auto" w:sz="4" w:space="0"/>
            </w:tcBorders>
            <w:vAlign w:val="center"/>
          </w:tcPr>
          <w:p w14:paraId="188BB622">
            <w:pPr>
              <w:adjustRightInd w:val="0"/>
              <w:snapToGrid w:val="0"/>
              <w:spacing w:after="0" w:line="240" w:lineRule="auto"/>
              <w:jc w:val="center"/>
              <w:rPr>
                <w:rFonts w:hint="eastAsia" w:ascii="宋体" w:hAnsi="宋体" w:cs="宋体"/>
                <w:szCs w:val="21"/>
              </w:rPr>
            </w:pPr>
            <w:r>
              <w:rPr>
                <w:rFonts w:hint="eastAsia" w:ascii="宋体" w:hAnsi="宋体" w:cs="宋体"/>
                <w:szCs w:val="21"/>
              </w:rPr>
              <w:t>1</w:t>
            </w:r>
          </w:p>
        </w:tc>
        <w:tc>
          <w:tcPr>
            <w:tcW w:w="767" w:type="dxa"/>
            <w:tcBorders>
              <w:top w:val="single" w:color="auto" w:sz="4" w:space="0"/>
              <w:left w:val="single" w:color="auto" w:sz="4" w:space="0"/>
              <w:bottom w:val="single" w:color="auto" w:sz="4" w:space="0"/>
              <w:right w:val="single" w:color="auto" w:sz="4" w:space="0"/>
            </w:tcBorders>
            <w:vAlign w:val="center"/>
          </w:tcPr>
          <w:p w14:paraId="42D707E0">
            <w:pPr>
              <w:adjustRightInd w:val="0"/>
              <w:snapToGrid w:val="0"/>
              <w:spacing w:after="0" w:line="240" w:lineRule="auto"/>
              <w:jc w:val="left"/>
              <w:rPr>
                <w:rFonts w:hint="eastAsia" w:ascii="宋体" w:hAnsi="宋体"/>
              </w:rPr>
            </w:pPr>
            <w:r>
              <w:rPr>
                <w:rFonts w:hint="eastAsia" w:ascii="宋体" w:hAnsi="宋体" w:cs="宋体"/>
                <w:bCs/>
                <w:szCs w:val="21"/>
              </w:rPr>
              <w:t>售后服务方案</w:t>
            </w:r>
          </w:p>
        </w:tc>
        <w:tc>
          <w:tcPr>
            <w:tcW w:w="534" w:type="dxa"/>
            <w:tcBorders>
              <w:top w:val="single" w:color="auto" w:sz="4" w:space="0"/>
              <w:left w:val="single" w:color="auto" w:sz="4" w:space="0"/>
              <w:bottom w:val="single" w:color="auto" w:sz="4" w:space="0"/>
              <w:right w:val="single" w:color="auto" w:sz="4" w:space="0"/>
            </w:tcBorders>
            <w:vAlign w:val="center"/>
          </w:tcPr>
          <w:p w14:paraId="4E55E7D4">
            <w:pPr>
              <w:adjustRightInd w:val="0"/>
              <w:snapToGrid w:val="0"/>
              <w:spacing w:after="0" w:line="240" w:lineRule="auto"/>
              <w:jc w:val="center"/>
              <w:rPr>
                <w:rFonts w:hint="eastAsia" w:ascii="宋体" w:hAnsi="宋体" w:cs="宋体"/>
                <w:kern w:val="0"/>
                <w:szCs w:val="21"/>
              </w:rPr>
            </w:pPr>
            <w:r>
              <w:rPr>
                <w:rFonts w:ascii="宋体" w:hAnsi="宋体" w:cs="宋体"/>
                <w:kern w:val="0"/>
                <w:szCs w:val="21"/>
              </w:rPr>
              <w:t>8</w:t>
            </w:r>
          </w:p>
        </w:tc>
        <w:tc>
          <w:tcPr>
            <w:tcW w:w="0" w:type="auto"/>
            <w:tcBorders>
              <w:top w:val="single" w:color="auto" w:sz="4" w:space="0"/>
              <w:left w:val="single" w:color="auto" w:sz="4" w:space="0"/>
              <w:bottom w:val="single" w:color="auto" w:sz="4" w:space="0"/>
              <w:right w:val="single" w:color="auto" w:sz="4" w:space="0"/>
            </w:tcBorders>
            <w:vAlign w:val="center"/>
          </w:tcPr>
          <w:p w14:paraId="50AB867B">
            <w:pPr>
              <w:tabs>
                <w:tab w:val="left" w:pos="0"/>
                <w:tab w:val="left" w:pos="1134"/>
                <w:tab w:val="left" w:pos="8505"/>
              </w:tabs>
              <w:adjustRightInd w:val="0"/>
              <w:snapToGrid w:val="0"/>
              <w:spacing w:after="0" w:line="240" w:lineRule="auto"/>
              <w:textAlignment w:val="baseline"/>
              <w:rPr>
                <w:rFonts w:hint="eastAsia" w:ascii="宋体" w:hAnsi="宋体" w:cs="宋体"/>
                <w:szCs w:val="21"/>
              </w:rPr>
            </w:pPr>
            <w:r>
              <w:rPr>
                <w:rFonts w:hint="eastAsia" w:ascii="宋体" w:hAnsi="宋体" w:cs="宋体"/>
                <w:szCs w:val="21"/>
              </w:rPr>
              <w:t>横向对比各投标人售后服务方案，根据售后服务方案详尽程度、可行性、及时性、优惠条件、质保期长短等进行综合评比：</w:t>
            </w:r>
          </w:p>
          <w:p w14:paraId="5F530E0C">
            <w:pPr>
              <w:adjustRightInd w:val="0"/>
              <w:snapToGrid w:val="0"/>
              <w:spacing w:after="0" w:line="240" w:lineRule="auto"/>
              <w:jc w:val="left"/>
              <w:rPr>
                <w:rFonts w:hint="eastAsia" w:ascii="宋体" w:hAnsi="宋体" w:cs="宋体"/>
                <w:szCs w:val="21"/>
              </w:rPr>
            </w:pPr>
            <w:r>
              <w:rPr>
                <w:rFonts w:hint="eastAsia" w:ascii="宋体" w:hAnsi="宋体" w:cs="宋体"/>
                <w:szCs w:val="21"/>
              </w:rPr>
              <w:t>优的得8（含）-6（不含）分，良的得4（不含）-6（含）分，一般的得2（不含）-4（含）分，差得0-2（含）分。未提供不得分。</w:t>
            </w:r>
          </w:p>
        </w:tc>
      </w:tr>
      <w:tr w14:paraId="31C39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8" w:hRule="exact"/>
        </w:trPr>
        <w:tc>
          <w:tcPr>
            <w:tcW w:w="0" w:type="auto"/>
            <w:vMerge w:val="continue"/>
            <w:tcBorders>
              <w:left w:val="single" w:color="auto" w:sz="4" w:space="0"/>
              <w:right w:val="single" w:color="auto" w:sz="4" w:space="0"/>
            </w:tcBorders>
            <w:vAlign w:val="center"/>
          </w:tcPr>
          <w:p w14:paraId="3C50EBC1">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07711BE4">
            <w:pPr>
              <w:adjustRightInd w:val="0"/>
              <w:snapToGrid w:val="0"/>
              <w:spacing w:after="0" w:line="240" w:lineRule="auto"/>
              <w:jc w:val="center"/>
              <w:rPr>
                <w:rFonts w:hint="eastAsia" w:ascii="宋体" w:hAnsi="宋体" w:cs="宋体"/>
                <w:szCs w:val="21"/>
              </w:rPr>
            </w:pPr>
            <w:r>
              <w:rPr>
                <w:rFonts w:hint="eastAsia" w:ascii="宋体" w:hAnsi="宋体" w:cs="宋体"/>
                <w:szCs w:val="21"/>
              </w:rPr>
              <w:t>2</w:t>
            </w:r>
          </w:p>
        </w:tc>
        <w:tc>
          <w:tcPr>
            <w:tcW w:w="767" w:type="dxa"/>
            <w:tcBorders>
              <w:top w:val="single" w:color="auto" w:sz="4" w:space="0"/>
              <w:left w:val="single" w:color="auto" w:sz="4" w:space="0"/>
              <w:bottom w:val="single" w:color="auto" w:sz="4" w:space="0"/>
              <w:right w:val="single" w:color="auto" w:sz="4" w:space="0"/>
            </w:tcBorders>
            <w:vAlign w:val="center"/>
          </w:tcPr>
          <w:p w14:paraId="1947A5F7">
            <w:pPr>
              <w:adjustRightInd w:val="0"/>
              <w:snapToGrid w:val="0"/>
              <w:spacing w:after="0" w:line="240" w:lineRule="auto"/>
              <w:jc w:val="center"/>
              <w:rPr>
                <w:rFonts w:hint="eastAsia" w:ascii="宋体" w:hAnsi="宋体" w:cs="宋体"/>
                <w:szCs w:val="21"/>
              </w:rPr>
            </w:pPr>
            <w:r>
              <w:rPr>
                <w:rFonts w:hint="eastAsia" w:ascii="宋体" w:hAnsi="宋体" w:cs="宋体"/>
                <w:szCs w:val="21"/>
              </w:rPr>
              <w:t>供货措施</w:t>
            </w:r>
          </w:p>
        </w:tc>
        <w:tc>
          <w:tcPr>
            <w:tcW w:w="534" w:type="dxa"/>
            <w:tcBorders>
              <w:top w:val="single" w:color="auto" w:sz="4" w:space="0"/>
              <w:left w:val="single" w:color="auto" w:sz="4" w:space="0"/>
              <w:bottom w:val="single" w:color="auto" w:sz="4" w:space="0"/>
              <w:right w:val="single" w:color="auto" w:sz="4" w:space="0"/>
            </w:tcBorders>
            <w:vAlign w:val="center"/>
          </w:tcPr>
          <w:p w14:paraId="6CB6A7AE">
            <w:pPr>
              <w:adjustRightInd w:val="0"/>
              <w:snapToGrid w:val="0"/>
              <w:spacing w:after="0" w:line="240" w:lineRule="auto"/>
              <w:jc w:val="center"/>
              <w:rPr>
                <w:rFonts w:hint="eastAsia" w:ascii="宋体" w:hAnsi="宋体" w:cs="宋体"/>
                <w:kern w:val="0"/>
                <w:szCs w:val="21"/>
              </w:rPr>
            </w:pPr>
            <w:r>
              <w:rPr>
                <w:rFonts w:ascii="宋体" w:hAnsi="宋体" w:cs="宋体"/>
                <w:kern w:val="0"/>
                <w:szCs w:val="21"/>
              </w:rPr>
              <w:t>8</w:t>
            </w:r>
          </w:p>
        </w:tc>
        <w:tc>
          <w:tcPr>
            <w:tcW w:w="0" w:type="auto"/>
            <w:tcBorders>
              <w:top w:val="single" w:color="auto" w:sz="4" w:space="0"/>
              <w:left w:val="single" w:color="auto" w:sz="4" w:space="0"/>
              <w:bottom w:val="single" w:color="auto" w:sz="4" w:space="0"/>
              <w:right w:val="single" w:color="auto" w:sz="4" w:space="0"/>
            </w:tcBorders>
            <w:vAlign w:val="center"/>
          </w:tcPr>
          <w:p w14:paraId="364BABD5">
            <w:pPr>
              <w:tabs>
                <w:tab w:val="left" w:pos="0"/>
                <w:tab w:val="left" w:pos="1134"/>
                <w:tab w:val="left" w:pos="8505"/>
              </w:tabs>
              <w:adjustRightInd w:val="0"/>
              <w:snapToGrid w:val="0"/>
              <w:spacing w:after="0" w:line="240" w:lineRule="auto"/>
              <w:textAlignment w:val="baseline"/>
              <w:rPr>
                <w:rFonts w:hint="eastAsia" w:ascii="宋体" w:hAnsi="宋体" w:cs="宋体"/>
                <w:szCs w:val="21"/>
              </w:rPr>
            </w:pPr>
            <w:r>
              <w:rPr>
                <w:rFonts w:hint="eastAsia" w:ascii="宋体" w:hAnsi="宋体" w:cs="宋体"/>
                <w:szCs w:val="21"/>
              </w:rPr>
              <w:t>横向对比投标人项目总体的供货实施方案：主要考察投标人项目管理机构、安装指导能力、整体供货方案、运输装卸能力和满足招标人供货要求的措施及承诺的内容等进行评比：</w:t>
            </w:r>
          </w:p>
          <w:p w14:paraId="100BDA55">
            <w:pPr>
              <w:tabs>
                <w:tab w:val="left" w:pos="0"/>
                <w:tab w:val="left" w:pos="1134"/>
                <w:tab w:val="left" w:pos="8505"/>
              </w:tabs>
              <w:adjustRightInd w:val="0"/>
              <w:snapToGrid w:val="0"/>
              <w:spacing w:after="0" w:line="240" w:lineRule="auto"/>
              <w:textAlignment w:val="baseline"/>
              <w:rPr>
                <w:rFonts w:hint="eastAsia" w:ascii="宋体" w:hAnsi="宋体" w:cs="宋体"/>
                <w:szCs w:val="21"/>
              </w:rPr>
            </w:pPr>
            <w:r>
              <w:rPr>
                <w:rFonts w:hint="eastAsia" w:ascii="宋体" w:hAnsi="宋体" w:cs="宋体"/>
                <w:szCs w:val="21"/>
              </w:rPr>
              <w:t>优的得</w:t>
            </w:r>
            <w:r>
              <w:rPr>
                <w:rFonts w:ascii="宋体" w:hAnsi="宋体" w:cs="宋体"/>
                <w:szCs w:val="21"/>
              </w:rPr>
              <w:t>8</w:t>
            </w:r>
            <w:r>
              <w:rPr>
                <w:rFonts w:hint="eastAsia" w:ascii="宋体" w:hAnsi="宋体" w:cs="宋体"/>
                <w:szCs w:val="21"/>
              </w:rPr>
              <w:t>（含）-</w:t>
            </w:r>
            <w:r>
              <w:rPr>
                <w:rFonts w:ascii="宋体" w:hAnsi="宋体" w:cs="宋体"/>
                <w:szCs w:val="21"/>
              </w:rPr>
              <w:t>6</w:t>
            </w:r>
            <w:r>
              <w:rPr>
                <w:rFonts w:hint="eastAsia" w:ascii="宋体" w:hAnsi="宋体" w:cs="宋体"/>
                <w:szCs w:val="21"/>
              </w:rPr>
              <w:t>（不含）分，良的得</w:t>
            </w:r>
            <w:r>
              <w:rPr>
                <w:rFonts w:ascii="宋体" w:hAnsi="宋体" w:cs="宋体"/>
                <w:szCs w:val="21"/>
              </w:rPr>
              <w:t>4</w:t>
            </w:r>
            <w:r>
              <w:rPr>
                <w:rFonts w:hint="eastAsia" w:ascii="宋体" w:hAnsi="宋体" w:cs="宋体"/>
                <w:szCs w:val="21"/>
              </w:rPr>
              <w:t>（不含）-</w:t>
            </w:r>
            <w:r>
              <w:rPr>
                <w:rFonts w:ascii="宋体" w:hAnsi="宋体" w:cs="宋体"/>
                <w:szCs w:val="21"/>
              </w:rPr>
              <w:t>6</w:t>
            </w:r>
            <w:r>
              <w:rPr>
                <w:rFonts w:hint="eastAsia" w:ascii="宋体" w:hAnsi="宋体" w:cs="宋体"/>
                <w:szCs w:val="21"/>
              </w:rPr>
              <w:t>（含）分，一般的得</w:t>
            </w:r>
            <w:r>
              <w:rPr>
                <w:rFonts w:ascii="宋体" w:hAnsi="宋体" w:cs="宋体"/>
                <w:szCs w:val="21"/>
              </w:rPr>
              <w:t>2</w:t>
            </w:r>
            <w:r>
              <w:rPr>
                <w:rFonts w:hint="eastAsia" w:ascii="宋体" w:hAnsi="宋体" w:cs="宋体"/>
                <w:szCs w:val="21"/>
              </w:rPr>
              <w:t>（不含）</w:t>
            </w:r>
            <w:r>
              <w:rPr>
                <w:rFonts w:ascii="宋体" w:hAnsi="宋体" w:cs="宋体"/>
                <w:szCs w:val="21"/>
              </w:rPr>
              <w:t>-4</w:t>
            </w:r>
            <w:r>
              <w:rPr>
                <w:rFonts w:hint="eastAsia" w:ascii="宋体" w:hAnsi="宋体" w:cs="宋体"/>
                <w:szCs w:val="21"/>
              </w:rPr>
              <w:t>（含）分，差得0</w:t>
            </w:r>
            <w:r>
              <w:rPr>
                <w:rFonts w:ascii="宋体" w:hAnsi="宋体" w:cs="宋体"/>
                <w:szCs w:val="21"/>
              </w:rPr>
              <w:t>-2</w:t>
            </w:r>
            <w:r>
              <w:rPr>
                <w:rFonts w:hint="eastAsia" w:ascii="宋体" w:hAnsi="宋体" w:cs="宋体"/>
                <w:szCs w:val="21"/>
              </w:rPr>
              <w:t>（含）分。未提供不得分。</w:t>
            </w:r>
          </w:p>
        </w:tc>
      </w:tr>
      <w:tr w14:paraId="0F3BA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exact"/>
        </w:trPr>
        <w:tc>
          <w:tcPr>
            <w:tcW w:w="0" w:type="auto"/>
            <w:vMerge w:val="continue"/>
            <w:tcBorders>
              <w:left w:val="single" w:color="auto" w:sz="4" w:space="0"/>
              <w:bottom w:val="single" w:color="auto" w:sz="4" w:space="0"/>
              <w:right w:val="single" w:color="auto" w:sz="4" w:space="0"/>
            </w:tcBorders>
            <w:vAlign w:val="center"/>
          </w:tcPr>
          <w:p w14:paraId="38217B47">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778315ED">
            <w:pPr>
              <w:adjustRightInd w:val="0"/>
              <w:snapToGrid w:val="0"/>
              <w:spacing w:after="0" w:line="240" w:lineRule="auto"/>
              <w:jc w:val="center"/>
              <w:rPr>
                <w:rFonts w:hint="eastAsia" w:ascii="宋体" w:hAnsi="宋体" w:cs="宋体"/>
                <w:szCs w:val="21"/>
              </w:rPr>
            </w:pPr>
            <w:r>
              <w:rPr>
                <w:rFonts w:hint="eastAsia" w:ascii="宋体" w:hAnsi="宋体" w:cs="宋体"/>
                <w:szCs w:val="21"/>
              </w:rPr>
              <w:t>3</w:t>
            </w:r>
          </w:p>
        </w:tc>
        <w:tc>
          <w:tcPr>
            <w:tcW w:w="767" w:type="dxa"/>
            <w:tcBorders>
              <w:top w:val="single" w:color="auto" w:sz="4" w:space="0"/>
              <w:left w:val="single" w:color="auto" w:sz="4" w:space="0"/>
              <w:bottom w:val="single" w:color="auto" w:sz="4" w:space="0"/>
              <w:right w:val="single" w:color="auto" w:sz="4" w:space="0"/>
            </w:tcBorders>
            <w:vAlign w:val="center"/>
          </w:tcPr>
          <w:p w14:paraId="7AED1BB5">
            <w:pPr>
              <w:adjustRightInd w:val="0"/>
              <w:snapToGrid w:val="0"/>
              <w:spacing w:after="0" w:line="240" w:lineRule="auto"/>
              <w:jc w:val="center"/>
              <w:rPr>
                <w:rFonts w:hint="eastAsia" w:ascii="宋体" w:hAnsi="宋体" w:cs="宋体"/>
                <w:szCs w:val="21"/>
              </w:rPr>
            </w:pPr>
            <w:r>
              <w:rPr>
                <w:rFonts w:hint="eastAsia" w:ascii="宋体" w:hAnsi="宋体"/>
              </w:rPr>
              <w:t>质量保证</w:t>
            </w:r>
          </w:p>
        </w:tc>
        <w:tc>
          <w:tcPr>
            <w:tcW w:w="534" w:type="dxa"/>
            <w:tcBorders>
              <w:top w:val="single" w:color="auto" w:sz="4" w:space="0"/>
              <w:left w:val="single" w:color="auto" w:sz="4" w:space="0"/>
              <w:bottom w:val="single" w:color="auto" w:sz="4" w:space="0"/>
              <w:right w:val="single" w:color="auto" w:sz="4" w:space="0"/>
            </w:tcBorders>
            <w:vAlign w:val="center"/>
          </w:tcPr>
          <w:p w14:paraId="754CDD45">
            <w:pPr>
              <w:adjustRightInd w:val="0"/>
              <w:snapToGrid w:val="0"/>
              <w:spacing w:after="0" w:line="240" w:lineRule="auto"/>
              <w:jc w:val="center"/>
              <w:rPr>
                <w:rFonts w:hint="eastAsia" w:ascii="宋体" w:hAnsi="宋体" w:cs="宋体"/>
                <w:kern w:val="0"/>
                <w:szCs w:val="21"/>
              </w:rPr>
            </w:pPr>
            <w:r>
              <w:rPr>
                <w:rFonts w:hint="eastAsia" w:ascii="宋体" w:hAnsi="宋体" w:cs="宋体"/>
                <w:kern w:val="0"/>
                <w:szCs w:val="21"/>
              </w:rPr>
              <w:t>9</w:t>
            </w:r>
          </w:p>
        </w:tc>
        <w:tc>
          <w:tcPr>
            <w:tcW w:w="0" w:type="auto"/>
            <w:tcBorders>
              <w:top w:val="single" w:color="auto" w:sz="4" w:space="0"/>
              <w:left w:val="single" w:color="auto" w:sz="4" w:space="0"/>
              <w:bottom w:val="single" w:color="auto" w:sz="4" w:space="0"/>
              <w:right w:val="single" w:color="auto" w:sz="4" w:space="0"/>
            </w:tcBorders>
            <w:vAlign w:val="center"/>
          </w:tcPr>
          <w:p w14:paraId="20D19D46">
            <w:pPr>
              <w:adjustRightInd w:val="0"/>
              <w:snapToGrid w:val="0"/>
              <w:spacing w:after="0" w:line="240" w:lineRule="auto"/>
              <w:jc w:val="left"/>
              <w:rPr>
                <w:rFonts w:hint="eastAsia" w:ascii="宋体" w:hAnsi="宋体" w:cs="宋体"/>
                <w:szCs w:val="21"/>
              </w:rPr>
            </w:pPr>
            <w:r>
              <w:rPr>
                <w:rFonts w:hint="eastAsia" w:ascii="宋体" w:hAnsi="宋体" w:cs="宋体"/>
                <w:szCs w:val="21"/>
              </w:rPr>
              <w:t>横向对比投标人提供的质量保障实施方案（包括但不限于人员配备及安排、进度计划及保证措施、质量保证措施等）进行评比：</w:t>
            </w:r>
          </w:p>
          <w:p w14:paraId="248B4DFD">
            <w:pPr>
              <w:adjustRightInd w:val="0"/>
              <w:snapToGrid w:val="0"/>
              <w:spacing w:after="0" w:line="240" w:lineRule="auto"/>
              <w:jc w:val="left"/>
              <w:rPr>
                <w:rFonts w:hint="eastAsia" w:ascii="宋体" w:hAnsi="宋体" w:cs="宋体"/>
                <w:szCs w:val="21"/>
              </w:rPr>
            </w:pPr>
            <w:r>
              <w:rPr>
                <w:rFonts w:hint="eastAsia" w:ascii="宋体" w:hAnsi="宋体" w:cs="宋体"/>
                <w:szCs w:val="21"/>
              </w:rPr>
              <w:t>优的得9（含）-</w:t>
            </w:r>
            <w:r>
              <w:rPr>
                <w:rFonts w:ascii="宋体" w:hAnsi="宋体" w:cs="宋体"/>
                <w:szCs w:val="21"/>
              </w:rPr>
              <w:t>6</w:t>
            </w:r>
            <w:r>
              <w:rPr>
                <w:rFonts w:hint="eastAsia" w:ascii="宋体" w:hAnsi="宋体" w:cs="宋体"/>
                <w:szCs w:val="21"/>
              </w:rPr>
              <w:t>（不含）分，良的得</w:t>
            </w:r>
            <w:r>
              <w:rPr>
                <w:rFonts w:ascii="宋体" w:hAnsi="宋体" w:cs="宋体"/>
                <w:szCs w:val="21"/>
              </w:rPr>
              <w:t>4</w:t>
            </w:r>
            <w:r>
              <w:rPr>
                <w:rFonts w:hint="eastAsia" w:ascii="宋体" w:hAnsi="宋体" w:cs="宋体"/>
                <w:szCs w:val="21"/>
              </w:rPr>
              <w:t>（不含）-</w:t>
            </w:r>
            <w:r>
              <w:rPr>
                <w:rFonts w:ascii="宋体" w:hAnsi="宋体" w:cs="宋体"/>
                <w:szCs w:val="21"/>
              </w:rPr>
              <w:t>6</w:t>
            </w:r>
            <w:r>
              <w:rPr>
                <w:rFonts w:hint="eastAsia" w:ascii="宋体" w:hAnsi="宋体" w:cs="宋体"/>
                <w:szCs w:val="21"/>
              </w:rPr>
              <w:t>（含）分，一般的得</w:t>
            </w:r>
            <w:r>
              <w:rPr>
                <w:rFonts w:ascii="宋体" w:hAnsi="宋体" w:cs="宋体"/>
                <w:szCs w:val="21"/>
              </w:rPr>
              <w:t>2</w:t>
            </w:r>
            <w:r>
              <w:rPr>
                <w:rFonts w:hint="eastAsia" w:ascii="宋体" w:hAnsi="宋体" w:cs="宋体"/>
                <w:szCs w:val="21"/>
              </w:rPr>
              <w:t>（不含）</w:t>
            </w:r>
            <w:r>
              <w:rPr>
                <w:rFonts w:ascii="宋体" w:hAnsi="宋体" w:cs="宋体"/>
                <w:szCs w:val="21"/>
              </w:rPr>
              <w:t>-4</w:t>
            </w:r>
            <w:r>
              <w:rPr>
                <w:rFonts w:hint="eastAsia" w:ascii="宋体" w:hAnsi="宋体" w:cs="宋体"/>
                <w:szCs w:val="21"/>
              </w:rPr>
              <w:t>（含）分，差得0</w:t>
            </w:r>
            <w:r>
              <w:rPr>
                <w:rFonts w:ascii="宋体" w:hAnsi="宋体" w:cs="宋体"/>
                <w:szCs w:val="21"/>
              </w:rPr>
              <w:t>-2</w:t>
            </w:r>
            <w:r>
              <w:rPr>
                <w:rFonts w:hint="eastAsia" w:ascii="宋体" w:hAnsi="宋体" w:cs="宋体"/>
                <w:szCs w:val="21"/>
              </w:rPr>
              <w:t>（含）分。未提供不得分。</w:t>
            </w:r>
          </w:p>
        </w:tc>
      </w:tr>
      <w:tr w14:paraId="5CE61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8" w:hRule="atLeast"/>
        </w:trPr>
        <w:tc>
          <w:tcPr>
            <w:tcW w:w="0" w:type="auto"/>
            <w:vAlign w:val="center"/>
          </w:tcPr>
          <w:p w14:paraId="7EB426B9">
            <w:pPr>
              <w:widowControl/>
              <w:adjustRightInd w:val="0"/>
              <w:snapToGrid w:val="0"/>
              <w:spacing w:after="0" w:line="240" w:lineRule="auto"/>
              <w:rPr>
                <w:rFonts w:hint="eastAsia" w:ascii="宋体" w:hAnsi="宋体" w:cs="宋体"/>
                <w:szCs w:val="21"/>
              </w:rPr>
            </w:pPr>
            <w:r>
              <w:rPr>
                <w:rFonts w:hint="eastAsia" w:ascii="宋体" w:hAnsi="宋体" w:cs="宋体"/>
                <w:szCs w:val="21"/>
              </w:rPr>
              <w:t>价格部分（满分40分）</w:t>
            </w:r>
          </w:p>
        </w:tc>
        <w:tc>
          <w:tcPr>
            <w:tcW w:w="0" w:type="auto"/>
            <w:vAlign w:val="center"/>
          </w:tcPr>
          <w:p w14:paraId="603E9379">
            <w:pPr>
              <w:widowControl/>
              <w:adjustRightInd w:val="0"/>
              <w:snapToGrid w:val="0"/>
              <w:spacing w:after="0" w:line="240" w:lineRule="auto"/>
              <w:jc w:val="center"/>
              <w:rPr>
                <w:rFonts w:hint="eastAsia" w:ascii="宋体" w:hAnsi="宋体" w:cs="宋体"/>
                <w:szCs w:val="21"/>
              </w:rPr>
            </w:pPr>
            <w:r>
              <w:rPr>
                <w:rFonts w:hint="eastAsia" w:ascii="宋体" w:hAnsi="宋体" w:cs="宋体"/>
                <w:szCs w:val="21"/>
              </w:rPr>
              <w:t>1</w:t>
            </w:r>
          </w:p>
        </w:tc>
        <w:tc>
          <w:tcPr>
            <w:tcW w:w="767" w:type="dxa"/>
            <w:vAlign w:val="center"/>
          </w:tcPr>
          <w:p w14:paraId="5BAC63FE">
            <w:pPr>
              <w:widowControl/>
              <w:adjustRightInd w:val="0"/>
              <w:snapToGrid w:val="0"/>
              <w:spacing w:after="0" w:line="240" w:lineRule="auto"/>
              <w:jc w:val="center"/>
              <w:rPr>
                <w:rFonts w:hint="eastAsia" w:ascii="宋体" w:hAnsi="宋体" w:cs="宋体"/>
                <w:szCs w:val="21"/>
              </w:rPr>
            </w:pPr>
            <w:r>
              <w:rPr>
                <w:rFonts w:hint="eastAsia" w:ascii="宋体" w:hAnsi="宋体" w:cs="宋体"/>
                <w:szCs w:val="21"/>
              </w:rPr>
              <w:t>价格评审</w:t>
            </w:r>
          </w:p>
        </w:tc>
        <w:tc>
          <w:tcPr>
            <w:tcW w:w="534" w:type="dxa"/>
            <w:vAlign w:val="center"/>
          </w:tcPr>
          <w:p w14:paraId="7F84FBB5">
            <w:pPr>
              <w:widowControl/>
              <w:adjustRightInd w:val="0"/>
              <w:snapToGrid w:val="0"/>
              <w:spacing w:after="0" w:line="240" w:lineRule="auto"/>
              <w:jc w:val="center"/>
              <w:rPr>
                <w:rFonts w:hint="eastAsia" w:ascii="宋体" w:hAnsi="宋体" w:cstheme="minorEastAsia"/>
                <w:kern w:val="0"/>
                <w:szCs w:val="21"/>
              </w:rPr>
            </w:pPr>
            <w:r>
              <w:rPr>
                <w:rFonts w:hint="eastAsia" w:ascii="宋体" w:hAnsi="宋体" w:cstheme="minorEastAsia"/>
                <w:kern w:val="0"/>
                <w:szCs w:val="21"/>
              </w:rPr>
              <w:t>40</w:t>
            </w:r>
          </w:p>
        </w:tc>
        <w:tc>
          <w:tcPr>
            <w:tcW w:w="0" w:type="auto"/>
            <w:vAlign w:val="center"/>
          </w:tcPr>
          <w:p w14:paraId="2BB9594C">
            <w:pPr>
              <w:adjustRightInd w:val="0"/>
              <w:snapToGrid w:val="0"/>
              <w:spacing w:after="0" w:line="240" w:lineRule="auto"/>
              <w:rPr>
                <w:rFonts w:hint="eastAsia" w:ascii="宋体" w:hAnsi="宋体" w:cs="宋体"/>
                <w:szCs w:val="21"/>
              </w:rPr>
            </w:pPr>
            <w:r>
              <w:rPr>
                <w:rFonts w:hint="eastAsia" w:ascii="宋体" w:hAnsi="宋体" w:cs="宋体"/>
                <w:szCs w:val="21"/>
              </w:rPr>
              <w:t>评审价格(Pi)=有效投标人的投标含税报价(元)。</w:t>
            </w:r>
          </w:p>
          <w:p w14:paraId="00A38CE8">
            <w:pPr>
              <w:adjustRightInd w:val="0"/>
              <w:snapToGrid w:val="0"/>
              <w:spacing w:after="0" w:line="240" w:lineRule="auto"/>
              <w:rPr>
                <w:rFonts w:hint="eastAsia" w:ascii="宋体" w:hAnsi="宋体" w:cs="宋体"/>
                <w:szCs w:val="21"/>
              </w:rPr>
            </w:pPr>
            <w:r>
              <w:rPr>
                <w:rFonts w:hint="eastAsia" w:ascii="宋体" w:hAnsi="宋体" w:cs="宋体"/>
                <w:szCs w:val="21"/>
              </w:rPr>
              <w:t>1)当有效投标人少于5家时取所有有效投标人的报价平均值作为基准价(记为 A) ；</w:t>
            </w:r>
          </w:p>
          <w:p w14:paraId="1D616106">
            <w:pPr>
              <w:adjustRightInd w:val="0"/>
              <w:snapToGrid w:val="0"/>
              <w:spacing w:after="0" w:line="240" w:lineRule="auto"/>
              <w:rPr>
                <w:rFonts w:hint="eastAsia" w:ascii="宋体" w:hAnsi="宋体" w:cs="宋体"/>
                <w:szCs w:val="21"/>
              </w:rPr>
            </w:pPr>
            <w:r>
              <w:rPr>
                <w:rFonts w:hint="eastAsia" w:ascii="宋体" w:hAnsi="宋体" w:cs="宋体"/>
                <w:szCs w:val="21"/>
              </w:rPr>
              <w:t>2)当有效投标人大于或等于 5 家时，有效投标人的报价去掉一个最高和一个最低，计算其余投标人报价平均值(作为基准价 (记为 A) ;</w:t>
            </w:r>
          </w:p>
          <w:p w14:paraId="3BD3D442">
            <w:pPr>
              <w:adjustRightInd w:val="0"/>
              <w:snapToGrid w:val="0"/>
              <w:spacing w:after="0" w:line="240" w:lineRule="auto"/>
              <w:rPr>
                <w:rFonts w:hint="eastAsia" w:ascii="宋体" w:hAnsi="宋体" w:cs="宋体"/>
                <w:szCs w:val="21"/>
              </w:rPr>
            </w:pPr>
            <w:r>
              <w:rPr>
                <w:rFonts w:hint="eastAsia" w:ascii="宋体" w:hAnsi="宋体" w:cs="宋体"/>
                <w:szCs w:val="21"/>
              </w:rPr>
              <w:t>3) 评分计算办法: 将基准价 (A) 与各投标人的评审价格(Pi) 比较，以基准价 (A) 为 40 分计算。评审价格 Pi 等于基准价 (A) 得满分，评审价格 Pi 每高于基准价 (A) 1%扣0.4 分，计算公式得分 Si=40-|Pi-A|/A*100*0.4; 评审价格 Pi 每低于基准价 (A) 1%扣 0.2 分，计算公式得分Si=40-|A-Pi|/A*100*0.2。</w:t>
            </w:r>
          </w:p>
          <w:p w14:paraId="4882CC58">
            <w:pPr>
              <w:adjustRightInd w:val="0"/>
              <w:snapToGrid w:val="0"/>
              <w:spacing w:after="0" w:line="240" w:lineRule="auto"/>
              <w:rPr>
                <w:rFonts w:hint="eastAsia" w:ascii="宋体" w:hAnsi="宋体" w:cstheme="minorEastAsia"/>
                <w:szCs w:val="21"/>
              </w:rPr>
            </w:pPr>
            <w:r>
              <w:rPr>
                <w:rFonts w:hint="eastAsia" w:ascii="宋体" w:hAnsi="宋体" w:cs="宋体"/>
                <w:szCs w:val="21"/>
              </w:rPr>
              <w:t>以上计算均四舍五入保留2位小数。</w:t>
            </w:r>
          </w:p>
        </w:tc>
      </w:tr>
      <w:tr w14:paraId="27C99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0" w:type="auto"/>
            <w:vAlign w:val="center"/>
          </w:tcPr>
          <w:p w14:paraId="0328B4AE">
            <w:pPr>
              <w:widowControl/>
              <w:adjustRightInd w:val="0"/>
              <w:snapToGrid w:val="0"/>
              <w:spacing w:after="0" w:line="240" w:lineRule="auto"/>
              <w:jc w:val="center"/>
              <w:rPr>
                <w:rFonts w:hint="eastAsia" w:ascii="宋体" w:hAnsi="宋体" w:cs="宋体"/>
                <w:b/>
                <w:szCs w:val="21"/>
              </w:rPr>
            </w:pPr>
          </w:p>
        </w:tc>
        <w:tc>
          <w:tcPr>
            <w:tcW w:w="1217" w:type="dxa"/>
            <w:gridSpan w:val="2"/>
            <w:vAlign w:val="center"/>
          </w:tcPr>
          <w:p w14:paraId="4BA81C3A">
            <w:pPr>
              <w:widowControl/>
              <w:adjustRightInd w:val="0"/>
              <w:snapToGrid w:val="0"/>
              <w:spacing w:after="0" w:line="240" w:lineRule="auto"/>
              <w:jc w:val="center"/>
              <w:rPr>
                <w:rFonts w:hint="eastAsia" w:ascii="宋体" w:hAnsi="宋体" w:cs="宋体"/>
                <w:b/>
                <w:szCs w:val="21"/>
              </w:rPr>
            </w:pPr>
            <w:r>
              <w:rPr>
                <w:rFonts w:hint="eastAsia" w:ascii="宋体" w:hAnsi="宋体" w:cs="宋体"/>
                <w:b/>
                <w:szCs w:val="21"/>
              </w:rPr>
              <w:t>合计</w:t>
            </w:r>
          </w:p>
        </w:tc>
        <w:tc>
          <w:tcPr>
            <w:tcW w:w="534" w:type="dxa"/>
            <w:vAlign w:val="center"/>
          </w:tcPr>
          <w:p w14:paraId="0B4FAC93">
            <w:pPr>
              <w:widowControl/>
              <w:adjustRightInd w:val="0"/>
              <w:snapToGrid w:val="0"/>
              <w:spacing w:after="0" w:line="240" w:lineRule="auto"/>
              <w:jc w:val="center"/>
              <w:rPr>
                <w:rFonts w:hint="eastAsia" w:ascii="宋体" w:hAnsi="宋体" w:cs="宋体"/>
                <w:b/>
                <w:szCs w:val="21"/>
              </w:rPr>
            </w:pPr>
            <w:r>
              <w:rPr>
                <w:rFonts w:hint="eastAsia" w:ascii="宋体" w:hAnsi="宋体" w:cs="宋体"/>
                <w:b/>
                <w:szCs w:val="21"/>
              </w:rPr>
              <w:t>100</w:t>
            </w:r>
          </w:p>
        </w:tc>
        <w:tc>
          <w:tcPr>
            <w:tcW w:w="0" w:type="auto"/>
            <w:vAlign w:val="center"/>
          </w:tcPr>
          <w:p w14:paraId="0A9C432B">
            <w:pPr>
              <w:widowControl/>
              <w:adjustRightInd w:val="0"/>
              <w:snapToGrid w:val="0"/>
              <w:spacing w:after="0" w:line="240" w:lineRule="auto"/>
              <w:rPr>
                <w:rFonts w:hint="eastAsia" w:ascii="宋体" w:hAnsi="宋体" w:cs="宋体"/>
                <w:b/>
                <w:szCs w:val="21"/>
              </w:rPr>
            </w:pPr>
          </w:p>
        </w:tc>
      </w:tr>
      <w:bookmarkEnd w:id="624"/>
    </w:tbl>
    <w:p w14:paraId="7AFA9699">
      <w:pPr>
        <w:tabs>
          <w:tab w:val="left" w:pos="1440"/>
        </w:tabs>
        <w:adjustRightInd w:val="0"/>
        <w:snapToGrid w:val="0"/>
        <w:spacing w:after="0" w:line="360" w:lineRule="auto"/>
        <w:ind w:firstLine="211" w:firstLineChars="100"/>
        <w:rPr>
          <w:rFonts w:hint="eastAsia" w:ascii="宋体" w:hAnsi="宋体" w:cstheme="minorEastAsia"/>
          <w:b/>
          <w:szCs w:val="21"/>
        </w:rPr>
      </w:pPr>
      <w:r>
        <w:rPr>
          <w:rFonts w:hint="eastAsia" w:ascii="宋体" w:hAnsi="宋体" w:cstheme="minorEastAsia"/>
          <w:b/>
          <w:szCs w:val="21"/>
        </w:rPr>
        <w:t>计算总分</w:t>
      </w:r>
    </w:p>
    <w:p w14:paraId="7A70773F">
      <w:pPr>
        <w:pStyle w:val="17"/>
        <w:snapToGrid w:val="0"/>
        <w:spacing w:after="0" w:line="360" w:lineRule="auto"/>
        <w:ind w:left="0" w:firstLine="487" w:firstLineChars="232"/>
        <w:rPr>
          <w:rFonts w:hint="eastAsia" w:ascii="宋体" w:hAnsi="宋体" w:eastAsia="宋体" w:cstheme="minorEastAsia"/>
          <w:sz w:val="21"/>
          <w:szCs w:val="21"/>
        </w:rPr>
      </w:pPr>
      <w:r>
        <w:rPr>
          <w:rFonts w:hint="eastAsia" w:ascii="宋体" w:hAnsi="宋体" w:eastAsia="宋体" w:cstheme="minorEastAsia"/>
          <w:sz w:val="21"/>
          <w:szCs w:val="21"/>
        </w:rPr>
        <w:t>每个投标人的综合总得分＝技术商务部分得分+价格部分得分，每部分得分计算以四舍五入的方式精确到小数点后两位。</w:t>
      </w:r>
    </w:p>
    <w:p w14:paraId="479B9BE8">
      <w:pPr>
        <w:pStyle w:val="17"/>
        <w:snapToGrid w:val="0"/>
        <w:spacing w:after="0" w:line="360" w:lineRule="auto"/>
        <w:ind w:left="0" w:firstLine="487" w:firstLineChars="232"/>
        <w:rPr>
          <w:rFonts w:hint="eastAsia" w:ascii="宋体" w:hAnsi="宋体" w:eastAsia="宋体" w:cstheme="minorEastAsia"/>
          <w:sz w:val="21"/>
          <w:szCs w:val="21"/>
        </w:rPr>
      </w:pPr>
      <w:r>
        <w:rPr>
          <w:rFonts w:hint="eastAsia" w:ascii="宋体" w:hAnsi="宋体" w:eastAsia="宋体" w:cstheme="minorEastAsia"/>
          <w:sz w:val="21"/>
          <w:szCs w:val="21"/>
        </w:rPr>
        <w:t>技术商务部分得分为各评委所评该部分得分平均值。</w:t>
      </w:r>
    </w:p>
    <w:p w14:paraId="37B8DC0A">
      <w:pPr>
        <w:pStyle w:val="17"/>
        <w:snapToGrid w:val="0"/>
        <w:spacing w:after="0" w:line="360" w:lineRule="auto"/>
        <w:ind w:left="0" w:firstLine="487" w:firstLineChars="232"/>
        <w:rPr>
          <w:rFonts w:hint="eastAsia" w:ascii="宋体" w:hAnsi="宋体" w:eastAsia="宋体" w:cstheme="minorEastAsia"/>
          <w:sz w:val="21"/>
          <w:szCs w:val="21"/>
        </w:rPr>
      </w:pPr>
      <w:r>
        <w:rPr>
          <w:rFonts w:hint="eastAsia" w:ascii="宋体" w:hAnsi="宋体" w:eastAsia="宋体" w:cstheme="minorEastAsia"/>
          <w:sz w:val="21"/>
          <w:szCs w:val="21"/>
        </w:rPr>
        <w:t>按评审总得分由高至低排出各有效投标的名次（出现评审总得分并列时，</w:t>
      </w:r>
      <w:r>
        <w:rPr>
          <w:rFonts w:hint="eastAsia" w:ascii="宋体" w:hAnsi="宋体" w:eastAsia="宋体" w:cs="宋体"/>
          <w:sz w:val="21"/>
          <w:szCs w:val="21"/>
        </w:rPr>
        <w:t>投标价格得分高</w:t>
      </w:r>
      <w:r>
        <w:rPr>
          <w:rFonts w:hint="eastAsia" w:ascii="宋体" w:hAnsi="宋体" w:eastAsia="宋体" w:cstheme="minorEastAsia"/>
          <w:sz w:val="21"/>
          <w:szCs w:val="21"/>
        </w:rPr>
        <w:t>的投标人名次靠前；若评审总得分和评审价</w:t>
      </w:r>
      <w:r>
        <w:rPr>
          <w:rFonts w:hint="eastAsia" w:ascii="宋体" w:hAnsi="宋体" w:eastAsia="宋体" w:cs="宋体"/>
          <w:sz w:val="21"/>
          <w:szCs w:val="21"/>
        </w:rPr>
        <w:t>得分</w:t>
      </w:r>
      <w:r>
        <w:rPr>
          <w:rFonts w:hint="eastAsia" w:ascii="宋体" w:hAnsi="宋体" w:eastAsia="宋体" w:cstheme="minorEastAsia"/>
          <w:sz w:val="21"/>
          <w:szCs w:val="21"/>
        </w:rPr>
        <w:t>都相同，由评审委员会投票决定排名先后）。</w:t>
      </w:r>
    </w:p>
    <w:p w14:paraId="49DE2D6B">
      <w:pPr>
        <w:adjustRightInd w:val="0"/>
        <w:snapToGrid w:val="0"/>
        <w:spacing w:after="0" w:line="360" w:lineRule="auto"/>
        <w:rPr>
          <w:rFonts w:hint="eastAsia" w:ascii="宋体" w:hAnsi="宋体" w:cstheme="minorEastAsia"/>
          <w:szCs w:val="21"/>
        </w:rPr>
      </w:pPr>
      <w:r>
        <w:rPr>
          <w:rFonts w:hint="eastAsia" w:ascii="宋体" w:hAnsi="宋体" w:cstheme="minorEastAsia"/>
          <w:szCs w:val="21"/>
        </w:rPr>
        <w:t>说明：1.所有通过形式评审、资格评审、投标性评审的投标人的投标文件进行详细评审。</w:t>
      </w:r>
    </w:p>
    <w:p w14:paraId="6B814E24">
      <w:pPr>
        <w:adjustRightInd w:val="0"/>
        <w:snapToGrid w:val="0"/>
        <w:spacing w:after="0" w:line="360" w:lineRule="auto"/>
        <w:ind w:firstLine="630" w:firstLineChars="300"/>
        <w:rPr>
          <w:rFonts w:hint="eastAsia" w:ascii="宋体" w:hAnsi="宋体" w:cstheme="minorEastAsia"/>
          <w:szCs w:val="21"/>
        </w:rPr>
      </w:pPr>
      <w:r>
        <w:rPr>
          <w:rFonts w:hint="eastAsia" w:ascii="宋体" w:hAnsi="宋体" w:cstheme="minorEastAsia"/>
          <w:szCs w:val="21"/>
        </w:rPr>
        <w:t>2. 综合得分=报价得分+商务技术得分。</w:t>
      </w:r>
    </w:p>
    <w:p w14:paraId="5A9FA6F9">
      <w:pPr>
        <w:adjustRightInd w:val="0"/>
        <w:snapToGrid w:val="0"/>
        <w:spacing w:after="0" w:line="360" w:lineRule="auto"/>
        <w:ind w:firstLine="630" w:firstLineChars="300"/>
        <w:rPr>
          <w:rFonts w:hint="eastAsia" w:ascii="宋体" w:hAnsi="宋体" w:cstheme="minorEastAsia"/>
          <w:szCs w:val="21"/>
        </w:rPr>
      </w:pPr>
    </w:p>
    <w:p w14:paraId="39D58DE0">
      <w:pPr>
        <w:pStyle w:val="99"/>
        <w:numPr>
          <w:ilvl w:val="0"/>
          <w:numId w:val="1"/>
        </w:numPr>
        <w:adjustRightInd w:val="0"/>
        <w:spacing w:before="0" w:after="0" w:line="360" w:lineRule="auto"/>
        <w:ind w:left="0"/>
        <w:rPr>
          <w:rFonts w:hint="eastAsia" w:cstheme="minorEastAsia"/>
          <w:sz w:val="21"/>
          <w:szCs w:val="21"/>
        </w:rPr>
      </w:pPr>
      <w:bookmarkStart w:id="625" w:name="_Toc214432845"/>
      <w:bookmarkStart w:id="626" w:name="_Toc151663712"/>
      <w:r>
        <w:rPr>
          <w:rFonts w:hint="eastAsia" w:cstheme="minorEastAsia"/>
          <w:sz w:val="21"/>
          <w:szCs w:val="21"/>
        </w:rPr>
        <w:t>评审方法</w:t>
      </w:r>
      <w:bookmarkEnd w:id="623"/>
      <w:bookmarkEnd w:id="625"/>
      <w:bookmarkEnd w:id="626"/>
    </w:p>
    <w:p w14:paraId="50B0A809">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本招标项目评审采用综合评估法。评审委员会对满足招标文件实质要求的投标文件，根据本章第</w:t>
      </w:r>
      <w:r>
        <w:rPr>
          <w:rFonts w:ascii="宋体" w:hAnsi="宋体" w:cs="宋体"/>
          <w:szCs w:val="21"/>
        </w:rPr>
        <w:t>2.2</w:t>
      </w:r>
      <w:r>
        <w:rPr>
          <w:rFonts w:hint="eastAsia" w:ascii="宋体" w:hAnsi="宋体" w:cs="宋体"/>
          <w:szCs w:val="21"/>
        </w:rPr>
        <w:t>款规定的评分因素和评分标准进行评分，按照综合评分由高到低的顺序推荐中标候选人，或者根据招标人授权直接确定中标人，但投标报价低于其成本的除外。</w:t>
      </w:r>
    </w:p>
    <w:p w14:paraId="242B3D0F">
      <w:pPr>
        <w:adjustRightInd w:val="0"/>
        <w:snapToGrid w:val="0"/>
        <w:spacing w:after="0" w:line="360" w:lineRule="auto"/>
        <w:ind w:firstLine="420" w:firstLineChars="200"/>
        <w:rPr>
          <w:rFonts w:hint="eastAsia" w:ascii="宋体" w:hAnsi="宋体" w:cstheme="minorEastAsia"/>
          <w:szCs w:val="21"/>
        </w:rPr>
      </w:pPr>
    </w:p>
    <w:p w14:paraId="29D22F7C">
      <w:pPr>
        <w:pStyle w:val="99"/>
        <w:numPr>
          <w:ilvl w:val="0"/>
          <w:numId w:val="1"/>
        </w:numPr>
        <w:adjustRightInd w:val="0"/>
        <w:spacing w:before="0" w:after="0" w:line="360" w:lineRule="auto"/>
        <w:ind w:left="0"/>
        <w:rPr>
          <w:rFonts w:hint="eastAsia" w:cstheme="minorEastAsia"/>
          <w:sz w:val="21"/>
          <w:szCs w:val="21"/>
        </w:rPr>
      </w:pPr>
      <w:bookmarkStart w:id="627" w:name="_Toc450489346"/>
      <w:bookmarkStart w:id="628" w:name="_Toc214432846"/>
      <w:bookmarkStart w:id="629" w:name="_Toc151663713"/>
      <w:r>
        <w:rPr>
          <w:rFonts w:hint="eastAsia" w:cstheme="minorEastAsia"/>
          <w:sz w:val="21"/>
          <w:szCs w:val="21"/>
        </w:rPr>
        <w:t>评审标准</w:t>
      </w:r>
      <w:bookmarkEnd w:id="627"/>
      <w:bookmarkEnd w:id="628"/>
      <w:bookmarkEnd w:id="629"/>
    </w:p>
    <w:p w14:paraId="7F746303">
      <w:pPr>
        <w:pStyle w:val="4"/>
        <w:snapToGrid w:val="0"/>
        <w:spacing w:before="0" w:after="0" w:line="360" w:lineRule="auto"/>
        <w:rPr>
          <w:rFonts w:hint="eastAsia" w:ascii="宋体" w:hAnsi="宋体" w:eastAsia="宋体"/>
          <w:sz w:val="21"/>
          <w:szCs w:val="21"/>
        </w:rPr>
      </w:pPr>
      <w:bookmarkStart w:id="630" w:name="_Toc508963750"/>
      <w:bookmarkStart w:id="631" w:name="_Toc450489347"/>
      <w:r>
        <w:rPr>
          <w:rFonts w:ascii="宋体" w:hAnsi="宋体" w:eastAsia="宋体"/>
          <w:sz w:val="21"/>
          <w:szCs w:val="21"/>
        </w:rPr>
        <w:t>2.1</w:t>
      </w:r>
      <w:r>
        <w:rPr>
          <w:rFonts w:hint="eastAsia" w:ascii="宋体" w:hAnsi="宋体" w:eastAsia="宋体"/>
          <w:sz w:val="21"/>
          <w:szCs w:val="21"/>
        </w:rPr>
        <w:t>初步评审标准</w:t>
      </w:r>
      <w:bookmarkEnd w:id="630"/>
      <w:bookmarkEnd w:id="631"/>
    </w:p>
    <w:p w14:paraId="2F07686C">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初步评审标准：见评审办法前附表。</w:t>
      </w:r>
    </w:p>
    <w:p w14:paraId="4A3DB44D">
      <w:pPr>
        <w:pStyle w:val="4"/>
        <w:snapToGrid w:val="0"/>
        <w:spacing w:before="0" w:after="0" w:line="360" w:lineRule="auto"/>
        <w:rPr>
          <w:rFonts w:hint="eastAsia" w:ascii="宋体" w:hAnsi="宋体" w:eastAsia="宋体"/>
          <w:sz w:val="21"/>
          <w:szCs w:val="21"/>
        </w:rPr>
      </w:pPr>
      <w:bookmarkStart w:id="632" w:name="_Toc450489348"/>
      <w:bookmarkStart w:id="633" w:name="_Toc508963751"/>
      <w:r>
        <w:rPr>
          <w:rFonts w:ascii="宋体" w:hAnsi="宋体" w:eastAsia="宋体"/>
          <w:sz w:val="21"/>
          <w:szCs w:val="21"/>
        </w:rPr>
        <w:t>2.2</w:t>
      </w:r>
      <w:r>
        <w:rPr>
          <w:rFonts w:hint="eastAsia" w:ascii="宋体" w:hAnsi="宋体" w:eastAsia="宋体"/>
          <w:sz w:val="21"/>
          <w:szCs w:val="21"/>
        </w:rPr>
        <w:t>详细评审标准</w:t>
      </w:r>
      <w:bookmarkEnd w:id="632"/>
      <w:bookmarkEnd w:id="633"/>
    </w:p>
    <w:p w14:paraId="3C3AC93C">
      <w:pPr>
        <w:adjustRightInd w:val="0"/>
        <w:snapToGrid w:val="0"/>
        <w:spacing w:after="0" w:line="360" w:lineRule="auto"/>
        <w:ind w:firstLine="420" w:firstLineChars="200"/>
        <w:rPr>
          <w:rFonts w:hint="eastAsia" w:ascii="宋体" w:hAnsi="宋体" w:cs="宋体"/>
          <w:szCs w:val="21"/>
        </w:rPr>
      </w:pPr>
      <w:r>
        <w:rPr>
          <w:rFonts w:hint="eastAsia" w:ascii="宋体" w:hAnsi="宋体" w:cs="宋体"/>
          <w:szCs w:val="21"/>
        </w:rPr>
        <w:t>详细评审标准：见评审办法前附表。</w:t>
      </w:r>
    </w:p>
    <w:p w14:paraId="3646E5C7">
      <w:pPr>
        <w:pStyle w:val="99"/>
        <w:numPr>
          <w:ilvl w:val="0"/>
          <w:numId w:val="1"/>
        </w:numPr>
        <w:adjustRightInd w:val="0"/>
        <w:spacing w:before="0" w:after="0" w:line="360" w:lineRule="auto"/>
        <w:ind w:left="0"/>
        <w:rPr>
          <w:rFonts w:hint="eastAsia" w:cstheme="minorEastAsia"/>
          <w:sz w:val="21"/>
          <w:szCs w:val="21"/>
        </w:rPr>
      </w:pPr>
      <w:bookmarkStart w:id="634" w:name="_Toc151663714"/>
      <w:bookmarkStart w:id="635" w:name="_Toc450489349"/>
      <w:bookmarkStart w:id="636" w:name="_Toc214432847"/>
      <w:r>
        <w:rPr>
          <w:rFonts w:hint="eastAsia" w:cstheme="minorEastAsia"/>
          <w:sz w:val="21"/>
          <w:szCs w:val="21"/>
        </w:rPr>
        <w:t>评审程序</w:t>
      </w:r>
      <w:bookmarkEnd w:id="634"/>
      <w:bookmarkEnd w:id="635"/>
      <w:bookmarkEnd w:id="636"/>
    </w:p>
    <w:p w14:paraId="58E9DB1C">
      <w:pPr>
        <w:pStyle w:val="4"/>
        <w:snapToGrid w:val="0"/>
        <w:spacing w:before="0" w:after="0" w:line="360" w:lineRule="auto"/>
        <w:rPr>
          <w:rFonts w:hint="eastAsia" w:ascii="宋体" w:hAnsi="宋体" w:eastAsia="宋体"/>
          <w:sz w:val="21"/>
          <w:szCs w:val="21"/>
        </w:rPr>
      </w:pPr>
      <w:bookmarkStart w:id="637" w:name="_Toc508963753"/>
      <w:bookmarkStart w:id="638" w:name="_Toc450489350"/>
      <w:r>
        <w:rPr>
          <w:rFonts w:ascii="宋体" w:hAnsi="宋体" w:eastAsia="宋体"/>
          <w:sz w:val="21"/>
          <w:szCs w:val="21"/>
        </w:rPr>
        <w:t>3.1</w:t>
      </w:r>
      <w:r>
        <w:rPr>
          <w:rFonts w:hint="eastAsia" w:ascii="宋体" w:hAnsi="宋体" w:eastAsia="宋体"/>
          <w:sz w:val="21"/>
          <w:szCs w:val="21"/>
        </w:rPr>
        <w:t>初步评审</w:t>
      </w:r>
      <w:bookmarkEnd w:id="637"/>
      <w:bookmarkEnd w:id="638"/>
    </w:p>
    <w:p w14:paraId="1E879684">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3.1.1</w:t>
      </w:r>
      <w:r>
        <w:rPr>
          <w:rFonts w:hint="eastAsia" w:hAnsi="宋体"/>
          <w:szCs w:val="21"/>
        </w:rPr>
        <w:t>评审委员会根据本章第</w:t>
      </w:r>
      <w:r>
        <w:rPr>
          <w:rFonts w:hAnsi="宋体"/>
          <w:szCs w:val="21"/>
        </w:rPr>
        <w:t>2.1</w:t>
      </w:r>
      <w:r>
        <w:rPr>
          <w:rFonts w:hint="eastAsia" w:hAnsi="宋体"/>
          <w:szCs w:val="21"/>
        </w:rPr>
        <w:t>款规定的标准对投标文件进行初步评审。有一项不符合评审标准的，评审委员会应当否决其投标。</w:t>
      </w:r>
    </w:p>
    <w:p w14:paraId="52A61B85">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3.1.2</w:t>
      </w:r>
      <w:r>
        <w:rPr>
          <w:rFonts w:hint="eastAsia" w:hAnsi="宋体"/>
          <w:szCs w:val="21"/>
        </w:rPr>
        <w:t>投标人有以下情形之一的，评审委员会应当否决其投标：</w:t>
      </w:r>
    </w:p>
    <w:p w14:paraId="497AA7CA">
      <w:pPr>
        <w:pStyle w:val="22"/>
        <w:tabs>
          <w:tab w:val="left" w:pos="630"/>
        </w:tabs>
        <w:adjustRightInd w:val="0"/>
        <w:snapToGrid w:val="0"/>
        <w:spacing w:after="0" w:line="360" w:lineRule="auto"/>
        <w:ind w:firstLine="424" w:firstLineChars="202"/>
        <w:rPr>
          <w:rFonts w:hint="eastAsia" w:hAnsi="宋体"/>
          <w:szCs w:val="21"/>
        </w:rPr>
      </w:pPr>
      <w:r>
        <w:rPr>
          <w:rFonts w:hint="eastAsia" w:hAnsi="宋体"/>
          <w:szCs w:val="21"/>
        </w:rPr>
        <w:t>（</w:t>
      </w:r>
      <w:r>
        <w:rPr>
          <w:rFonts w:hAnsi="宋体"/>
          <w:szCs w:val="21"/>
        </w:rPr>
        <w:t>1</w:t>
      </w:r>
      <w:r>
        <w:rPr>
          <w:rFonts w:hint="eastAsia" w:hAnsi="宋体"/>
          <w:szCs w:val="21"/>
        </w:rPr>
        <w:t>）第二章“投标人须知”第</w:t>
      </w:r>
      <w:r>
        <w:rPr>
          <w:rFonts w:hAnsi="宋体"/>
          <w:szCs w:val="21"/>
        </w:rPr>
        <w:t>1.8</w:t>
      </w:r>
      <w:r>
        <w:rPr>
          <w:rFonts w:hint="eastAsia" w:hAnsi="宋体"/>
          <w:szCs w:val="21"/>
        </w:rPr>
        <w:t>款规定的任何一种情形的；</w:t>
      </w:r>
    </w:p>
    <w:p w14:paraId="0183CE7F">
      <w:pPr>
        <w:pStyle w:val="22"/>
        <w:tabs>
          <w:tab w:val="left" w:pos="630"/>
        </w:tabs>
        <w:adjustRightInd w:val="0"/>
        <w:snapToGrid w:val="0"/>
        <w:spacing w:after="0" w:line="360" w:lineRule="auto"/>
        <w:ind w:firstLine="424" w:firstLineChars="202"/>
        <w:rPr>
          <w:rFonts w:hint="eastAsia" w:hAnsi="宋体"/>
          <w:szCs w:val="21"/>
        </w:rPr>
      </w:pPr>
      <w:r>
        <w:rPr>
          <w:rFonts w:hint="eastAsia" w:hAnsi="宋体"/>
          <w:szCs w:val="21"/>
        </w:rPr>
        <w:t>（</w:t>
      </w:r>
      <w:r>
        <w:rPr>
          <w:rFonts w:hAnsi="宋体"/>
          <w:szCs w:val="21"/>
        </w:rPr>
        <w:t>2</w:t>
      </w:r>
      <w:r>
        <w:rPr>
          <w:rFonts w:hint="eastAsia" w:hAnsi="宋体"/>
          <w:szCs w:val="21"/>
        </w:rPr>
        <w:t>）不按照评审委员会要求澄清、说明</w:t>
      </w:r>
      <w:r>
        <w:rPr>
          <w:rFonts w:hint="eastAsia" w:hAnsi="宋体" w:cs="宋体"/>
          <w:szCs w:val="21"/>
        </w:rPr>
        <w:t>或者补正的；</w:t>
      </w:r>
    </w:p>
    <w:p w14:paraId="38959702">
      <w:pPr>
        <w:pStyle w:val="22"/>
        <w:tabs>
          <w:tab w:val="left" w:pos="630"/>
        </w:tabs>
        <w:adjustRightInd w:val="0"/>
        <w:snapToGrid w:val="0"/>
        <w:spacing w:after="0" w:line="360" w:lineRule="auto"/>
        <w:ind w:firstLine="424" w:firstLineChars="202"/>
        <w:rPr>
          <w:rFonts w:hint="eastAsia" w:hAnsi="宋体"/>
          <w:szCs w:val="21"/>
        </w:rPr>
      </w:pPr>
      <w:r>
        <w:rPr>
          <w:rFonts w:hint="eastAsia" w:hAnsi="宋体"/>
          <w:szCs w:val="21"/>
        </w:rPr>
        <w:t>（</w:t>
      </w:r>
      <w:r>
        <w:rPr>
          <w:rFonts w:hAnsi="宋体"/>
          <w:szCs w:val="21"/>
        </w:rPr>
        <w:t>3</w:t>
      </w:r>
      <w:r>
        <w:rPr>
          <w:rFonts w:hint="eastAsia" w:hAnsi="宋体"/>
          <w:szCs w:val="21"/>
        </w:rPr>
        <w:t>）投标文件未经投标单位盖章和单位负责人签字；</w:t>
      </w:r>
    </w:p>
    <w:p w14:paraId="5DCEFC65">
      <w:pPr>
        <w:adjustRightInd w:val="0"/>
        <w:snapToGrid w:val="0"/>
        <w:spacing w:after="0" w:line="360" w:lineRule="auto"/>
        <w:ind w:firstLine="424" w:firstLineChars="202"/>
        <w:rPr>
          <w:rFonts w:hint="eastAsia" w:ascii="宋体" w:hAnsi="宋体" w:cs="宋体"/>
          <w:szCs w:val="21"/>
        </w:rPr>
      </w:pPr>
      <w:r>
        <w:rPr>
          <w:rFonts w:hint="eastAsia" w:ascii="宋体" w:hAnsi="宋体" w:cs="宋体"/>
          <w:szCs w:val="21"/>
        </w:rPr>
        <w:t>（</w:t>
      </w:r>
      <w:r>
        <w:rPr>
          <w:rFonts w:ascii="宋体" w:hAnsi="宋体" w:cs="宋体"/>
          <w:szCs w:val="21"/>
        </w:rPr>
        <w:t>4</w:t>
      </w:r>
      <w:r>
        <w:rPr>
          <w:rFonts w:hint="eastAsia" w:ascii="宋体" w:hAnsi="宋体" w:cs="宋体"/>
          <w:szCs w:val="21"/>
        </w:rPr>
        <w:t>）允许联合体投标的，投标联合体没有递交共同投标协议；</w:t>
      </w:r>
    </w:p>
    <w:p w14:paraId="68B59DBC">
      <w:pPr>
        <w:pStyle w:val="22"/>
        <w:tabs>
          <w:tab w:val="left" w:pos="630"/>
        </w:tabs>
        <w:adjustRightInd w:val="0"/>
        <w:snapToGrid w:val="0"/>
        <w:spacing w:after="0" w:line="360" w:lineRule="auto"/>
        <w:ind w:firstLine="424" w:firstLineChars="202"/>
        <w:rPr>
          <w:rFonts w:hint="eastAsia" w:hAnsi="宋体"/>
          <w:szCs w:val="21"/>
        </w:rPr>
      </w:pPr>
      <w:r>
        <w:rPr>
          <w:rFonts w:hint="eastAsia" w:hAnsi="宋体"/>
          <w:szCs w:val="21"/>
        </w:rPr>
        <w:t>（</w:t>
      </w:r>
      <w:r>
        <w:rPr>
          <w:rFonts w:hAnsi="宋体"/>
          <w:szCs w:val="21"/>
        </w:rPr>
        <w:t>5</w:t>
      </w:r>
      <w:r>
        <w:rPr>
          <w:rFonts w:hint="eastAsia" w:hAnsi="宋体"/>
          <w:szCs w:val="21"/>
        </w:rPr>
        <w:t>）投标人不符合国家或者招标文件规定的资格条件；</w:t>
      </w:r>
    </w:p>
    <w:p w14:paraId="1A71167B">
      <w:pPr>
        <w:adjustRightInd w:val="0"/>
        <w:snapToGrid w:val="0"/>
        <w:spacing w:after="0" w:line="360" w:lineRule="auto"/>
        <w:ind w:firstLine="424" w:firstLineChars="202"/>
        <w:rPr>
          <w:rFonts w:hint="eastAsia" w:ascii="宋体" w:hAnsi="宋体" w:cs="宋体"/>
          <w:szCs w:val="21"/>
        </w:rPr>
      </w:pPr>
      <w:r>
        <w:rPr>
          <w:rFonts w:hint="eastAsia" w:ascii="宋体" w:hAnsi="宋体"/>
          <w:szCs w:val="21"/>
        </w:rPr>
        <w:t>（</w:t>
      </w:r>
      <w:r>
        <w:rPr>
          <w:rFonts w:ascii="宋体" w:hAnsi="宋体"/>
          <w:szCs w:val="21"/>
        </w:rPr>
        <w:t>6</w:t>
      </w:r>
      <w:r>
        <w:rPr>
          <w:rFonts w:hint="eastAsia" w:ascii="宋体" w:hAnsi="宋体"/>
          <w:szCs w:val="21"/>
        </w:rPr>
        <w:t>）同一投标人递交两个以上不同的投标文件或者投标报价，但招标文件要求递交备</w:t>
      </w:r>
      <w:r>
        <w:rPr>
          <w:rFonts w:hint="eastAsia" w:ascii="宋体" w:hAnsi="宋体" w:cs="宋体"/>
          <w:szCs w:val="21"/>
        </w:rPr>
        <w:t>选投标的除外；</w:t>
      </w:r>
    </w:p>
    <w:p w14:paraId="7F7836B6">
      <w:pPr>
        <w:pStyle w:val="22"/>
        <w:tabs>
          <w:tab w:val="left" w:pos="630"/>
        </w:tabs>
        <w:adjustRightInd w:val="0"/>
        <w:snapToGrid w:val="0"/>
        <w:spacing w:after="0" w:line="360" w:lineRule="auto"/>
        <w:ind w:firstLine="424" w:firstLineChars="202"/>
        <w:rPr>
          <w:rFonts w:hint="eastAsia" w:hAnsi="宋体"/>
          <w:szCs w:val="21"/>
        </w:rPr>
      </w:pPr>
      <w:r>
        <w:rPr>
          <w:rFonts w:hint="eastAsia" w:hAnsi="宋体"/>
          <w:szCs w:val="21"/>
        </w:rPr>
        <w:t>（</w:t>
      </w:r>
      <w:r>
        <w:rPr>
          <w:rFonts w:hAnsi="宋体"/>
          <w:szCs w:val="21"/>
        </w:rPr>
        <w:t>7</w:t>
      </w:r>
      <w:r>
        <w:rPr>
          <w:rFonts w:hint="eastAsia" w:hAnsi="宋体"/>
          <w:szCs w:val="21"/>
        </w:rPr>
        <w:t>）投标报价低于成本或者高于招标文件设定的最高投标限价；</w:t>
      </w:r>
    </w:p>
    <w:p w14:paraId="41D7CFA4">
      <w:pPr>
        <w:adjustRightInd w:val="0"/>
        <w:snapToGrid w:val="0"/>
        <w:spacing w:after="0" w:line="360" w:lineRule="auto"/>
        <w:ind w:firstLine="424" w:firstLineChars="202"/>
        <w:rPr>
          <w:rFonts w:hint="eastAsia" w:ascii="宋体" w:hAnsi="宋体" w:cs="宋体"/>
          <w:szCs w:val="21"/>
        </w:rPr>
      </w:pPr>
      <w:r>
        <w:rPr>
          <w:rFonts w:hint="eastAsia" w:ascii="宋体" w:hAnsi="宋体" w:cs="宋体"/>
          <w:szCs w:val="21"/>
        </w:rPr>
        <w:t>（</w:t>
      </w:r>
      <w:r>
        <w:rPr>
          <w:rFonts w:ascii="宋体" w:hAnsi="宋体" w:cs="宋体"/>
          <w:szCs w:val="21"/>
        </w:rPr>
        <w:t>8</w:t>
      </w:r>
      <w:r>
        <w:rPr>
          <w:rFonts w:hint="eastAsia" w:ascii="宋体" w:hAnsi="宋体" w:cs="宋体"/>
          <w:szCs w:val="21"/>
        </w:rPr>
        <w:t>）投标文件没有对招标文件的实质性要求和条件做出投标；</w:t>
      </w:r>
    </w:p>
    <w:p w14:paraId="0F45933C">
      <w:pPr>
        <w:pStyle w:val="22"/>
        <w:tabs>
          <w:tab w:val="left" w:pos="630"/>
        </w:tabs>
        <w:adjustRightInd w:val="0"/>
        <w:snapToGrid w:val="0"/>
        <w:spacing w:after="0" w:line="360" w:lineRule="auto"/>
        <w:ind w:firstLine="424" w:firstLineChars="202"/>
        <w:rPr>
          <w:rFonts w:hint="eastAsia" w:hAnsi="宋体"/>
          <w:szCs w:val="21"/>
        </w:rPr>
      </w:pPr>
      <w:r>
        <w:rPr>
          <w:rFonts w:hint="eastAsia" w:hAnsi="宋体"/>
          <w:szCs w:val="21"/>
        </w:rPr>
        <w:t>（</w:t>
      </w:r>
      <w:r>
        <w:rPr>
          <w:rFonts w:hAnsi="宋体"/>
          <w:szCs w:val="21"/>
        </w:rPr>
        <w:t>9</w:t>
      </w:r>
      <w:r>
        <w:rPr>
          <w:rFonts w:hint="eastAsia" w:hAnsi="宋体"/>
          <w:szCs w:val="21"/>
        </w:rPr>
        <w:t>）投标人有串通投标、弄虚作假、行贿等违法行为；</w:t>
      </w:r>
    </w:p>
    <w:p w14:paraId="7B2E114D">
      <w:pPr>
        <w:adjustRightInd w:val="0"/>
        <w:snapToGrid w:val="0"/>
        <w:spacing w:after="0" w:line="360" w:lineRule="auto"/>
        <w:ind w:firstLine="424" w:firstLineChars="202"/>
        <w:rPr>
          <w:rFonts w:hint="eastAsia" w:ascii="宋体" w:hAnsi="宋体" w:cs="宋体"/>
          <w:szCs w:val="21"/>
        </w:rPr>
      </w:pPr>
      <w:r>
        <w:rPr>
          <w:rFonts w:hint="eastAsia" w:ascii="宋体" w:hAnsi="宋体" w:cs="宋体"/>
          <w:szCs w:val="21"/>
        </w:rPr>
        <w:t>（</w:t>
      </w:r>
      <w:r>
        <w:rPr>
          <w:rFonts w:ascii="宋体" w:hAnsi="宋体" w:cs="宋体"/>
          <w:szCs w:val="21"/>
        </w:rPr>
        <w:t>10</w:t>
      </w:r>
      <w:r>
        <w:rPr>
          <w:rFonts w:hint="eastAsia" w:ascii="宋体" w:hAnsi="宋体" w:cs="宋体"/>
          <w:szCs w:val="21"/>
        </w:rPr>
        <w:t>）投标人以他人名义投标；</w:t>
      </w:r>
    </w:p>
    <w:p w14:paraId="315AB321">
      <w:pPr>
        <w:adjustRightInd w:val="0"/>
        <w:snapToGrid w:val="0"/>
        <w:spacing w:after="0" w:line="360" w:lineRule="auto"/>
        <w:ind w:firstLine="424" w:firstLineChars="202"/>
        <w:rPr>
          <w:rFonts w:hint="eastAsia" w:ascii="宋体" w:hAnsi="宋体" w:cs="宋体"/>
          <w:szCs w:val="21"/>
        </w:rPr>
      </w:pPr>
      <w:r>
        <w:rPr>
          <w:rFonts w:hint="eastAsia" w:ascii="宋体" w:hAnsi="宋体" w:cs="宋体"/>
          <w:szCs w:val="21"/>
        </w:rPr>
        <w:t>（</w:t>
      </w:r>
      <w:r>
        <w:rPr>
          <w:rFonts w:ascii="宋体" w:hAnsi="宋体" w:cs="宋体"/>
          <w:szCs w:val="21"/>
        </w:rPr>
        <w:t>11</w:t>
      </w:r>
      <w:r>
        <w:rPr>
          <w:rFonts w:hint="eastAsia" w:ascii="宋体" w:hAnsi="宋体" w:cs="宋体"/>
          <w:szCs w:val="21"/>
        </w:rPr>
        <w:t>）没有按照招标文件要求提供投标担保或者所提供的投标担保有瑕疵；</w:t>
      </w:r>
    </w:p>
    <w:p w14:paraId="7F96D213">
      <w:pPr>
        <w:pStyle w:val="22"/>
        <w:tabs>
          <w:tab w:val="left" w:pos="630"/>
        </w:tabs>
        <w:adjustRightInd w:val="0"/>
        <w:snapToGrid w:val="0"/>
        <w:spacing w:after="0" w:line="360" w:lineRule="auto"/>
        <w:ind w:firstLine="424" w:firstLineChars="202"/>
        <w:rPr>
          <w:rFonts w:hint="eastAsia" w:hAnsi="宋体"/>
          <w:szCs w:val="21"/>
        </w:rPr>
      </w:pPr>
      <w:r>
        <w:rPr>
          <w:rFonts w:hint="eastAsia" w:hAnsi="宋体"/>
          <w:szCs w:val="21"/>
        </w:rPr>
        <w:t>（</w:t>
      </w:r>
      <w:r>
        <w:rPr>
          <w:rFonts w:hAnsi="宋体"/>
          <w:szCs w:val="21"/>
        </w:rPr>
        <w:t>12</w:t>
      </w:r>
      <w:r>
        <w:rPr>
          <w:rFonts w:hint="eastAsia" w:hAnsi="宋体"/>
          <w:szCs w:val="21"/>
        </w:rPr>
        <w:t>）投标文件载明的采购项目完成期限超过招标文件规定的期限；</w:t>
      </w:r>
    </w:p>
    <w:p w14:paraId="580621FB">
      <w:pPr>
        <w:adjustRightInd w:val="0"/>
        <w:snapToGrid w:val="0"/>
        <w:spacing w:after="0" w:line="360" w:lineRule="auto"/>
        <w:ind w:firstLine="424" w:firstLineChars="202"/>
        <w:rPr>
          <w:rFonts w:hint="eastAsia" w:ascii="宋体" w:hAnsi="宋体" w:cs="宋体"/>
          <w:szCs w:val="21"/>
        </w:rPr>
      </w:pPr>
      <w:r>
        <w:rPr>
          <w:rFonts w:hint="eastAsia" w:ascii="宋体" w:hAnsi="宋体" w:cs="宋体"/>
          <w:szCs w:val="21"/>
        </w:rPr>
        <w:t>（</w:t>
      </w:r>
      <w:r>
        <w:rPr>
          <w:rFonts w:ascii="宋体" w:hAnsi="宋体" w:cs="宋体"/>
          <w:szCs w:val="21"/>
        </w:rPr>
        <w:t>13</w:t>
      </w:r>
      <w:r>
        <w:rPr>
          <w:rFonts w:hint="eastAsia" w:ascii="宋体" w:hAnsi="宋体" w:cs="宋体"/>
          <w:szCs w:val="21"/>
        </w:rPr>
        <w:t>）明显不符合技术规格、技术标准的要求；</w:t>
      </w:r>
    </w:p>
    <w:p w14:paraId="7E52766B">
      <w:pPr>
        <w:adjustRightInd w:val="0"/>
        <w:snapToGrid w:val="0"/>
        <w:spacing w:after="0" w:line="360" w:lineRule="auto"/>
        <w:ind w:firstLine="424" w:firstLineChars="202"/>
        <w:rPr>
          <w:rFonts w:hint="eastAsia" w:ascii="宋体" w:hAnsi="宋体" w:cs="宋体"/>
          <w:szCs w:val="21"/>
        </w:rPr>
      </w:pPr>
      <w:r>
        <w:rPr>
          <w:rFonts w:hint="eastAsia" w:ascii="宋体" w:hAnsi="宋体" w:cs="宋体"/>
          <w:szCs w:val="21"/>
        </w:rPr>
        <w:t>（</w:t>
      </w:r>
      <w:r>
        <w:rPr>
          <w:rFonts w:ascii="宋体" w:hAnsi="宋体" w:cs="宋体"/>
          <w:szCs w:val="21"/>
        </w:rPr>
        <w:t>14</w:t>
      </w:r>
      <w:r>
        <w:rPr>
          <w:rFonts w:hint="eastAsia" w:ascii="宋体" w:hAnsi="宋体" w:cs="宋体"/>
          <w:szCs w:val="21"/>
        </w:rPr>
        <w:t>）投标文件载明的货物包装方式、检验标准和方法等不符合招标文件的要求；</w:t>
      </w:r>
    </w:p>
    <w:p w14:paraId="3C95D7B7">
      <w:pPr>
        <w:adjustRightInd w:val="0"/>
        <w:snapToGrid w:val="0"/>
        <w:spacing w:after="0" w:line="360" w:lineRule="auto"/>
        <w:ind w:firstLine="424" w:firstLineChars="202"/>
        <w:rPr>
          <w:rFonts w:hint="eastAsia" w:ascii="宋体" w:hAnsi="宋体" w:cs="宋体"/>
          <w:szCs w:val="21"/>
        </w:rPr>
      </w:pPr>
      <w:r>
        <w:rPr>
          <w:rFonts w:hint="eastAsia" w:ascii="宋体" w:hAnsi="宋体" w:cs="宋体"/>
          <w:szCs w:val="21"/>
        </w:rPr>
        <w:t>（</w:t>
      </w:r>
      <w:r>
        <w:rPr>
          <w:rFonts w:ascii="宋体" w:hAnsi="宋体" w:cs="宋体"/>
          <w:szCs w:val="21"/>
        </w:rPr>
        <w:t>15</w:t>
      </w:r>
      <w:r>
        <w:rPr>
          <w:rFonts w:hint="eastAsia" w:ascii="宋体" w:hAnsi="宋体" w:cs="宋体"/>
          <w:szCs w:val="21"/>
        </w:rPr>
        <w:t>）投标文件附有招标人不能接受的条件；</w:t>
      </w:r>
    </w:p>
    <w:p w14:paraId="5B81503C">
      <w:pPr>
        <w:adjustRightInd w:val="0"/>
        <w:snapToGrid w:val="0"/>
        <w:spacing w:after="0" w:line="360" w:lineRule="auto"/>
        <w:ind w:firstLine="424" w:firstLineChars="202"/>
        <w:rPr>
          <w:rFonts w:hint="eastAsia" w:ascii="宋体" w:hAnsi="宋体" w:cs="宋体"/>
          <w:szCs w:val="21"/>
        </w:rPr>
      </w:pPr>
      <w:r>
        <w:rPr>
          <w:rFonts w:hint="eastAsia" w:ascii="宋体" w:hAnsi="宋体" w:cs="宋体"/>
          <w:szCs w:val="21"/>
        </w:rPr>
        <w:t>（</w:t>
      </w:r>
      <w:r>
        <w:rPr>
          <w:rFonts w:ascii="宋体" w:hAnsi="宋体" w:cs="宋体"/>
          <w:szCs w:val="21"/>
        </w:rPr>
        <w:t>16</w:t>
      </w:r>
      <w:r>
        <w:rPr>
          <w:rFonts w:hint="eastAsia" w:ascii="宋体" w:hAnsi="宋体" w:cs="宋体"/>
          <w:szCs w:val="21"/>
        </w:rPr>
        <w:t>）不符合招标文件中规定的其他实质性要求。</w:t>
      </w:r>
    </w:p>
    <w:p w14:paraId="0AEFF5F3">
      <w:pPr>
        <w:adjustRightInd w:val="0"/>
        <w:snapToGrid w:val="0"/>
        <w:spacing w:after="0" w:line="360" w:lineRule="auto"/>
        <w:ind w:firstLine="424" w:firstLineChars="202"/>
        <w:rPr>
          <w:rFonts w:hint="eastAsia" w:ascii="宋体" w:hAnsi="宋体" w:cs="宋体"/>
          <w:szCs w:val="21"/>
        </w:rPr>
      </w:pPr>
      <w:r>
        <w:rPr>
          <w:rFonts w:ascii="宋体" w:hAnsi="宋体" w:cs="宋体"/>
          <w:szCs w:val="21"/>
        </w:rPr>
        <w:t>3.1.3</w:t>
      </w:r>
      <w:r>
        <w:rPr>
          <w:rFonts w:hint="eastAsia" w:ascii="宋体" w:hAnsi="宋体" w:cs="宋体"/>
          <w:szCs w:val="21"/>
        </w:rPr>
        <w:t>评审过程中，评审委员会收到低于成本价投标的书面质疑材料、发现投标人的综合报价明显低于其他投标报价或者设有标底时明显低于标底，认为投标报价可能低于其个别成本的，应当书面要求该投标人做出书面说明并提供相关证明材料。投标人不能合理说明或者不能提供相应证明材料的，由评审委员会认定该投标人以低于成本报价竞标，评审委员会应当否决其投标。</w:t>
      </w:r>
    </w:p>
    <w:p w14:paraId="32BB3130">
      <w:pPr>
        <w:adjustRightInd w:val="0"/>
        <w:snapToGrid w:val="0"/>
        <w:spacing w:after="0" w:line="360" w:lineRule="auto"/>
        <w:ind w:firstLine="424" w:firstLineChars="202"/>
        <w:rPr>
          <w:rFonts w:hint="eastAsia" w:ascii="宋体" w:hAnsi="宋体" w:cs="宋体"/>
          <w:szCs w:val="21"/>
        </w:rPr>
      </w:pPr>
      <w:r>
        <w:rPr>
          <w:rFonts w:ascii="宋体" w:hAnsi="宋体" w:cs="宋体"/>
          <w:szCs w:val="21"/>
        </w:rPr>
        <w:t>3.1.4</w:t>
      </w:r>
      <w:r>
        <w:rPr>
          <w:rFonts w:hint="eastAsia" w:ascii="宋体" w:hAnsi="宋体" w:cs="宋体"/>
          <w:szCs w:val="21"/>
        </w:rPr>
        <w:t>投标报价有算术错误的，评审委员会按照以下原则对投标报价进行修正，修正的价格经投标人书面确认后具有约束力。投标人不接受修正价格的，评审委员会应当否决其投标。</w:t>
      </w:r>
    </w:p>
    <w:p w14:paraId="525AC3F8">
      <w:pPr>
        <w:adjustRightInd w:val="0"/>
        <w:snapToGrid w:val="0"/>
        <w:spacing w:after="0" w:line="360" w:lineRule="auto"/>
        <w:ind w:firstLine="424" w:firstLineChars="202"/>
        <w:rPr>
          <w:rFonts w:hint="eastAsia" w:ascii="宋体" w:hAnsi="宋体" w:cs="宋体"/>
          <w:szCs w:val="21"/>
        </w:rPr>
      </w:pPr>
      <w:r>
        <w:rPr>
          <w:rFonts w:hint="eastAsia" w:ascii="宋体" w:hAnsi="宋体" w:cs="宋体"/>
          <w:szCs w:val="21"/>
        </w:rPr>
        <w:t>（</w:t>
      </w:r>
      <w:r>
        <w:rPr>
          <w:rFonts w:ascii="宋体" w:hAnsi="宋体" w:cs="宋体"/>
          <w:szCs w:val="21"/>
        </w:rPr>
        <w:t>1</w:t>
      </w:r>
      <w:r>
        <w:rPr>
          <w:rFonts w:hint="eastAsia" w:ascii="宋体" w:hAnsi="宋体" w:cs="宋体"/>
          <w:szCs w:val="21"/>
        </w:rPr>
        <w:t>）投标文件中的大写金额与小写金额不一致的，以大写金额为准；</w:t>
      </w:r>
    </w:p>
    <w:p w14:paraId="7F1CF082">
      <w:pPr>
        <w:adjustRightInd w:val="0"/>
        <w:snapToGrid w:val="0"/>
        <w:spacing w:after="0" w:line="360" w:lineRule="auto"/>
        <w:ind w:firstLine="424" w:firstLineChars="202"/>
        <w:rPr>
          <w:rFonts w:hint="eastAsia" w:ascii="宋体" w:hAnsi="宋体" w:cs="宋体"/>
          <w:szCs w:val="21"/>
        </w:rPr>
      </w:pPr>
      <w:r>
        <w:rPr>
          <w:rFonts w:hint="eastAsia" w:ascii="宋体" w:hAnsi="宋体" w:cs="宋体"/>
          <w:szCs w:val="21"/>
        </w:rPr>
        <w:t>（</w:t>
      </w:r>
      <w:r>
        <w:rPr>
          <w:rFonts w:ascii="宋体" w:hAnsi="宋体" w:cs="宋体"/>
          <w:szCs w:val="21"/>
        </w:rPr>
        <w:t>2</w:t>
      </w:r>
      <w:r>
        <w:rPr>
          <w:rFonts w:hint="eastAsia" w:ascii="宋体" w:hAnsi="宋体" w:cs="宋体"/>
          <w:szCs w:val="21"/>
        </w:rPr>
        <w:t>）总价金额与根据单价计算出的结果不一致的，以单价金额为准修正总价，但单价金额小数点有明显错误的除外。</w:t>
      </w:r>
    </w:p>
    <w:p w14:paraId="1443AF41">
      <w:pPr>
        <w:pStyle w:val="4"/>
        <w:snapToGrid w:val="0"/>
        <w:spacing w:before="0" w:after="0" w:line="360" w:lineRule="auto"/>
        <w:rPr>
          <w:rFonts w:hint="eastAsia" w:ascii="宋体" w:hAnsi="宋体" w:eastAsia="宋体"/>
          <w:sz w:val="21"/>
          <w:szCs w:val="21"/>
        </w:rPr>
      </w:pPr>
      <w:bookmarkStart w:id="639" w:name="_Toc508963754"/>
      <w:bookmarkStart w:id="640" w:name="_Toc450489351"/>
      <w:r>
        <w:rPr>
          <w:rFonts w:ascii="宋体" w:hAnsi="宋体" w:eastAsia="宋体"/>
          <w:sz w:val="21"/>
          <w:szCs w:val="21"/>
        </w:rPr>
        <w:t>3.2</w:t>
      </w:r>
      <w:r>
        <w:rPr>
          <w:rFonts w:hint="eastAsia" w:ascii="宋体" w:hAnsi="宋体" w:eastAsia="宋体"/>
          <w:sz w:val="21"/>
          <w:szCs w:val="21"/>
        </w:rPr>
        <w:t>详细评审</w:t>
      </w:r>
      <w:bookmarkEnd w:id="639"/>
      <w:bookmarkEnd w:id="640"/>
    </w:p>
    <w:p w14:paraId="03A70631">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3.2.1</w:t>
      </w:r>
      <w:r>
        <w:rPr>
          <w:rFonts w:hint="eastAsia" w:hAnsi="宋体"/>
          <w:szCs w:val="21"/>
        </w:rPr>
        <w:t>评审委员会按照本章第</w:t>
      </w:r>
      <w:r>
        <w:rPr>
          <w:rFonts w:hAnsi="宋体"/>
          <w:szCs w:val="21"/>
        </w:rPr>
        <w:t>2.2</w:t>
      </w:r>
      <w:r>
        <w:rPr>
          <w:rFonts w:hint="eastAsia" w:hAnsi="宋体"/>
          <w:szCs w:val="21"/>
        </w:rPr>
        <w:t>款规定的评审因素和量化标准进行评分，并计算出综合评估得分。</w:t>
      </w:r>
    </w:p>
    <w:p w14:paraId="39A53468">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3.2.2</w:t>
      </w:r>
      <w:r>
        <w:rPr>
          <w:rFonts w:hint="eastAsia" w:hAnsi="宋体"/>
          <w:szCs w:val="21"/>
        </w:rPr>
        <w:t>评分分值计算原则上保留小数点后两位，小数点后第三位“四舍五入”。另有规定的，见评审办法前附表。</w:t>
      </w:r>
    </w:p>
    <w:p w14:paraId="11D852E0">
      <w:pPr>
        <w:pStyle w:val="4"/>
        <w:snapToGrid w:val="0"/>
        <w:spacing w:before="0" w:after="0" w:line="360" w:lineRule="auto"/>
        <w:rPr>
          <w:rFonts w:hint="eastAsia" w:ascii="宋体" w:hAnsi="宋体" w:eastAsia="宋体"/>
          <w:sz w:val="21"/>
          <w:szCs w:val="21"/>
        </w:rPr>
      </w:pPr>
      <w:bookmarkStart w:id="641" w:name="_Toc447265275"/>
      <w:bookmarkStart w:id="642" w:name="_Toc508963755"/>
      <w:bookmarkStart w:id="643" w:name="_Toc447265561"/>
      <w:bookmarkStart w:id="644" w:name="_Toc450489352"/>
      <w:r>
        <w:rPr>
          <w:rFonts w:ascii="宋体" w:hAnsi="宋体" w:eastAsia="宋体"/>
          <w:sz w:val="21"/>
          <w:szCs w:val="21"/>
        </w:rPr>
        <w:t>3.3</w:t>
      </w:r>
      <w:r>
        <w:rPr>
          <w:rFonts w:hint="eastAsia" w:ascii="宋体" w:hAnsi="宋体" w:eastAsia="宋体"/>
          <w:sz w:val="21"/>
          <w:szCs w:val="21"/>
        </w:rPr>
        <w:t>投标文件的澄清</w:t>
      </w:r>
      <w:bookmarkEnd w:id="641"/>
      <w:bookmarkEnd w:id="642"/>
      <w:bookmarkEnd w:id="643"/>
      <w:bookmarkEnd w:id="644"/>
    </w:p>
    <w:p w14:paraId="32F00DBA">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3.3.1</w:t>
      </w:r>
      <w:r>
        <w:rPr>
          <w:rFonts w:hint="eastAsia" w:hAnsi="宋体"/>
          <w:szCs w:val="21"/>
        </w:rPr>
        <w:t>在评审过程中，评审委员会应当以书面形式要求投标人对所递交的投标文件中不明确的内容进行书面澄清、说明或者对投标文件中的细微偏差进行补正。评审委员会不接受投标人主动提出的澄清、说明或者补正。</w:t>
      </w:r>
    </w:p>
    <w:p w14:paraId="3E4B74CF">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3.3.2</w:t>
      </w:r>
      <w:r>
        <w:rPr>
          <w:rFonts w:hint="eastAsia" w:hAnsi="宋体"/>
          <w:szCs w:val="21"/>
        </w:rPr>
        <w:t>细微偏差：是指投标文件在实质上投标招标文件要求，但个别地方存在漏项或者提供了不完整的技术信息和数据等情况，并且补正这些遗漏或者不完整不会对其他投标人造成不公平的结果。细微偏差不影响投标文件的有效性。</w:t>
      </w:r>
    </w:p>
    <w:p w14:paraId="6FCCF3AD">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3.3.3</w:t>
      </w:r>
      <w:r>
        <w:rPr>
          <w:rFonts w:hint="eastAsia" w:hAnsi="宋体"/>
          <w:szCs w:val="21"/>
        </w:rPr>
        <w:t>澄清、说明和补正不得改变投标文件的实质性内容（算术性错误修正的除外）。投标人的书面澄清、说明和补正属于投标文件的组成部分。</w:t>
      </w:r>
    </w:p>
    <w:p w14:paraId="24AD22D2">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3.3.4</w:t>
      </w:r>
      <w:r>
        <w:rPr>
          <w:rFonts w:hint="eastAsia" w:hAnsi="宋体"/>
          <w:szCs w:val="21"/>
        </w:rPr>
        <w:t>评审委员会对投标人递交的澄清、说明或者补正有疑问的，可以要求投标人进一步澄清、说明或者补正，直至满足评审委员会的要求。</w:t>
      </w:r>
    </w:p>
    <w:p w14:paraId="211D8637">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3.3.5</w:t>
      </w:r>
      <w:r>
        <w:rPr>
          <w:rFonts w:hint="eastAsia" w:hAnsi="宋体"/>
          <w:szCs w:val="21"/>
        </w:rPr>
        <w:t>评审委员会必要时可以要求投标人递交有关证明和证件的原件，以便核验。</w:t>
      </w:r>
    </w:p>
    <w:p w14:paraId="04B2C11A">
      <w:pPr>
        <w:pStyle w:val="4"/>
        <w:snapToGrid w:val="0"/>
        <w:spacing w:before="0" w:after="0" w:line="360" w:lineRule="auto"/>
        <w:rPr>
          <w:rFonts w:hint="eastAsia" w:ascii="宋体" w:hAnsi="宋体" w:eastAsia="宋体"/>
          <w:sz w:val="21"/>
          <w:szCs w:val="21"/>
        </w:rPr>
      </w:pPr>
      <w:bookmarkStart w:id="645" w:name="_Toc450489353"/>
      <w:bookmarkStart w:id="646" w:name="_Toc508963756"/>
      <w:r>
        <w:rPr>
          <w:rFonts w:ascii="宋体" w:hAnsi="宋体" w:eastAsia="宋体"/>
          <w:sz w:val="21"/>
          <w:szCs w:val="21"/>
        </w:rPr>
        <w:t>3.4</w:t>
      </w:r>
      <w:r>
        <w:rPr>
          <w:rFonts w:hint="eastAsia" w:ascii="宋体" w:hAnsi="宋体" w:eastAsia="宋体"/>
          <w:sz w:val="21"/>
          <w:szCs w:val="21"/>
        </w:rPr>
        <w:t>中标候选人推荐原则</w:t>
      </w:r>
      <w:bookmarkEnd w:id="645"/>
      <w:bookmarkEnd w:id="646"/>
    </w:p>
    <w:p w14:paraId="58A6C31B">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3.4.1</w:t>
      </w:r>
      <w:r>
        <w:rPr>
          <w:rFonts w:hint="eastAsia" w:hAnsi="宋体"/>
          <w:szCs w:val="21"/>
        </w:rPr>
        <w:t>除第二章“投标人须知”前附表授权直接确定中标人外，评审委员会将按照综合评分由高到低的顺序推荐中标候选人。综合评分相同的，处理原则见评审办法前附表。</w:t>
      </w:r>
    </w:p>
    <w:p w14:paraId="1097D9A6">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3.4.2</w:t>
      </w:r>
      <w:r>
        <w:rPr>
          <w:rFonts w:hint="eastAsia" w:hAnsi="宋体"/>
          <w:szCs w:val="21"/>
        </w:rPr>
        <w:t>中标候选人推荐原则见评审办法前附表。</w:t>
      </w:r>
    </w:p>
    <w:p w14:paraId="2C856BEE">
      <w:pPr>
        <w:pStyle w:val="4"/>
        <w:snapToGrid w:val="0"/>
        <w:spacing w:before="0" w:after="0" w:line="360" w:lineRule="auto"/>
        <w:rPr>
          <w:rFonts w:hint="eastAsia" w:ascii="宋体" w:hAnsi="宋体" w:eastAsia="宋体"/>
          <w:sz w:val="21"/>
          <w:szCs w:val="21"/>
        </w:rPr>
      </w:pPr>
      <w:bookmarkStart w:id="647" w:name="_Toc508963757"/>
      <w:bookmarkStart w:id="648" w:name="_Toc450489354"/>
      <w:r>
        <w:rPr>
          <w:rFonts w:ascii="宋体" w:hAnsi="宋体" w:eastAsia="宋体"/>
          <w:sz w:val="21"/>
          <w:szCs w:val="21"/>
        </w:rPr>
        <w:t>3.5</w:t>
      </w:r>
      <w:r>
        <w:rPr>
          <w:rFonts w:hint="eastAsia" w:ascii="宋体" w:hAnsi="宋体" w:eastAsia="宋体"/>
          <w:sz w:val="21"/>
          <w:szCs w:val="21"/>
        </w:rPr>
        <w:t>评审结果</w:t>
      </w:r>
      <w:bookmarkEnd w:id="647"/>
      <w:bookmarkEnd w:id="648"/>
    </w:p>
    <w:p w14:paraId="158A4CE6">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3.5.1</w:t>
      </w:r>
      <w:r>
        <w:rPr>
          <w:rFonts w:hint="eastAsia" w:hAnsi="宋体"/>
          <w:szCs w:val="21"/>
        </w:rPr>
        <w:t>评审委员会完成评审后，应当向招标人递交书面评标报告。评审委员会分组评审的，应当形成统一、完整的评标报告。</w:t>
      </w:r>
    </w:p>
    <w:p w14:paraId="75B4D94F">
      <w:pPr>
        <w:pStyle w:val="22"/>
        <w:tabs>
          <w:tab w:val="left" w:pos="630"/>
        </w:tabs>
        <w:adjustRightInd w:val="0"/>
        <w:snapToGrid w:val="0"/>
        <w:spacing w:after="0" w:line="360" w:lineRule="auto"/>
        <w:ind w:firstLine="424" w:firstLineChars="202"/>
        <w:rPr>
          <w:rFonts w:hint="eastAsia" w:hAnsi="宋体"/>
          <w:szCs w:val="21"/>
        </w:rPr>
      </w:pPr>
      <w:r>
        <w:rPr>
          <w:rFonts w:hAnsi="宋体"/>
          <w:szCs w:val="21"/>
        </w:rPr>
        <w:t>3.5.2</w:t>
      </w:r>
      <w:r>
        <w:rPr>
          <w:rFonts w:hint="eastAsia" w:hAnsi="宋体"/>
          <w:szCs w:val="21"/>
        </w:rPr>
        <w:t>评标报告应当包括下列内容：</w:t>
      </w:r>
    </w:p>
    <w:p w14:paraId="3601B006">
      <w:pPr>
        <w:pStyle w:val="81"/>
        <w:numPr>
          <w:ilvl w:val="0"/>
          <w:numId w:val="2"/>
        </w:numPr>
        <w:tabs>
          <w:tab w:val="left" w:pos="630"/>
        </w:tabs>
        <w:adjustRightInd w:val="0"/>
        <w:snapToGrid w:val="0"/>
        <w:spacing w:after="0" w:line="360" w:lineRule="auto"/>
        <w:ind w:left="0" w:firstLine="424" w:firstLineChars="202"/>
        <w:rPr>
          <w:rFonts w:hint="eastAsia" w:ascii="宋体" w:hAnsi="宋体" w:cs="宋体"/>
          <w:szCs w:val="21"/>
        </w:rPr>
      </w:pPr>
      <w:r>
        <w:rPr>
          <w:rFonts w:hint="eastAsia" w:ascii="宋体" w:hAnsi="宋体" w:cs="宋体"/>
          <w:szCs w:val="21"/>
        </w:rPr>
        <w:t>基本情况；</w:t>
      </w:r>
    </w:p>
    <w:p w14:paraId="79CAA7A0">
      <w:pPr>
        <w:pStyle w:val="81"/>
        <w:numPr>
          <w:ilvl w:val="0"/>
          <w:numId w:val="2"/>
        </w:numPr>
        <w:tabs>
          <w:tab w:val="left" w:pos="630"/>
        </w:tabs>
        <w:adjustRightInd w:val="0"/>
        <w:snapToGrid w:val="0"/>
        <w:spacing w:after="0" w:line="360" w:lineRule="auto"/>
        <w:ind w:left="0" w:firstLine="424" w:firstLineChars="202"/>
        <w:rPr>
          <w:rFonts w:hint="eastAsia" w:ascii="宋体" w:hAnsi="宋体" w:cs="宋体"/>
          <w:szCs w:val="21"/>
        </w:rPr>
      </w:pPr>
      <w:r>
        <w:rPr>
          <w:rFonts w:hint="eastAsia" w:ascii="宋体" w:hAnsi="宋体" w:cs="宋体"/>
          <w:szCs w:val="21"/>
        </w:rPr>
        <w:t>开标情况；</w:t>
      </w:r>
    </w:p>
    <w:p w14:paraId="6E8D8FF8">
      <w:pPr>
        <w:pStyle w:val="81"/>
        <w:numPr>
          <w:ilvl w:val="0"/>
          <w:numId w:val="2"/>
        </w:numPr>
        <w:tabs>
          <w:tab w:val="left" w:pos="630"/>
        </w:tabs>
        <w:adjustRightInd w:val="0"/>
        <w:snapToGrid w:val="0"/>
        <w:spacing w:after="0" w:line="360" w:lineRule="auto"/>
        <w:ind w:left="0" w:firstLine="424" w:firstLineChars="202"/>
        <w:rPr>
          <w:rFonts w:hint="eastAsia" w:ascii="宋体" w:hAnsi="宋体" w:cs="宋体"/>
          <w:szCs w:val="21"/>
        </w:rPr>
      </w:pPr>
      <w:r>
        <w:rPr>
          <w:rFonts w:hint="eastAsia" w:ascii="宋体" w:hAnsi="宋体" w:cs="宋体"/>
          <w:szCs w:val="21"/>
        </w:rPr>
        <w:t>评审方法、评审标准或者评审因素一览表；</w:t>
      </w:r>
    </w:p>
    <w:p w14:paraId="47D91E32">
      <w:pPr>
        <w:pStyle w:val="81"/>
        <w:numPr>
          <w:ilvl w:val="0"/>
          <w:numId w:val="2"/>
        </w:numPr>
        <w:tabs>
          <w:tab w:val="left" w:pos="630"/>
        </w:tabs>
        <w:adjustRightInd w:val="0"/>
        <w:snapToGrid w:val="0"/>
        <w:spacing w:after="0" w:line="360" w:lineRule="auto"/>
        <w:ind w:left="851" w:firstLineChars="0"/>
        <w:rPr>
          <w:rFonts w:hint="eastAsia" w:ascii="宋体" w:hAnsi="宋体" w:cs="宋体"/>
          <w:szCs w:val="21"/>
        </w:rPr>
      </w:pPr>
      <w:r>
        <w:rPr>
          <w:rFonts w:hint="eastAsia" w:ascii="宋体" w:hAnsi="宋体" w:cs="宋体"/>
          <w:szCs w:val="21"/>
        </w:rPr>
        <w:t>评审专家评分原始记录表和否决投标的情况说明；</w:t>
      </w:r>
    </w:p>
    <w:p w14:paraId="6F683CCD">
      <w:pPr>
        <w:pStyle w:val="81"/>
        <w:numPr>
          <w:ilvl w:val="0"/>
          <w:numId w:val="2"/>
        </w:numPr>
        <w:tabs>
          <w:tab w:val="left" w:pos="630"/>
        </w:tabs>
        <w:adjustRightInd w:val="0"/>
        <w:snapToGrid w:val="0"/>
        <w:spacing w:after="0" w:line="360" w:lineRule="auto"/>
        <w:ind w:left="0" w:firstLine="424" w:firstLineChars="202"/>
        <w:rPr>
          <w:rFonts w:hint="eastAsia" w:ascii="宋体" w:hAnsi="宋体" w:cs="宋体"/>
          <w:szCs w:val="21"/>
        </w:rPr>
      </w:pPr>
      <w:r>
        <w:rPr>
          <w:rFonts w:hint="eastAsia" w:ascii="宋体" w:hAnsi="宋体" w:cs="宋体"/>
          <w:szCs w:val="21"/>
        </w:rPr>
        <w:t>经评审的价格或者评分比较一览表和投标人排序；</w:t>
      </w:r>
    </w:p>
    <w:p w14:paraId="0CF1801C">
      <w:pPr>
        <w:pStyle w:val="81"/>
        <w:numPr>
          <w:ilvl w:val="0"/>
          <w:numId w:val="2"/>
        </w:numPr>
        <w:tabs>
          <w:tab w:val="left" w:pos="630"/>
        </w:tabs>
        <w:adjustRightInd w:val="0"/>
        <w:snapToGrid w:val="0"/>
        <w:spacing w:after="0" w:line="360" w:lineRule="auto"/>
        <w:ind w:left="0" w:firstLine="424" w:firstLineChars="202"/>
        <w:rPr>
          <w:rFonts w:hint="eastAsia" w:ascii="宋体" w:hAnsi="宋体" w:cs="宋体"/>
          <w:szCs w:val="21"/>
        </w:rPr>
      </w:pPr>
      <w:r>
        <w:rPr>
          <w:rFonts w:hint="eastAsia" w:ascii="宋体" w:hAnsi="宋体" w:cs="宋体"/>
          <w:szCs w:val="21"/>
        </w:rPr>
        <w:t>推荐的中标候选人名单及其排序；</w:t>
      </w:r>
    </w:p>
    <w:p w14:paraId="27CC5A8F">
      <w:pPr>
        <w:pStyle w:val="81"/>
        <w:numPr>
          <w:ilvl w:val="0"/>
          <w:numId w:val="2"/>
        </w:numPr>
        <w:tabs>
          <w:tab w:val="left" w:pos="630"/>
        </w:tabs>
        <w:adjustRightInd w:val="0"/>
        <w:snapToGrid w:val="0"/>
        <w:spacing w:after="0" w:line="360" w:lineRule="auto"/>
        <w:ind w:left="0" w:firstLine="424" w:firstLineChars="202"/>
        <w:rPr>
          <w:rFonts w:hint="eastAsia" w:ascii="宋体" w:hAnsi="宋体" w:cs="宋体"/>
          <w:szCs w:val="21"/>
        </w:rPr>
      </w:pPr>
      <w:r>
        <w:rPr>
          <w:rFonts w:hint="eastAsia" w:ascii="宋体" w:hAnsi="宋体" w:cs="宋体"/>
          <w:szCs w:val="21"/>
        </w:rPr>
        <w:t>签订合同前要处理的事宜；</w:t>
      </w:r>
    </w:p>
    <w:p w14:paraId="65BAF61D">
      <w:pPr>
        <w:pStyle w:val="81"/>
        <w:numPr>
          <w:ilvl w:val="0"/>
          <w:numId w:val="2"/>
        </w:numPr>
        <w:tabs>
          <w:tab w:val="left" w:pos="630"/>
        </w:tabs>
        <w:adjustRightInd w:val="0"/>
        <w:snapToGrid w:val="0"/>
        <w:spacing w:after="0" w:line="360" w:lineRule="auto"/>
        <w:ind w:left="0" w:firstLine="424" w:firstLineChars="202"/>
        <w:rPr>
          <w:rFonts w:hint="eastAsia" w:ascii="宋体" w:hAnsi="宋体" w:cs="宋体"/>
          <w:szCs w:val="21"/>
        </w:rPr>
      </w:pPr>
      <w:r>
        <w:rPr>
          <w:rFonts w:hint="eastAsia" w:ascii="宋体" w:hAnsi="宋体" w:cs="宋体"/>
          <w:szCs w:val="21"/>
        </w:rPr>
        <w:t>澄清、说明、补正事项纪要；</w:t>
      </w:r>
    </w:p>
    <w:p w14:paraId="5080B264">
      <w:pPr>
        <w:pStyle w:val="81"/>
        <w:numPr>
          <w:ilvl w:val="0"/>
          <w:numId w:val="2"/>
        </w:numPr>
        <w:tabs>
          <w:tab w:val="left" w:pos="630"/>
        </w:tabs>
        <w:adjustRightInd w:val="0"/>
        <w:snapToGrid w:val="0"/>
        <w:spacing w:after="0" w:line="360" w:lineRule="auto"/>
        <w:ind w:left="0" w:firstLine="424" w:firstLineChars="202"/>
        <w:rPr>
          <w:rFonts w:hint="eastAsia" w:ascii="宋体" w:hAnsi="宋体" w:cs="宋体"/>
          <w:szCs w:val="21"/>
        </w:rPr>
      </w:pPr>
      <w:r>
        <w:rPr>
          <w:rFonts w:hint="eastAsia" w:ascii="宋体" w:hAnsi="宋体" w:cs="宋体"/>
          <w:szCs w:val="21"/>
        </w:rPr>
        <w:t>评审委员会成员名单及本人签字、拒绝在评标报告上签字的评审委员会成员名单及其陈述的不同意见和理由.</w:t>
      </w:r>
    </w:p>
    <w:p w14:paraId="744889D4">
      <w:pPr>
        <w:pStyle w:val="81"/>
        <w:tabs>
          <w:tab w:val="left" w:pos="630"/>
        </w:tabs>
        <w:adjustRightInd w:val="0"/>
        <w:snapToGrid w:val="0"/>
        <w:spacing w:line="360" w:lineRule="auto"/>
        <w:ind w:left="424" w:firstLine="0" w:firstLineChars="0"/>
        <w:rPr>
          <w:rFonts w:hint="eastAsia" w:ascii="宋体" w:hAnsi="宋体" w:cs="宋体"/>
          <w:szCs w:val="21"/>
        </w:rPr>
      </w:pPr>
    </w:p>
    <w:p w14:paraId="1DDC929D">
      <w:pPr>
        <w:pStyle w:val="81"/>
        <w:tabs>
          <w:tab w:val="left" w:pos="630"/>
        </w:tabs>
        <w:adjustRightInd w:val="0"/>
        <w:snapToGrid w:val="0"/>
        <w:spacing w:line="240" w:lineRule="auto"/>
        <w:ind w:left="424" w:firstLine="0" w:firstLineChars="0"/>
        <w:rPr>
          <w:rFonts w:hint="eastAsia" w:ascii="宋体" w:hAnsi="宋体" w:cs="宋体"/>
          <w:szCs w:val="21"/>
        </w:rPr>
      </w:pPr>
    </w:p>
    <w:p w14:paraId="31F1499B">
      <w:pPr>
        <w:pStyle w:val="81"/>
        <w:tabs>
          <w:tab w:val="left" w:pos="630"/>
        </w:tabs>
        <w:adjustRightInd w:val="0"/>
        <w:snapToGrid w:val="0"/>
        <w:spacing w:line="240" w:lineRule="auto"/>
        <w:ind w:left="424" w:firstLine="0" w:firstLineChars="0"/>
        <w:rPr>
          <w:rFonts w:hint="eastAsia" w:ascii="宋体" w:hAnsi="宋体" w:cs="宋体"/>
          <w:szCs w:val="21"/>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10A19E79">
      <w:pPr>
        <w:pStyle w:val="80"/>
        <w:spacing w:before="0" w:after="0" w:line="360" w:lineRule="auto"/>
        <w:rPr>
          <w:rFonts w:hint="eastAsia" w:ascii="宋体" w:hAnsi="宋体" w:eastAsia="宋体" w:cs="宋体"/>
          <w:b/>
          <w:bCs w:val="0"/>
          <w:kern w:val="0"/>
          <w:sz w:val="28"/>
          <w:szCs w:val="28"/>
        </w:rPr>
      </w:pPr>
      <w:bookmarkStart w:id="649" w:name="_Toc214432848"/>
      <w:r>
        <w:rPr>
          <w:rFonts w:hint="eastAsia" w:ascii="宋体" w:hAnsi="宋体" w:eastAsia="宋体" w:cs="宋体"/>
          <w:b/>
          <w:bCs w:val="0"/>
          <w:kern w:val="0"/>
          <w:sz w:val="28"/>
          <w:szCs w:val="28"/>
        </w:rPr>
        <w:t>第四章</w:t>
      </w:r>
      <w:r>
        <w:rPr>
          <w:rFonts w:hint="eastAsia" w:ascii="宋体" w:hAnsi="宋体" w:eastAsia="宋体" w:cs="宋体"/>
          <w:b/>
          <w:bCs w:val="0"/>
          <w:kern w:val="0"/>
          <w:sz w:val="28"/>
          <w:szCs w:val="28"/>
          <w:lang w:val="en-US" w:eastAsia="zh-CN"/>
        </w:rPr>
        <w:t xml:space="preserve"> </w:t>
      </w:r>
      <w:r>
        <w:rPr>
          <w:rFonts w:hint="eastAsia" w:ascii="宋体" w:hAnsi="宋体" w:eastAsia="宋体" w:cs="宋体"/>
          <w:b/>
          <w:bCs w:val="0"/>
          <w:kern w:val="0"/>
          <w:sz w:val="28"/>
          <w:szCs w:val="28"/>
        </w:rPr>
        <w:t>合同条款</w:t>
      </w:r>
      <w:bookmarkEnd w:id="617"/>
      <w:bookmarkEnd w:id="618"/>
      <w:bookmarkEnd w:id="619"/>
      <w:bookmarkEnd w:id="620"/>
      <w:bookmarkEnd w:id="621"/>
      <w:bookmarkEnd w:id="649"/>
    </w:p>
    <w:p w14:paraId="23492F4C">
      <w:pPr>
        <w:spacing w:after="0" w:line="360" w:lineRule="auto"/>
        <w:rPr>
          <w:rFonts w:hint="eastAsia" w:ascii="宋体" w:hAnsi="宋体"/>
          <w:b/>
          <w:sz w:val="24"/>
        </w:rPr>
      </w:pPr>
      <w:bookmarkStart w:id="650" w:name="_Toc404867858"/>
      <w:bookmarkStart w:id="651" w:name="_Toc355985904"/>
      <w:bookmarkStart w:id="652" w:name="_Toc355985903"/>
      <w:r>
        <w:rPr>
          <w:rFonts w:hint="eastAsia" w:ascii="宋体" w:hAnsi="宋体"/>
          <w:b/>
          <w:sz w:val="24"/>
        </w:rPr>
        <w:t>（本合同仅为合同的参考文本，合同签订双方可根据项目的具体要求进行修订。）</w:t>
      </w:r>
    </w:p>
    <w:p w14:paraId="49A837F2">
      <w:pPr>
        <w:adjustRightInd w:val="0"/>
        <w:snapToGrid w:val="0"/>
        <w:spacing w:line="360" w:lineRule="auto"/>
        <w:jc w:val="center"/>
        <w:rPr>
          <w:rFonts w:hint="eastAsia" w:ascii="宋体" w:hAnsi="宋体"/>
          <w:b/>
          <w:spacing w:val="200"/>
          <w:sz w:val="96"/>
        </w:rPr>
      </w:pPr>
    </w:p>
    <w:p w14:paraId="557727BD">
      <w:pPr>
        <w:adjustRightInd w:val="0"/>
        <w:snapToGrid w:val="0"/>
        <w:spacing w:line="360" w:lineRule="auto"/>
        <w:jc w:val="center"/>
        <w:rPr>
          <w:rFonts w:hint="eastAsia" w:ascii="宋体" w:hAnsi="宋体"/>
          <w:b/>
          <w:spacing w:val="200"/>
          <w:sz w:val="44"/>
          <w:szCs w:val="44"/>
        </w:rPr>
      </w:pPr>
      <w:r>
        <w:rPr>
          <w:rFonts w:hint="eastAsia" w:ascii="宋体" w:hAnsi="宋体"/>
          <w:b/>
          <w:spacing w:val="200"/>
          <w:sz w:val="44"/>
          <w:szCs w:val="44"/>
        </w:rPr>
        <w:t>合同书</w:t>
      </w:r>
    </w:p>
    <w:p w14:paraId="573C5BEB">
      <w:pPr>
        <w:adjustRightInd w:val="0"/>
        <w:snapToGrid w:val="0"/>
        <w:spacing w:line="360" w:lineRule="auto"/>
        <w:jc w:val="center"/>
        <w:rPr>
          <w:rFonts w:hint="eastAsia" w:ascii="宋体" w:hAnsi="宋体"/>
          <w:b/>
          <w:sz w:val="44"/>
          <w:szCs w:val="44"/>
        </w:rPr>
      </w:pPr>
      <w:r>
        <w:rPr>
          <w:rFonts w:hint="eastAsia" w:ascii="宋体" w:hAnsi="宋体"/>
          <w:b/>
          <w:sz w:val="44"/>
          <w:szCs w:val="44"/>
        </w:rPr>
        <w:t>（货物类）</w:t>
      </w:r>
    </w:p>
    <w:p w14:paraId="419F338B">
      <w:pPr>
        <w:adjustRightInd w:val="0"/>
        <w:snapToGrid w:val="0"/>
        <w:spacing w:line="360" w:lineRule="auto"/>
        <w:jc w:val="center"/>
        <w:rPr>
          <w:rFonts w:hint="eastAsia" w:ascii="宋体" w:hAnsi="宋体"/>
          <w:b/>
          <w:sz w:val="44"/>
          <w:szCs w:val="44"/>
        </w:rPr>
      </w:pPr>
    </w:p>
    <w:p w14:paraId="138927ED">
      <w:pPr>
        <w:adjustRightInd w:val="0"/>
        <w:snapToGrid w:val="0"/>
        <w:spacing w:line="360" w:lineRule="auto"/>
        <w:jc w:val="center"/>
        <w:rPr>
          <w:rFonts w:hint="eastAsia" w:ascii="宋体" w:hAnsi="宋体"/>
          <w:b/>
          <w:sz w:val="32"/>
          <w:szCs w:val="32"/>
        </w:rPr>
      </w:pPr>
    </w:p>
    <w:p w14:paraId="0FCD6D11">
      <w:pPr>
        <w:adjustRightInd w:val="0"/>
        <w:snapToGrid w:val="0"/>
        <w:spacing w:line="360" w:lineRule="auto"/>
        <w:jc w:val="center"/>
        <w:rPr>
          <w:rFonts w:hint="eastAsia" w:ascii="宋体" w:hAnsi="宋体"/>
          <w:b/>
          <w:sz w:val="32"/>
          <w:szCs w:val="32"/>
        </w:rPr>
      </w:pPr>
    </w:p>
    <w:p w14:paraId="56DDE0F8">
      <w:pPr>
        <w:adjustRightInd w:val="0"/>
        <w:snapToGrid w:val="0"/>
        <w:spacing w:line="480" w:lineRule="auto"/>
        <w:ind w:left="1575" w:leftChars="638" w:hanging="235" w:hangingChars="73"/>
        <w:rPr>
          <w:rFonts w:hint="eastAsia" w:ascii="宋体" w:hAnsi="宋体"/>
          <w:b/>
          <w:sz w:val="32"/>
          <w:szCs w:val="32"/>
          <w:u w:val="single"/>
        </w:rPr>
      </w:pPr>
      <w:r>
        <w:rPr>
          <w:rFonts w:hint="eastAsia" w:ascii="宋体" w:hAnsi="宋体"/>
          <w:b/>
          <w:sz w:val="32"/>
          <w:szCs w:val="32"/>
        </w:rPr>
        <w:t>项目名称：</w:t>
      </w:r>
      <w:r>
        <w:rPr>
          <w:rFonts w:hint="eastAsia" w:ascii="宋体" w:hAnsi="宋体"/>
          <w:b/>
          <w:sz w:val="32"/>
          <w:szCs w:val="32"/>
          <w:u w:val="single"/>
        </w:rPr>
        <w:t>惠州交投能源投资有限公司节能技改项目货物采购（第一批）</w:t>
      </w:r>
    </w:p>
    <w:p w14:paraId="190C61FD">
      <w:pPr>
        <w:adjustRightInd w:val="0"/>
        <w:snapToGrid w:val="0"/>
        <w:spacing w:line="480" w:lineRule="auto"/>
        <w:ind w:left="1575" w:leftChars="638" w:hanging="235" w:hangingChars="73"/>
        <w:rPr>
          <w:rFonts w:hint="eastAsia" w:ascii="宋体" w:hAnsi="宋体"/>
          <w:b/>
          <w:sz w:val="32"/>
          <w:szCs w:val="32"/>
        </w:rPr>
      </w:pPr>
      <w:r>
        <w:rPr>
          <w:rFonts w:hint="eastAsia" w:ascii="宋体" w:hAnsi="宋体"/>
          <w:b/>
          <w:sz w:val="32"/>
          <w:szCs w:val="32"/>
        </w:rPr>
        <w:t>合同编号：</w:t>
      </w:r>
      <w:r>
        <w:rPr>
          <w:rFonts w:hint="eastAsia" w:ascii="宋体" w:hAnsi="宋体"/>
          <w:b/>
          <w:sz w:val="32"/>
          <w:szCs w:val="32"/>
          <w:u w:val="single"/>
        </w:rPr>
        <w:t xml:space="preserve">                          </w:t>
      </w:r>
    </w:p>
    <w:p w14:paraId="0B17DCDD">
      <w:pPr>
        <w:adjustRightInd w:val="0"/>
        <w:snapToGrid w:val="0"/>
        <w:spacing w:line="480" w:lineRule="auto"/>
        <w:ind w:left="1575" w:leftChars="638" w:hanging="235" w:hangingChars="73"/>
        <w:rPr>
          <w:rFonts w:hint="eastAsia" w:ascii="宋体" w:hAnsi="宋体"/>
          <w:b/>
          <w:sz w:val="32"/>
          <w:szCs w:val="32"/>
        </w:rPr>
      </w:pPr>
      <w:r>
        <w:rPr>
          <w:rFonts w:hint="eastAsia" w:ascii="宋体" w:hAnsi="宋体"/>
          <w:b/>
          <w:sz w:val="32"/>
          <w:szCs w:val="32"/>
        </w:rPr>
        <w:t>签约地点：</w:t>
      </w:r>
      <w:r>
        <w:rPr>
          <w:rFonts w:hint="eastAsia" w:ascii="宋体" w:hAnsi="宋体"/>
          <w:b/>
          <w:sz w:val="32"/>
          <w:szCs w:val="32"/>
          <w:u w:val="single"/>
        </w:rPr>
        <w:t xml:space="preserve">                          </w:t>
      </w:r>
    </w:p>
    <w:p w14:paraId="2D80B5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b/>
          <w:sz w:val="32"/>
          <w:szCs w:val="32"/>
        </w:rPr>
      </w:pPr>
      <w:r>
        <w:rPr>
          <w:rFonts w:hint="eastAsia" w:ascii="宋体" w:hAnsi="宋体"/>
          <w:b/>
          <w:sz w:val="32"/>
          <w:szCs w:val="32"/>
        </w:rPr>
        <w:t>签订日期：  二○二  年    月     日</w:t>
      </w:r>
    </w:p>
    <w:p w14:paraId="3DBAC1FF">
      <w:pPr>
        <w:widowControl/>
        <w:spacing w:after="0" w:line="240" w:lineRule="auto"/>
        <w:jc w:val="left"/>
        <w:rPr>
          <w:rFonts w:hint="eastAsia" w:ascii="宋体" w:hAnsi="宋体"/>
          <w:b/>
          <w:sz w:val="24"/>
        </w:rPr>
      </w:pPr>
      <w:r>
        <w:rPr>
          <w:rFonts w:ascii="宋体" w:hAnsi="宋体"/>
          <w:b/>
          <w:sz w:val="24"/>
        </w:rPr>
        <w:br w:type="page"/>
      </w:r>
    </w:p>
    <w:p w14:paraId="40B12E3A">
      <w:pPr>
        <w:spacing w:line="360" w:lineRule="auto"/>
        <w:ind w:firstLine="422" w:firstLineChars="200"/>
        <w:rPr>
          <w:rFonts w:hint="eastAsia" w:ascii="宋体" w:hAnsi="宋体"/>
          <w:b/>
          <w:szCs w:val="21"/>
        </w:rPr>
      </w:pPr>
      <w:r>
        <w:rPr>
          <w:rFonts w:hint="eastAsia" w:ascii="宋体" w:hAnsi="宋体"/>
          <w:b/>
          <w:szCs w:val="21"/>
        </w:rPr>
        <w:t>买   方（甲方）：</w:t>
      </w:r>
      <w:r>
        <w:rPr>
          <w:rFonts w:ascii="宋体" w:hAnsi="宋体"/>
          <w:b/>
          <w:szCs w:val="21"/>
        </w:rPr>
        <w:t xml:space="preserve"> </w:t>
      </w:r>
    </w:p>
    <w:p w14:paraId="684731B2">
      <w:pPr>
        <w:spacing w:line="360" w:lineRule="auto"/>
        <w:ind w:firstLine="422" w:firstLineChars="200"/>
        <w:rPr>
          <w:rFonts w:hint="eastAsia" w:ascii="宋体" w:hAnsi="宋体"/>
          <w:szCs w:val="21"/>
        </w:rPr>
      </w:pPr>
      <w:r>
        <w:rPr>
          <w:rFonts w:hint="eastAsia" w:ascii="宋体" w:hAnsi="宋体"/>
          <w:b/>
          <w:szCs w:val="21"/>
        </w:rPr>
        <w:t xml:space="preserve">卖   方（乙方）：    </w:t>
      </w:r>
      <w:r>
        <w:rPr>
          <w:rFonts w:hint="eastAsia" w:ascii="宋体" w:hAnsi="宋体"/>
          <w:szCs w:val="21"/>
        </w:rPr>
        <w:t xml:space="preserve">   </w:t>
      </w:r>
    </w:p>
    <w:p w14:paraId="0E4A7693">
      <w:pPr>
        <w:spacing w:line="360" w:lineRule="auto"/>
        <w:ind w:firstLine="420" w:firstLineChars="200"/>
        <w:rPr>
          <w:rFonts w:hint="eastAsia" w:ascii="宋体" w:hAnsi="宋体"/>
          <w:szCs w:val="21"/>
        </w:rPr>
      </w:pPr>
    </w:p>
    <w:p w14:paraId="59B39102">
      <w:pPr>
        <w:spacing w:line="360" w:lineRule="auto"/>
        <w:ind w:firstLine="420" w:firstLineChars="200"/>
        <w:rPr>
          <w:rFonts w:hint="eastAsia" w:ascii="宋体" w:hAnsi="宋体"/>
          <w:kern w:val="28"/>
          <w:szCs w:val="21"/>
        </w:rPr>
      </w:pPr>
      <w:r>
        <w:rPr>
          <w:rFonts w:hint="eastAsia" w:ascii="宋体" w:hAnsi="宋体"/>
          <w:szCs w:val="21"/>
        </w:rPr>
        <w:t>根据</w:t>
      </w:r>
      <w:r>
        <w:rPr>
          <w:rFonts w:hint="eastAsia" w:ascii="宋体" w:hAnsi="宋体"/>
          <w:szCs w:val="21"/>
          <w:u w:val="single"/>
        </w:rPr>
        <w:t>惠州交投能源投资有限公司节能技改项目货物采购（第一批）</w:t>
      </w:r>
      <w:r>
        <w:rPr>
          <w:rFonts w:hint="eastAsia" w:ascii="宋体" w:hAnsi="宋体"/>
          <w:szCs w:val="21"/>
        </w:rPr>
        <w:t>的采购结果，按照《中华人民共和国招标投标法》、《中华人民共和国民法典》的规定，</w:t>
      </w:r>
      <w:r>
        <w:rPr>
          <w:rFonts w:hint="eastAsia" w:ascii="宋体" w:hAnsi="宋体"/>
          <w:kern w:val="28"/>
          <w:szCs w:val="21"/>
        </w:rPr>
        <w:t>经双方协商，</w:t>
      </w:r>
      <w:r>
        <w:rPr>
          <w:rFonts w:hint="eastAsia" w:ascii="宋体" w:hAnsi="宋体"/>
          <w:szCs w:val="21"/>
        </w:rPr>
        <w:t>本着平等互利和诚实信用的原则，</w:t>
      </w:r>
      <w:r>
        <w:rPr>
          <w:rFonts w:hint="eastAsia" w:ascii="宋体" w:hAnsi="宋体"/>
          <w:kern w:val="28"/>
          <w:szCs w:val="21"/>
        </w:rPr>
        <w:t>一致同意签订本合同如下。</w:t>
      </w:r>
    </w:p>
    <w:p w14:paraId="58CEEEFD">
      <w:pPr>
        <w:pStyle w:val="81"/>
        <w:numPr>
          <w:ilvl w:val="0"/>
          <w:numId w:val="3"/>
        </w:numPr>
        <w:tabs>
          <w:tab w:val="left" w:pos="630"/>
        </w:tabs>
        <w:spacing w:line="360" w:lineRule="auto"/>
        <w:ind w:firstLineChars="0"/>
        <w:rPr>
          <w:rFonts w:hint="eastAsia" w:ascii="宋体" w:hAnsi="宋体"/>
          <w:b/>
          <w:szCs w:val="21"/>
        </w:rPr>
      </w:pPr>
      <w:r>
        <w:rPr>
          <w:rFonts w:hint="eastAsia" w:ascii="宋体" w:hAnsi="宋体"/>
          <w:b/>
          <w:szCs w:val="21"/>
        </w:rPr>
        <w:t>合同单位及清单内容</w:t>
      </w:r>
    </w:p>
    <w:tbl>
      <w:tblPr>
        <w:tblStyle w:val="44"/>
        <w:tblW w:w="8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43"/>
        <w:gridCol w:w="4285"/>
        <w:gridCol w:w="1179"/>
      </w:tblGrid>
      <w:tr w14:paraId="17F5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1517" w:type="dxa"/>
            <w:tcBorders>
              <w:left w:val="single" w:color="auto" w:sz="8" w:space="0"/>
              <w:right w:val="single" w:color="auto" w:sz="4" w:space="0"/>
            </w:tcBorders>
            <w:vAlign w:val="center"/>
          </w:tcPr>
          <w:p w14:paraId="15B34404">
            <w:pPr>
              <w:jc w:val="center"/>
              <w:rPr>
                <w:rFonts w:hint="eastAsia" w:ascii="宋体" w:hAnsi="宋体"/>
                <w:szCs w:val="21"/>
              </w:rPr>
            </w:pPr>
            <w:r>
              <w:rPr>
                <w:rFonts w:hint="eastAsia" w:ascii="宋体" w:hAnsi="宋体"/>
                <w:szCs w:val="21"/>
              </w:rPr>
              <w:t>序号</w:t>
            </w:r>
          </w:p>
        </w:tc>
        <w:tc>
          <w:tcPr>
            <w:tcW w:w="1843" w:type="dxa"/>
            <w:tcBorders>
              <w:left w:val="single" w:color="auto" w:sz="8" w:space="0"/>
              <w:right w:val="single" w:color="auto" w:sz="4" w:space="0"/>
            </w:tcBorders>
            <w:vAlign w:val="center"/>
          </w:tcPr>
          <w:p w14:paraId="19451AB5">
            <w:pPr>
              <w:jc w:val="center"/>
              <w:rPr>
                <w:rFonts w:hint="eastAsia" w:ascii="宋体" w:hAnsi="宋体"/>
                <w:szCs w:val="21"/>
              </w:rPr>
            </w:pPr>
            <w:r>
              <w:rPr>
                <w:rFonts w:hint="eastAsia" w:ascii="宋体" w:hAnsi="宋体"/>
                <w:szCs w:val="21"/>
              </w:rPr>
              <w:t>商品名称</w:t>
            </w:r>
          </w:p>
        </w:tc>
        <w:tc>
          <w:tcPr>
            <w:tcW w:w="4285" w:type="dxa"/>
            <w:tcBorders>
              <w:left w:val="single" w:color="auto" w:sz="4" w:space="0"/>
              <w:bottom w:val="single" w:color="auto" w:sz="8" w:space="0"/>
              <w:right w:val="single" w:color="auto" w:sz="4" w:space="0"/>
            </w:tcBorders>
            <w:vAlign w:val="center"/>
          </w:tcPr>
          <w:p w14:paraId="0B1E4FA6">
            <w:pPr>
              <w:jc w:val="center"/>
              <w:rPr>
                <w:rFonts w:hint="eastAsia" w:ascii="宋体" w:hAnsi="宋体"/>
                <w:szCs w:val="21"/>
              </w:rPr>
            </w:pPr>
            <w:r>
              <w:rPr>
                <w:rFonts w:hint="eastAsia" w:ascii="宋体" w:hAnsi="宋体"/>
                <w:szCs w:val="21"/>
              </w:rPr>
              <w:t>品牌、规格型号、配置（性能参数）</w:t>
            </w:r>
          </w:p>
        </w:tc>
        <w:tc>
          <w:tcPr>
            <w:tcW w:w="1179" w:type="dxa"/>
            <w:tcBorders>
              <w:left w:val="single" w:color="auto" w:sz="4" w:space="0"/>
              <w:bottom w:val="single" w:color="auto" w:sz="8" w:space="0"/>
              <w:right w:val="single" w:color="auto" w:sz="4" w:space="0"/>
            </w:tcBorders>
            <w:vAlign w:val="center"/>
          </w:tcPr>
          <w:p w14:paraId="24E24822">
            <w:pPr>
              <w:jc w:val="center"/>
              <w:rPr>
                <w:rFonts w:hint="eastAsia" w:ascii="宋体" w:hAnsi="宋体"/>
                <w:szCs w:val="21"/>
              </w:rPr>
            </w:pPr>
            <w:r>
              <w:rPr>
                <w:rFonts w:hint="eastAsia" w:ascii="宋体" w:hAnsi="宋体"/>
                <w:szCs w:val="21"/>
              </w:rPr>
              <w:t>单价（元）</w:t>
            </w:r>
          </w:p>
        </w:tc>
      </w:tr>
      <w:tr w14:paraId="6CCBF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1517" w:type="dxa"/>
            <w:tcBorders>
              <w:left w:val="single" w:color="auto" w:sz="8" w:space="0"/>
              <w:right w:val="single" w:color="auto" w:sz="4" w:space="0"/>
            </w:tcBorders>
            <w:vAlign w:val="center"/>
          </w:tcPr>
          <w:p w14:paraId="51EB39F0">
            <w:pPr>
              <w:spacing w:line="360" w:lineRule="auto"/>
              <w:jc w:val="center"/>
              <w:rPr>
                <w:rFonts w:hint="eastAsia" w:ascii="宋体" w:hAnsi="宋体"/>
                <w:szCs w:val="21"/>
              </w:rPr>
            </w:pPr>
            <w:r>
              <w:rPr>
                <w:rFonts w:hint="eastAsia" w:ascii="宋体" w:hAnsi="宋体"/>
                <w:szCs w:val="21"/>
              </w:rPr>
              <w:t>1</w:t>
            </w:r>
          </w:p>
        </w:tc>
        <w:tc>
          <w:tcPr>
            <w:tcW w:w="1843" w:type="dxa"/>
            <w:tcBorders>
              <w:left w:val="single" w:color="auto" w:sz="8" w:space="0"/>
              <w:right w:val="single" w:color="auto" w:sz="4" w:space="0"/>
            </w:tcBorders>
            <w:vAlign w:val="center"/>
          </w:tcPr>
          <w:p w14:paraId="481A8128">
            <w:pPr>
              <w:spacing w:line="360" w:lineRule="auto"/>
              <w:rPr>
                <w:rFonts w:hint="eastAsia" w:ascii="宋体" w:hAnsi="宋体"/>
                <w:szCs w:val="21"/>
              </w:rPr>
            </w:pPr>
          </w:p>
        </w:tc>
        <w:tc>
          <w:tcPr>
            <w:tcW w:w="4285" w:type="dxa"/>
            <w:tcBorders>
              <w:left w:val="single" w:color="auto" w:sz="4" w:space="0"/>
              <w:right w:val="single" w:color="auto" w:sz="4" w:space="0"/>
            </w:tcBorders>
            <w:vAlign w:val="center"/>
          </w:tcPr>
          <w:p w14:paraId="3BD9B49F">
            <w:pPr>
              <w:spacing w:line="360" w:lineRule="auto"/>
              <w:rPr>
                <w:rFonts w:hint="eastAsia" w:ascii="宋体" w:hAnsi="宋体"/>
                <w:szCs w:val="21"/>
              </w:rPr>
            </w:pPr>
          </w:p>
        </w:tc>
        <w:tc>
          <w:tcPr>
            <w:tcW w:w="1179" w:type="dxa"/>
            <w:tcBorders>
              <w:left w:val="single" w:color="auto" w:sz="4" w:space="0"/>
              <w:bottom w:val="single" w:color="auto" w:sz="8" w:space="0"/>
              <w:right w:val="single" w:color="auto" w:sz="4" w:space="0"/>
            </w:tcBorders>
            <w:vAlign w:val="center"/>
          </w:tcPr>
          <w:p w14:paraId="29F3107A">
            <w:pPr>
              <w:spacing w:line="360" w:lineRule="auto"/>
              <w:rPr>
                <w:rFonts w:hint="eastAsia" w:ascii="宋体" w:hAnsi="宋体"/>
                <w:szCs w:val="21"/>
              </w:rPr>
            </w:pPr>
          </w:p>
        </w:tc>
      </w:tr>
      <w:tr w14:paraId="70403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jc w:val="center"/>
        </w:trPr>
        <w:tc>
          <w:tcPr>
            <w:tcW w:w="1517" w:type="dxa"/>
            <w:tcBorders>
              <w:left w:val="single" w:color="auto" w:sz="8" w:space="0"/>
              <w:right w:val="single" w:color="auto" w:sz="4" w:space="0"/>
            </w:tcBorders>
            <w:vAlign w:val="center"/>
          </w:tcPr>
          <w:p w14:paraId="6771DC6D">
            <w:pPr>
              <w:spacing w:line="360" w:lineRule="auto"/>
              <w:jc w:val="center"/>
              <w:rPr>
                <w:rFonts w:hint="eastAsia" w:ascii="宋体" w:hAnsi="宋体"/>
                <w:szCs w:val="21"/>
              </w:rPr>
            </w:pPr>
            <w:r>
              <w:rPr>
                <w:rFonts w:hint="eastAsia" w:ascii="宋体" w:hAnsi="宋体"/>
                <w:szCs w:val="21"/>
              </w:rPr>
              <w:t>2</w:t>
            </w:r>
          </w:p>
        </w:tc>
        <w:tc>
          <w:tcPr>
            <w:tcW w:w="1843" w:type="dxa"/>
            <w:tcBorders>
              <w:left w:val="single" w:color="auto" w:sz="8" w:space="0"/>
              <w:right w:val="single" w:color="auto" w:sz="4" w:space="0"/>
            </w:tcBorders>
            <w:vAlign w:val="center"/>
          </w:tcPr>
          <w:p w14:paraId="162230B8">
            <w:pPr>
              <w:spacing w:line="360" w:lineRule="auto"/>
              <w:rPr>
                <w:rFonts w:hint="eastAsia" w:ascii="宋体" w:hAnsi="宋体"/>
                <w:szCs w:val="21"/>
              </w:rPr>
            </w:pPr>
          </w:p>
        </w:tc>
        <w:tc>
          <w:tcPr>
            <w:tcW w:w="4285" w:type="dxa"/>
            <w:tcBorders>
              <w:left w:val="single" w:color="auto" w:sz="4" w:space="0"/>
              <w:right w:val="single" w:color="auto" w:sz="4" w:space="0"/>
            </w:tcBorders>
            <w:vAlign w:val="center"/>
          </w:tcPr>
          <w:p w14:paraId="38B3C4A2">
            <w:pPr>
              <w:spacing w:line="360" w:lineRule="auto"/>
              <w:rPr>
                <w:rFonts w:hint="eastAsia" w:ascii="宋体" w:hAnsi="宋体"/>
                <w:szCs w:val="21"/>
              </w:rPr>
            </w:pPr>
          </w:p>
        </w:tc>
        <w:tc>
          <w:tcPr>
            <w:tcW w:w="1179" w:type="dxa"/>
            <w:tcBorders>
              <w:left w:val="single" w:color="auto" w:sz="4" w:space="0"/>
              <w:bottom w:val="single" w:color="auto" w:sz="8" w:space="0"/>
              <w:right w:val="single" w:color="auto" w:sz="4" w:space="0"/>
            </w:tcBorders>
            <w:vAlign w:val="center"/>
          </w:tcPr>
          <w:p w14:paraId="638B40C2">
            <w:pPr>
              <w:spacing w:line="360" w:lineRule="auto"/>
              <w:rPr>
                <w:rFonts w:hint="eastAsia" w:ascii="宋体" w:hAnsi="宋体"/>
                <w:szCs w:val="21"/>
              </w:rPr>
            </w:pPr>
          </w:p>
        </w:tc>
      </w:tr>
      <w:tr w14:paraId="33362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517" w:type="dxa"/>
            <w:tcBorders>
              <w:left w:val="single" w:color="auto" w:sz="8" w:space="0"/>
              <w:right w:val="single" w:color="auto" w:sz="4" w:space="0"/>
            </w:tcBorders>
            <w:vAlign w:val="center"/>
          </w:tcPr>
          <w:p w14:paraId="6BA5B1EE">
            <w:pPr>
              <w:spacing w:line="360" w:lineRule="auto"/>
              <w:jc w:val="center"/>
              <w:rPr>
                <w:rFonts w:hint="eastAsia" w:ascii="宋体" w:hAnsi="宋体"/>
                <w:szCs w:val="21"/>
              </w:rPr>
            </w:pPr>
            <w:r>
              <w:rPr>
                <w:rFonts w:hint="eastAsia" w:ascii="宋体" w:hAnsi="宋体"/>
                <w:szCs w:val="21"/>
              </w:rPr>
              <w:t>...</w:t>
            </w:r>
          </w:p>
        </w:tc>
        <w:tc>
          <w:tcPr>
            <w:tcW w:w="1843" w:type="dxa"/>
            <w:tcBorders>
              <w:left w:val="single" w:color="auto" w:sz="8" w:space="0"/>
              <w:right w:val="single" w:color="auto" w:sz="4" w:space="0"/>
            </w:tcBorders>
            <w:vAlign w:val="center"/>
          </w:tcPr>
          <w:p w14:paraId="4EA7D532">
            <w:pPr>
              <w:spacing w:line="360" w:lineRule="auto"/>
              <w:rPr>
                <w:rFonts w:hint="eastAsia" w:ascii="宋体" w:hAnsi="宋体"/>
                <w:szCs w:val="21"/>
              </w:rPr>
            </w:pPr>
          </w:p>
        </w:tc>
        <w:tc>
          <w:tcPr>
            <w:tcW w:w="4285" w:type="dxa"/>
            <w:tcBorders>
              <w:left w:val="single" w:color="auto" w:sz="4" w:space="0"/>
              <w:right w:val="single" w:color="auto" w:sz="4" w:space="0"/>
            </w:tcBorders>
            <w:vAlign w:val="center"/>
          </w:tcPr>
          <w:p w14:paraId="17AAC1FF">
            <w:pPr>
              <w:spacing w:line="360" w:lineRule="auto"/>
              <w:rPr>
                <w:rFonts w:hint="eastAsia" w:ascii="宋体" w:hAnsi="宋体"/>
                <w:szCs w:val="21"/>
              </w:rPr>
            </w:pPr>
          </w:p>
        </w:tc>
        <w:tc>
          <w:tcPr>
            <w:tcW w:w="1179" w:type="dxa"/>
            <w:tcBorders>
              <w:left w:val="single" w:color="auto" w:sz="4" w:space="0"/>
              <w:bottom w:val="single" w:color="auto" w:sz="8" w:space="0"/>
              <w:right w:val="single" w:color="auto" w:sz="4" w:space="0"/>
            </w:tcBorders>
            <w:vAlign w:val="center"/>
          </w:tcPr>
          <w:p w14:paraId="0CE11D85">
            <w:pPr>
              <w:spacing w:line="360" w:lineRule="auto"/>
              <w:rPr>
                <w:rFonts w:hint="eastAsia" w:ascii="宋体" w:hAnsi="宋体"/>
                <w:szCs w:val="21"/>
              </w:rPr>
            </w:pPr>
          </w:p>
        </w:tc>
      </w:tr>
    </w:tbl>
    <w:p w14:paraId="40A438F4">
      <w:pPr>
        <w:spacing w:after="0" w:line="360" w:lineRule="auto"/>
        <w:ind w:firstLine="420" w:firstLineChars="200"/>
        <w:rPr>
          <w:rFonts w:hint="eastAsia" w:ascii="宋体" w:hAnsi="宋体"/>
          <w:szCs w:val="21"/>
        </w:rPr>
      </w:pPr>
      <w:bookmarkStart w:id="653" w:name="_Hlk171948147"/>
      <w:r>
        <w:rPr>
          <w:rFonts w:hint="eastAsia" w:ascii="宋体" w:hAnsi="宋体"/>
          <w:szCs w:val="21"/>
        </w:rPr>
        <w:t>注：1、合同包括乙方配送、随机零配件、标配工具、运输保险、装卸费用、质保期服务、各项税费及合同实施过程中不可预见费用等。设备包含</w:t>
      </w:r>
      <w:r>
        <w:rPr>
          <w:bCs/>
          <w:spacing w:val="2"/>
          <w:szCs w:val="21"/>
        </w:rPr>
        <w:t>安装、调试，</w:t>
      </w:r>
      <w:r>
        <w:rPr>
          <w:rFonts w:hint="eastAsia"/>
          <w:bCs/>
          <w:spacing w:val="2"/>
          <w:szCs w:val="21"/>
        </w:rPr>
        <w:t>直至验收通过</w:t>
      </w:r>
      <w:r>
        <w:rPr>
          <w:bCs/>
          <w:spacing w:val="2"/>
          <w:szCs w:val="21"/>
        </w:rPr>
        <w:t>。</w:t>
      </w:r>
    </w:p>
    <w:p w14:paraId="7729B3CA">
      <w:pPr>
        <w:spacing w:after="0" w:line="360" w:lineRule="auto"/>
        <w:ind w:firstLine="420" w:firstLineChars="200"/>
        <w:rPr>
          <w:rFonts w:hint="eastAsia" w:ascii="宋体" w:hAnsi="宋体"/>
          <w:szCs w:val="21"/>
        </w:rPr>
      </w:pPr>
      <w:r>
        <w:rPr>
          <w:rFonts w:hint="eastAsia" w:ascii="宋体" w:hAnsi="宋体"/>
          <w:szCs w:val="21"/>
        </w:rPr>
        <w:t>2、产品名称内容必须与投标文件中产品名称内容一致。</w:t>
      </w:r>
    </w:p>
    <w:bookmarkEnd w:id="653"/>
    <w:p w14:paraId="15E353B5">
      <w:pPr>
        <w:spacing w:after="0" w:line="360" w:lineRule="auto"/>
        <w:rPr>
          <w:rFonts w:hint="eastAsia" w:ascii="宋体" w:hAnsi="宋体"/>
          <w:b/>
        </w:rPr>
      </w:pPr>
      <w:r>
        <w:rPr>
          <w:rFonts w:hint="eastAsia" w:ascii="宋体" w:hAnsi="宋体"/>
          <w:b/>
          <w:szCs w:val="21"/>
        </w:rPr>
        <w:t>二、质量要求技术标准：</w:t>
      </w:r>
    </w:p>
    <w:p w14:paraId="4D0EFC07">
      <w:pPr>
        <w:widowControl/>
        <w:spacing w:after="0" w:line="360" w:lineRule="auto"/>
        <w:ind w:firstLine="420" w:firstLineChars="200"/>
        <w:jc w:val="left"/>
        <w:rPr>
          <w:rFonts w:hint="eastAsia" w:ascii="宋体" w:hAnsi="宋体"/>
          <w:szCs w:val="21"/>
        </w:rPr>
      </w:pPr>
      <w:r>
        <w:rPr>
          <w:rFonts w:hint="eastAsia" w:ascii="宋体" w:hAnsi="宋体"/>
          <w:szCs w:val="21"/>
        </w:rPr>
        <w:t>乙方按照经双方确认的产品规格、要求、质量标准进行供货。产品发出前，乙方需向甲方提供所发产品出厂合格证、质量检验报告等质量证明文件。</w:t>
      </w:r>
    </w:p>
    <w:p w14:paraId="52E77800">
      <w:pPr>
        <w:spacing w:after="0" w:line="360" w:lineRule="auto"/>
        <w:rPr>
          <w:rFonts w:hint="eastAsia" w:ascii="宋体" w:hAnsi="宋体"/>
          <w:b/>
        </w:rPr>
      </w:pPr>
      <w:r>
        <w:rPr>
          <w:rFonts w:hint="eastAsia" w:ascii="宋体" w:hAnsi="宋体"/>
          <w:b/>
          <w:szCs w:val="21"/>
        </w:rPr>
        <w:t>三、产品包装及运输：</w:t>
      </w:r>
    </w:p>
    <w:p w14:paraId="14F38194">
      <w:pPr>
        <w:pStyle w:val="42"/>
        <w:spacing w:after="0" w:line="360" w:lineRule="auto"/>
        <w:ind w:firstLineChars="200"/>
        <w:rPr>
          <w:rFonts w:hint="eastAsia" w:ascii="宋体" w:hAnsi="宋体"/>
          <w:sz w:val="21"/>
          <w:szCs w:val="21"/>
        </w:rPr>
      </w:pPr>
      <w:r>
        <w:rPr>
          <w:rFonts w:ascii="宋体" w:hAnsi="宋体"/>
          <w:sz w:val="21"/>
          <w:szCs w:val="21"/>
        </w:rPr>
        <w:t>1.</w:t>
      </w:r>
      <w:r>
        <w:rPr>
          <w:rFonts w:hint="eastAsia" w:ascii="宋体" w:hAnsi="宋体"/>
          <w:sz w:val="21"/>
          <w:szCs w:val="21"/>
        </w:rPr>
        <w:t>包装必须与运输方式相适应，包装方式的确定和包装费用均由乙方负责；由于乙方原因导致的不适当的包装而造成的货物损坏由乙方负责。</w:t>
      </w:r>
    </w:p>
    <w:p w14:paraId="5CBEBB9E">
      <w:pPr>
        <w:pStyle w:val="42"/>
        <w:spacing w:after="0" w:line="360" w:lineRule="auto"/>
        <w:ind w:firstLineChars="200"/>
        <w:rPr>
          <w:rFonts w:hint="eastAsia" w:ascii="宋体" w:hAnsi="宋体"/>
          <w:sz w:val="21"/>
          <w:szCs w:val="21"/>
        </w:rPr>
      </w:pPr>
      <w:r>
        <w:rPr>
          <w:rFonts w:ascii="宋体" w:hAnsi="宋体"/>
          <w:sz w:val="21"/>
          <w:szCs w:val="21"/>
        </w:rPr>
        <w:t>2.</w:t>
      </w:r>
      <w:r>
        <w:rPr>
          <w:rFonts w:hint="eastAsia" w:ascii="宋体" w:hAnsi="宋体"/>
          <w:sz w:val="21"/>
          <w:szCs w:val="21"/>
        </w:rPr>
        <w:t>货物交至本合同约定地点前的货物损毁灭失的风险均由乙方负责。货到交货地点并完成卸货后，风险立即转移给甲方。</w:t>
      </w:r>
    </w:p>
    <w:p w14:paraId="1C3086B9">
      <w:pPr>
        <w:pStyle w:val="42"/>
        <w:spacing w:after="0" w:line="360" w:lineRule="auto"/>
        <w:ind w:firstLineChars="200"/>
        <w:rPr>
          <w:rFonts w:hint="eastAsia" w:ascii="宋体" w:hAnsi="宋体"/>
          <w:sz w:val="21"/>
          <w:szCs w:val="21"/>
        </w:rPr>
      </w:pPr>
      <w:r>
        <w:rPr>
          <w:rFonts w:ascii="宋体" w:hAnsi="宋体"/>
          <w:sz w:val="21"/>
          <w:szCs w:val="21"/>
        </w:rPr>
        <w:t>3</w:t>
      </w:r>
      <w:r>
        <w:rPr>
          <w:rFonts w:hint="eastAsia" w:ascii="宋体" w:hAnsi="宋体"/>
          <w:sz w:val="21"/>
          <w:szCs w:val="21"/>
        </w:rPr>
        <w:t>.乙方负责运输并承担运输费用及运输途中的一切风险责任，确保货物运输到甲方指定地点。</w:t>
      </w:r>
    </w:p>
    <w:p w14:paraId="0CAD3762">
      <w:pPr>
        <w:widowControl/>
        <w:tabs>
          <w:tab w:val="left" w:pos="630"/>
        </w:tabs>
        <w:spacing w:after="0" w:line="360" w:lineRule="auto"/>
        <w:jc w:val="left"/>
        <w:rPr>
          <w:rFonts w:hint="eastAsia" w:ascii="宋体" w:hAnsi="宋体"/>
          <w:b/>
          <w:szCs w:val="21"/>
        </w:rPr>
      </w:pPr>
      <w:r>
        <w:rPr>
          <w:rFonts w:hint="eastAsia" w:ascii="宋体" w:hAnsi="宋体"/>
          <w:b/>
          <w:szCs w:val="21"/>
        </w:rPr>
        <w:t>四、交货日期和收货地址：</w:t>
      </w:r>
    </w:p>
    <w:p w14:paraId="6C326BB6">
      <w:pPr>
        <w:pStyle w:val="16"/>
        <w:ind w:firstLine="420" w:firstLineChars="200"/>
        <w:rPr>
          <w:rFonts w:hint="eastAsia" w:ascii="宋体" w:hAnsi="宋体"/>
          <w:sz w:val="21"/>
          <w:szCs w:val="21"/>
        </w:rPr>
      </w:pPr>
      <w:r>
        <w:rPr>
          <w:rFonts w:hint="eastAsia" w:ascii="宋体" w:hAnsi="宋体"/>
          <w:sz w:val="21"/>
          <w:szCs w:val="21"/>
        </w:rPr>
        <w:t>1.备货：如乙方非设备原厂，购买设备需要甲方授权。乙方收到甲方书面通知后，才可以购买设备。</w:t>
      </w:r>
    </w:p>
    <w:p w14:paraId="655B1F66">
      <w:pPr>
        <w:widowControl/>
        <w:spacing w:after="0" w:line="360" w:lineRule="auto"/>
        <w:ind w:firstLine="420" w:firstLineChars="200"/>
        <w:jc w:val="left"/>
        <w:rPr>
          <w:rFonts w:hint="eastAsia" w:ascii="宋体" w:hAnsi="宋体"/>
          <w:szCs w:val="21"/>
        </w:rPr>
      </w:pPr>
      <w:bookmarkStart w:id="654" w:name="_Hlk171948309"/>
      <w:r>
        <w:rPr>
          <w:rFonts w:hint="eastAsia" w:ascii="宋体" w:hAnsi="宋体"/>
          <w:szCs w:val="21"/>
        </w:rPr>
        <w:t>2.交货日期：</w:t>
      </w:r>
      <w:r>
        <w:rPr>
          <w:rFonts w:hint="eastAsia" w:ascii="宋体" w:hAnsi="宋体"/>
          <w:spacing w:val="2"/>
          <w:szCs w:val="21"/>
        </w:rPr>
        <w:t>乙方须在接到甲方的送货通知后按订单规定配送时间要求</w:t>
      </w:r>
      <w:r>
        <w:rPr>
          <w:rFonts w:hint="eastAsia" w:ascii="宋体" w:hAnsi="宋体"/>
          <w:szCs w:val="21"/>
        </w:rPr>
        <w:t>，将货物送达到甲方指定收货地点。到货具体时间及数量以甲方的通知为准。</w:t>
      </w:r>
    </w:p>
    <w:p w14:paraId="73D076AD">
      <w:pPr>
        <w:widowControl/>
        <w:spacing w:after="0" w:line="360" w:lineRule="auto"/>
        <w:ind w:firstLine="420" w:firstLineChars="200"/>
        <w:jc w:val="left"/>
        <w:rPr>
          <w:rFonts w:hint="eastAsia" w:ascii="宋体" w:hAnsi="宋体"/>
          <w:szCs w:val="21"/>
        </w:rPr>
      </w:pPr>
      <w:r>
        <w:rPr>
          <w:rFonts w:hint="eastAsia" w:ascii="宋体" w:hAnsi="宋体"/>
          <w:szCs w:val="21"/>
        </w:rPr>
        <w:t xml:space="preserve">3.收货地址：                     </w:t>
      </w:r>
    </w:p>
    <w:p w14:paraId="1F65B6E6">
      <w:pPr>
        <w:widowControl/>
        <w:spacing w:after="0" w:line="360" w:lineRule="auto"/>
        <w:ind w:firstLine="840" w:firstLineChars="400"/>
        <w:jc w:val="left"/>
        <w:rPr>
          <w:rFonts w:hint="eastAsia" w:ascii="宋体" w:hAnsi="宋体"/>
          <w:szCs w:val="21"/>
        </w:rPr>
      </w:pPr>
      <w:r>
        <w:rPr>
          <w:rFonts w:hint="eastAsia" w:ascii="宋体" w:hAnsi="宋体"/>
          <w:szCs w:val="21"/>
        </w:rPr>
        <w:t xml:space="preserve">收货人：                    ；联系电话： </w:t>
      </w:r>
      <w:bookmarkEnd w:id="654"/>
    </w:p>
    <w:p w14:paraId="1C264656">
      <w:pPr>
        <w:widowControl/>
        <w:tabs>
          <w:tab w:val="left" w:pos="630"/>
        </w:tabs>
        <w:spacing w:after="0" w:line="360" w:lineRule="auto"/>
        <w:jc w:val="left"/>
        <w:rPr>
          <w:rFonts w:hint="eastAsia" w:ascii="宋体" w:hAnsi="宋体"/>
          <w:b/>
          <w:szCs w:val="21"/>
        </w:rPr>
      </w:pPr>
      <w:r>
        <w:rPr>
          <w:rFonts w:hint="eastAsia" w:ascii="宋体" w:hAnsi="宋体"/>
          <w:b/>
          <w:szCs w:val="21"/>
        </w:rPr>
        <w:t>五、付款方式：</w:t>
      </w:r>
    </w:p>
    <w:p w14:paraId="10E98A6C">
      <w:pPr>
        <w:spacing w:after="0" w:line="360" w:lineRule="auto"/>
        <w:ind w:firstLine="420" w:firstLineChars="200"/>
        <w:rPr>
          <w:rFonts w:hint="eastAsia" w:ascii="宋体" w:hAnsi="宋体"/>
          <w:szCs w:val="21"/>
          <w:lang w:eastAsia="zh-CN"/>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lang w:eastAsia="zh-CN"/>
        </w:rPr>
        <w:t>乙方中标后须与甲方成立一个共管账户。</w:t>
      </w:r>
    </w:p>
    <w:p w14:paraId="24D68229">
      <w:pPr>
        <w:spacing w:after="0" w:line="360" w:lineRule="auto"/>
        <w:ind w:firstLine="420" w:firstLineChars="200"/>
        <w:rPr>
          <w:rFonts w:hint="eastAsia" w:ascii="宋体" w:hAnsi="宋体"/>
          <w:szCs w:val="21"/>
          <w:lang w:eastAsia="zh-CN"/>
        </w:rPr>
      </w:pPr>
      <w:r>
        <w:rPr>
          <w:rFonts w:hint="eastAsia" w:ascii="宋体" w:hAnsi="宋体"/>
          <w:szCs w:val="21"/>
          <w:lang w:eastAsia="zh-CN"/>
        </w:rPr>
        <w:t>2</w:t>
      </w:r>
      <w:r>
        <w:rPr>
          <w:rFonts w:hint="eastAsia" w:ascii="宋体" w:hAnsi="宋体"/>
          <w:szCs w:val="21"/>
          <w:lang w:val="en-US" w:eastAsia="zh-CN"/>
        </w:rPr>
        <w:t>.</w:t>
      </w:r>
      <w:r>
        <w:rPr>
          <w:rFonts w:hint="eastAsia" w:ascii="宋体" w:hAnsi="宋体"/>
          <w:szCs w:val="21"/>
          <w:lang w:eastAsia="zh-CN"/>
        </w:rPr>
        <w:t>合同签订后甲方支付合同金额的97%到共管账户。</w:t>
      </w:r>
    </w:p>
    <w:p w14:paraId="03E4E007">
      <w:pPr>
        <w:spacing w:after="0" w:line="360" w:lineRule="auto"/>
        <w:ind w:firstLine="420" w:firstLineChars="200"/>
        <w:rPr>
          <w:rFonts w:hint="eastAsia" w:ascii="宋体" w:hAnsi="宋体"/>
          <w:szCs w:val="21"/>
          <w:lang w:eastAsia="zh-CN"/>
        </w:rPr>
      </w:pPr>
      <w:r>
        <w:rPr>
          <w:rFonts w:hint="eastAsia" w:ascii="宋体" w:hAnsi="宋体"/>
          <w:szCs w:val="21"/>
          <w:lang w:eastAsia="zh-CN"/>
        </w:rPr>
        <w:t>3</w:t>
      </w:r>
      <w:r>
        <w:rPr>
          <w:rFonts w:hint="eastAsia" w:ascii="宋体" w:hAnsi="宋体"/>
          <w:szCs w:val="21"/>
          <w:lang w:val="en-US" w:eastAsia="zh-CN"/>
        </w:rPr>
        <w:t>.</w:t>
      </w:r>
      <w:r>
        <w:rPr>
          <w:rFonts w:hint="eastAsia" w:ascii="宋体" w:hAnsi="宋体"/>
          <w:szCs w:val="21"/>
          <w:lang w:eastAsia="zh-CN"/>
        </w:rPr>
        <w:t>共管账户管理：（</w:t>
      </w:r>
      <w:r>
        <w:rPr>
          <w:rFonts w:hint="eastAsia" w:ascii="宋体" w:hAnsi="宋体"/>
          <w:szCs w:val="21"/>
          <w:lang w:val="en-US" w:eastAsia="zh-CN"/>
        </w:rPr>
        <w:t>1</w:t>
      </w:r>
      <w:r>
        <w:rPr>
          <w:rFonts w:hint="eastAsia" w:ascii="宋体" w:hAnsi="宋体"/>
          <w:szCs w:val="21"/>
          <w:lang w:eastAsia="zh-CN"/>
        </w:rPr>
        <w:t>）预付款：本项目安装现场达到安装条件时，由甲方指令进行发货，甲方从共管账户支付合同金额的30%至乙方账户；</w:t>
      </w:r>
    </w:p>
    <w:p w14:paraId="41DC1C27">
      <w:pPr>
        <w:spacing w:after="0" w:line="360" w:lineRule="auto"/>
        <w:rPr>
          <w:rFonts w:hint="eastAsia" w:ascii="宋体" w:hAnsi="宋体"/>
          <w:szCs w:val="21"/>
          <w:lang w:eastAsia="zh-CN"/>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）进度款：本项目设备（按合同金额计算不少于10%的设备）配送至招标人指定地点后，甲方从共管账户支付合同金额的40%至乙方账户；</w:t>
      </w:r>
    </w:p>
    <w:p w14:paraId="1134CF60">
      <w:pPr>
        <w:spacing w:after="0" w:line="360" w:lineRule="auto"/>
        <w:rPr>
          <w:rFonts w:hint="eastAsia" w:ascii="宋体" w:hAnsi="宋体"/>
          <w:szCs w:val="21"/>
          <w:lang w:eastAsia="zh-CN"/>
        </w:rPr>
      </w:pPr>
      <w:r>
        <w:rPr>
          <w:rFonts w:hint="eastAsia" w:ascii="宋体" w:hAnsi="宋体"/>
          <w:szCs w:val="21"/>
          <w:lang w:eastAsia="zh-CN"/>
        </w:rPr>
        <w:t>（</w:t>
      </w:r>
      <w:r>
        <w:rPr>
          <w:rFonts w:hint="eastAsia" w:ascii="宋体" w:hAnsi="宋体"/>
          <w:szCs w:val="21"/>
          <w:lang w:val="en-US" w:eastAsia="zh-CN"/>
        </w:rPr>
        <w:t>3</w:t>
      </w:r>
      <w:r>
        <w:rPr>
          <w:rFonts w:hint="eastAsia" w:ascii="宋体" w:hAnsi="宋体"/>
          <w:szCs w:val="21"/>
          <w:lang w:eastAsia="zh-CN"/>
        </w:rPr>
        <w:t>）进度款：所有设备完成安装调试并通过验收后，甲方从共管账户支付经第三方审定的金额97%至乙方账户，如共管账户有盈余剩余金额退回甲方账户。</w:t>
      </w:r>
    </w:p>
    <w:p w14:paraId="513DE9A6">
      <w:pPr>
        <w:spacing w:after="0" w:line="360" w:lineRule="auto"/>
        <w:ind w:firstLine="420" w:firstLineChars="200"/>
        <w:rPr>
          <w:rFonts w:hint="eastAsia" w:ascii="宋体" w:hAnsi="宋体"/>
          <w:szCs w:val="21"/>
          <w:lang w:eastAsia="zh-CN"/>
        </w:rPr>
      </w:pPr>
      <w:r>
        <w:rPr>
          <w:rFonts w:hint="eastAsia" w:ascii="宋体" w:hAnsi="宋体"/>
          <w:szCs w:val="21"/>
          <w:lang w:eastAsia="zh-CN"/>
        </w:rPr>
        <w:t>4</w:t>
      </w:r>
      <w:r>
        <w:rPr>
          <w:rFonts w:hint="eastAsia" w:ascii="宋体" w:hAnsi="宋体"/>
          <w:szCs w:val="21"/>
          <w:lang w:val="en-US" w:eastAsia="zh-CN"/>
        </w:rPr>
        <w:t>.</w:t>
      </w:r>
      <w:r>
        <w:rPr>
          <w:rFonts w:hint="eastAsia" w:ascii="宋体" w:hAnsi="宋体"/>
          <w:szCs w:val="21"/>
          <w:lang w:eastAsia="zh-CN"/>
        </w:rPr>
        <w:t>尾款：本项目设备质保期结束后，经甲方确认后，甲方在10个工作日内完成审核，支付经第三方审定金额的3%。</w:t>
      </w:r>
    </w:p>
    <w:p w14:paraId="7959DCF1">
      <w:pPr>
        <w:spacing w:after="0" w:line="360" w:lineRule="auto"/>
        <w:rPr>
          <w:rFonts w:hint="eastAsia" w:ascii="宋体" w:hAnsi="宋体"/>
          <w:b/>
        </w:rPr>
      </w:pPr>
      <w:r>
        <w:rPr>
          <w:rFonts w:hint="eastAsia" w:ascii="宋体" w:hAnsi="宋体"/>
          <w:b/>
          <w:szCs w:val="21"/>
        </w:rPr>
        <w:t>六、产品验收：</w:t>
      </w:r>
    </w:p>
    <w:p w14:paraId="077E08C8">
      <w:pPr>
        <w:widowControl/>
        <w:spacing w:after="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rPr>
        <w:t>甲方应在货物到达现场后即完成验收（设备外观良好，无损伤，设备型号，规格、商标、零部件齐全），并在签收单上盖章或签字。</w:t>
      </w:r>
    </w:p>
    <w:p w14:paraId="0923A49F">
      <w:pPr>
        <w:widowControl/>
        <w:tabs>
          <w:tab w:val="left" w:pos="630"/>
        </w:tabs>
        <w:spacing w:after="0" w:line="360" w:lineRule="auto"/>
        <w:ind w:firstLine="420" w:firstLineChars="200"/>
        <w:jc w:val="left"/>
        <w:rPr>
          <w:rFonts w:hint="eastAsia" w:ascii="宋体" w:hAnsi="宋体"/>
          <w:szCs w:val="21"/>
        </w:rPr>
      </w:pPr>
      <w:r>
        <w:rPr>
          <w:rFonts w:ascii="宋体" w:hAnsi="宋体"/>
          <w:szCs w:val="21"/>
        </w:rPr>
        <w:t>2.</w:t>
      </w:r>
      <w:r>
        <w:rPr>
          <w:rFonts w:hint="eastAsia" w:ascii="宋体" w:hAnsi="宋体"/>
          <w:szCs w:val="21"/>
        </w:rPr>
        <w:t>甲方在验收时，如发现产品性能不合规定或约定，应在货物到达指定地点之日起15个工作日内、或检验机构做出检验报告之日起15个工作日内向乙方提出书面异议。乙方在接到甲方书面异议后，应在24小时内进行响应，并在双方约定的期限内进行处理。</w:t>
      </w:r>
    </w:p>
    <w:p w14:paraId="376F1193">
      <w:pPr>
        <w:spacing w:after="0" w:line="360" w:lineRule="auto"/>
        <w:rPr>
          <w:rFonts w:hint="eastAsia" w:ascii="宋体" w:hAnsi="宋体"/>
          <w:b/>
          <w:szCs w:val="21"/>
        </w:rPr>
      </w:pPr>
      <w:r>
        <w:rPr>
          <w:rFonts w:hint="eastAsia" w:ascii="宋体" w:hAnsi="宋体"/>
          <w:b/>
          <w:szCs w:val="21"/>
        </w:rPr>
        <w:t>七、设备检验和索赔</w:t>
      </w:r>
    </w:p>
    <w:p w14:paraId="3B01F584">
      <w:pPr>
        <w:widowControl/>
        <w:tabs>
          <w:tab w:val="left" w:pos="630"/>
        </w:tabs>
        <w:spacing w:after="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rPr>
        <w:t>卖方依据本合同交付的合同设备必须满足:</w:t>
      </w:r>
    </w:p>
    <w:p w14:paraId="55349CDF">
      <w:pPr>
        <w:widowControl/>
        <w:tabs>
          <w:tab w:val="left" w:pos="630"/>
        </w:tabs>
        <w:spacing w:after="0" w:line="360" w:lineRule="auto"/>
        <w:ind w:firstLine="420" w:firstLineChars="200"/>
        <w:jc w:val="left"/>
        <w:rPr>
          <w:rFonts w:hint="eastAsia" w:ascii="宋体" w:hAnsi="宋体"/>
          <w:szCs w:val="21"/>
        </w:rPr>
      </w:pPr>
      <w:r>
        <w:rPr>
          <w:rFonts w:hint="eastAsia" w:ascii="宋体" w:hAnsi="宋体"/>
          <w:szCs w:val="21"/>
        </w:rPr>
        <w:t>1.1中国相关部门的相应产业标准。</w:t>
      </w:r>
    </w:p>
    <w:p w14:paraId="5E7301A2">
      <w:pPr>
        <w:widowControl/>
        <w:tabs>
          <w:tab w:val="left" w:pos="630"/>
        </w:tabs>
        <w:spacing w:after="0" w:line="360" w:lineRule="auto"/>
        <w:ind w:firstLine="420" w:firstLineChars="200"/>
        <w:jc w:val="left"/>
        <w:rPr>
          <w:rFonts w:hint="eastAsia" w:ascii="宋体" w:hAnsi="宋体"/>
          <w:szCs w:val="21"/>
        </w:rPr>
      </w:pPr>
      <w:r>
        <w:rPr>
          <w:rFonts w:hint="eastAsia" w:ascii="宋体" w:hAnsi="宋体"/>
          <w:szCs w:val="21"/>
        </w:rPr>
        <w:t>1.2通过国家或行业相关的产品测试。</w:t>
      </w:r>
    </w:p>
    <w:p w14:paraId="7D128FE5">
      <w:pPr>
        <w:widowControl/>
        <w:tabs>
          <w:tab w:val="left" w:pos="630"/>
        </w:tabs>
        <w:spacing w:after="0" w:line="360" w:lineRule="auto"/>
        <w:ind w:firstLine="420" w:firstLineChars="200"/>
        <w:jc w:val="left"/>
        <w:rPr>
          <w:rFonts w:hint="eastAsia" w:ascii="宋体" w:hAnsi="宋体"/>
          <w:szCs w:val="21"/>
        </w:rPr>
      </w:pPr>
      <w:r>
        <w:rPr>
          <w:rFonts w:hint="eastAsia" w:ascii="宋体" w:hAnsi="宋体"/>
          <w:szCs w:val="21"/>
        </w:rPr>
        <w:t>1.3合同及</w:t>
      </w:r>
      <w:r>
        <w:rPr>
          <w:rFonts w:hint="eastAsia" w:ascii="宋体" w:hAnsi="宋体"/>
          <w:b/>
          <w:bCs/>
          <w:szCs w:val="21"/>
        </w:rPr>
        <w:t>附件:分项报价表</w:t>
      </w:r>
      <w:r>
        <w:rPr>
          <w:rFonts w:hint="eastAsia" w:ascii="宋体" w:hAnsi="宋体"/>
          <w:szCs w:val="21"/>
        </w:rPr>
        <w:t>对设备要求及安装要求。</w:t>
      </w:r>
    </w:p>
    <w:p w14:paraId="4C27418C">
      <w:pPr>
        <w:widowControl/>
        <w:tabs>
          <w:tab w:val="left" w:pos="630"/>
        </w:tabs>
        <w:spacing w:after="0" w:line="360" w:lineRule="auto"/>
        <w:ind w:firstLine="420" w:firstLineChars="200"/>
        <w:jc w:val="left"/>
        <w:rPr>
          <w:rFonts w:hint="eastAsia" w:ascii="宋体" w:hAnsi="宋体"/>
          <w:szCs w:val="21"/>
        </w:rPr>
      </w:pPr>
      <w:r>
        <w:rPr>
          <w:rFonts w:hint="eastAsia" w:ascii="宋体" w:hAnsi="宋体"/>
          <w:szCs w:val="21"/>
        </w:rPr>
        <w:t>1.4法律、法规及规章对合同设备的规定。</w:t>
      </w:r>
    </w:p>
    <w:p w14:paraId="190A6D5B">
      <w:pPr>
        <w:widowControl/>
        <w:tabs>
          <w:tab w:val="left" w:pos="630"/>
        </w:tabs>
        <w:spacing w:after="0" w:line="360" w:lineRule="auto"/>
        <w:ind w:firstLine="420" w:firstLineChars="200"/>
        <w:jc w:val="left"/>
        <w:rPr>
          <w:rFonts w:hint="eastAsia" w:ascii="宋体" w:hAnsi="宋体"/>
          <w:szCs w:val="21"/>
        </w:rPr>
      </w:pPr>
      <w:r>
        <w:rPr>
          <w:rFonts w:ascii="宋体" w:hAnsi="宋体"/>
          <w:szCs w:val="21"/>
        </w:rPr>
        <w:t>2.</w:t>
      </w:r>
      <w:r>
        <w:rPr>
          <w:rFonts w:hint="eastAsia" w:ascii="宋体" w:hAnsi="宋体"/>
          <w:szCs w:val="21"/>
        </w:rPr>
        <w:t>卖方应对所交付的合同设备进行出厂前的测试，并向买方和最终用户提供相关的测试报告、质量合格证、产地证明。</w:t>
      </w:r>
    </w:p>
    <w:p w14:paraId="4011F933">
      <w:pPr>
        <w:widowControl/>
        <w:tabs>
          <w:tab w:val="left" w:pos="630"/>
        </w:tabs>
        <w:spacing w:after="0" w:line="360" w:lineRule="auto"/>
        <w:ind w:firstLine="420" w:firstLineChars="200"/>
        <w:jc w:val="left"/>
        <w:rPr>
          <w:rFonts w:hint="eastAsia" w:ascii="宋体" w:hAnsi="宋体"/>
          <w:szCs w:val="21"/>
        </w:rPr>
      </w:pPr>
      <w:r>
        <w:rPr>
          <w:rFonts w:ascii="宋体" w:hAnsi="宋体"/>
          <w:szCs w:val="21"/>
        </w:rPr>
        <w:t>3.</w:t>
      </w:r>
      <w:r>
        <w:rPr>
          <w:rFonts w:hint="eastAsia" w:ascii="宋体" w:hAnsi="宋体"/>
          <w:szCs w:val="21"/>
        </w:rPr>
        <w:t>如果在开箱检验中发现货物有任何短少、损坏、缺陷或与合同规定不符，双方代表将签署一份详细报告；在卖方未派代表到场时，该报告将由买方和最终用户单方签署。该报告将作为买方和最终用户要求卖方进行退货、更换、修理或补充发货的有效证据。开箱检验后卖方同意由最终用户委托的质量检测机构对合同设备的性能等指标进行抽样检测，如抽样检测合格，则检测费由采购方承担；如抽样检测不合格，则检测费由卖方承担。</w:t>
      </w:r>
    </w:p>
    <w:p w14:paraId="0C91FBC3">
      <w:pPr>
        <w:widowControl/>
        <w:tabs>
          <w:tab w:val="left" w:pos="630"/>
        </w:tabs>
        <w:spacing w:after="0" w:line="360" w:lineRule="auto"/>
        <w:ind w:firstLine="420" w:firstLineChars="200"/>
        <w:jc w:val="left"/>
        <w:rPr>
          <w:rFonts w:hint="eastAsia" w:ascii="宋体" w:hAnsi="宋体"/>
          <w:szCs w:val="21"/>
        </w:rPr>
      </w:pPr>
      <w:r>
        <w:rPr>
          <w:rFonts w:ascii="宋体" w:hAnsi="宋体"/>
          <w:szCs w:val="21"/>
        </w:rPr>
        <w:t>4.</w:t>
      </w:r>
      <w:r>
        <w:rPr>
          <w:rFonts w:hint="eastAsia" w:ascii="宋体" w:hAnsi="宋体"/>
          <w:szCs w:val="21"/>
        </w:rPr>
        <w:t>如果在开箱检验中发现货物有任何短少、损坏、缺陷或合同设备与合同规定不符，卖方将在</w:t>
      </w:r>
      <w:r>
        <w:rPr>
          <w:rFonts w:ascii="宋体" w:hAnsi="宋体"/>
          <w:szCs w:val="21"/>
        </w:rPr>
        <w:t>5</w:t>
      </w:r>
      <w:r>
        <w:rPr>
          <w:rFonts w:hint="eastAsia" w:ascii="宋体" w:hAnsi="宋体"/>
          <w:szCs w:val="21"/>
        </w:rPr>
        <w:t>个工作日内自负费用进行更换、补充发货或对设备进行修理并送至最终用户安装现场，卖方收到买方通知后未在</w:t>
      </w:r>
      <w:r>
        <w:rPr>
          <w:rFonts w:ascii="宋体" w:hAnsi="宋体"/>
          <w:szCs w:val="21"/>
        </w:rPr>
        <w:t>15</w:t>
      </w:r>
      <w:r>
        <w:rPr>
          <w:rFonts w:hint="eastAsia" w:ascii="宋体" w:hAnsi="宋体"/>
          <w:szCs w:val="21"/>
        </w:rPr>
        <w:t>个工作日内更换与合同不符的货物的，因此产生的货物仓储费也由卖方承担。如果在抽样检测中发现货物不合格，则视为卖方违约，卖方应在收到最终用户通知后五个工作日内自负费用将合格产品送至最终用户指定地点，并且向最终用户支付合同总金额</w:t>
      </w:r>
      <w:r>
        <w:rPr>
          <w:rFonts w:ascii="宋体" w:hAnsi="宋体"/>
          <w:szCs w:val="21"/>
        </w:rPr>
        <w:t>1</w:t>
      </w:r>
      <w:r>
        <w:rPr>
          <w:rFonts w:hint="eastAsia" w:ascii="宋体" w:hAnsi="宋体"/>
          <w:szCs w:val="21"/>
        </w:rPr>
        <w:t>%的违约金，同时最终用户有权终止本合同。</w:t>
      </w:r>
    </w:p>
    <w:p w14:paraId="57742056">
      <w:pPr>
        <w:widowControl/>
        <w:tabs>
          <w:tab w:val="left" w:pos="630"/>
        </w:tabs>
        <w:spacing w:after="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rPr>
        <w:t>如卖方对买方和最终用户提出的更换、修理或补充发货等索赔要求有异议，卖方应在收到最终用户通知后五个工作日内采用书面的方式提出异议。如卖方未在该期限内提出书面异议，买方和最终用户的索赔要求将被视为卖方所接受。</w:t>
      </w:r>
    </w:p>
    <w:p w14:paraId="1D095B6F">
      <w:pPr>
        <w:widowControl/>
        <w:tabs>
          <w:tab w:val="left" w:pos="630"/>
        </w:tabs>
        <w:spacing w:after="0" w:line="360" w:lineRule="auto"/>
        <w:ind w:firstLine="422" w:firstLineChars="200"/>
        <w:jc w:val="left"/>
        <w:rPr>
          <w:rFonts w:hint="eastAsia" w:ascii="宋体" w:hAnsi="宋体"/>
          <w:b/>
          <w:szCs w:val="21"/>
        </w:rPr>
      </w:pPr>
      <w:r>
        <w:rPr>
          <w:rFonts w:hint="eastAsia" w:ascii="宋体" w:hAnsi="宋体"/>
          <w:b/>
          <w:szCs w:val="21"/>
        </w:rPr>
        <w:t>八、保修、赔偿和违约责任</w:t>
      </w:r>
    </w:p>
    <w:p w14:paraId="0B058326">
      <w:pPr>
        <w:pStyle w:val="42"/>
        <w:spacing w:after="0" w:line="360" w:lineRule="auto"/>
        <w:ind w:firstLineChars="200"/>
        <w:rPr>
          <w:rFonts w:hint="eastAsia" w:ascii="宋体" w:hAnsi="宋体"/>
          <w:sz w:val="21"/>
          <w:szCs w:val="21"/>
        </w:rPr>
      </w:pPr>
      <w:r>
        <w:rPr>
          <w:rFonts w:hint="eastAsia" w:ascii="宋体" w:hAnsi="宋体"/>
          <w:sz w:val="21"/>
          <w:szCs w:val="21"/>
        </w:rPr>
        <w:t>1．乙方保证向甲方提供的合同设备为全新、完整、未使用过的设备，并且保证性能和质量与合同规定相符。乙方保证其所提供的技术资料是完整、清晰和准确的，且符合合同及附件的有关规定。</w:t>
      </w:r>
    </w:p>
    <w:p w14:paraId="6D8509C4">
      <w:pPr>
        <w:pStyle w:val="42"/>
        <w:spacing w:after="0" w:line="360" w:lineRule="auto"/>
        <w:ind w:firstLineChars="200"/>
        <w:rPr>
          <w:rFonts w:hint="eastAsia" w:ascii="宋体" w:hAnsi="宋体"/>
          <w:b/>
          <w:color w:val="FF0000"/>
          <w:sz w:val="21"/>
          <w:szCs w:val="21"/>
        </w:rPr>
      </w:pPr>
      <w:r>
        <w:rPr>
          <w:rFonts w:hint="eastAsia" w:ascii="宋体" w:hAnsi="宋体"/>
          <w:sz w:val="21"/>
          <w:szCs w:val="21"/>
        </w:rPr>
        <w:t>2．质保期：乙方设备自设备验收通过之日起最低质保期限为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年，若生产厂家所规定的质保期限超出此期限，则以生产厂家的规定为准（厂家质保期限为：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年）。易损件的质保期限与整个项目的质保期限保持一致。</w:t>
      </w:r>
    </w:p>
    <w:p w14:paraId="23D4908D">
      <w:pPr>
        <w:pStyle w:val="42"/>
        <w:spacing w:after="0" w:line="360" w:lineRule="auto"/>
        <w:ind w:firstLineChars="200"/>
        <w:rPr>
          <w:rFonts w:hint="eastAsia" w:ascii="宋体" w:hAnsi="宋体"/>
          <w:sz w:val="21"/>
          <w:szCs w:val="21"/>
        </w:rPr>
      </w:pPr>
      <w:r>
        <w:rPr>
          <w:rFonts w:hint="eastAsia" w:ascii="宋体" w:hAnsi="宋体"/>
          <w:sz w:val="21"/>
          <w:szCs w:val="21"/>
        </w:rPr>
        <w:t>3．在质保期内，如果合同设备的性能和质量与合同规定不符，乙方负责排除缺陷，修理或更换出现故障的部件、零件和设备(包括软件和硬件)并运送至最终用户现场，所有费用(包括但不限于运输及保险费)由乙方承担。当发生部件损坏返修的情况时，该部件的质保期将重新计算。返修部件的质保期为返修后的</w:t>
      </w:r>
      <w:r>
        <w:rPr>
          <w:rFonts w:ascii="宋体" w:hAnsi="宋体"/>
          <w:sz w:val="21"/>
          <w:szCs w:val="21"/>
        </w:rPr>
        <w:t>6</w:t>
      </w:r>
      <w:r>
        <w:rPr>
          <w:rFonts w:hint="eastAsia" w:ascii="宋体" w:hAnsi="宋体"/>
          <w:sz w:val="21"/>
          <w:szCs w:val="21"/>
        </w:rPr>
        <w:t>个月或其原质保期的剩余期间，以两者中较长者计。</w:t>
      </w:r>
    </w:p>
    <w:p w14:paraId="2CBA3DE0">
      <w:pPr>
        <w:pStyle w:val="42"/>
        <w:spacing w:after="0" w:line="360" w:lineRule="auto"/>
        <w:ind w:firstLineChars="200"/>
        <w:rPr>
          <w:rFonts w:hint="eastAsia" w:ascii="宋体" w:hAnsi="宋体"/>
          <w:sz w:val="21"/>
          <w:szCs w:val="21"/>
        </w:rPr>
      </w:pPr>
      <w:r>
        <w:rPr>
          <w:rFonts w:hint="eastAsia" w:ascii="宋体" w:hAnsi="宋体"/>
          <w:sz w:val="21"/>
          <w:szCs w:val="21"/>
        </w:rPr>
        <w:t>为了对合同设备进行维护，乙方应对出现故障部分免费尽快进行修理或更换。就不影响合同设备正常运行的坏损件的修理或更换，乙方从在其指定地点收到故障设备之日起[    ]日内将修理后的设备或更换设备以最快运输方式送至最终用户现场。在特殊情况下，如果乙方不能在上述期限内将更换或修理后设备运至最终用户现场，双方将协商故障设备修理或更换时间期限，但无论如何不能影响合同设备正常运行。</w:t>
      </w:r>
    </w:p>
    <w:p w14:paraId="7FE48D3E">
      <w:pPr>
        <w:pStyle w:val="42"/>
        <w:spacing w:after="0" w:line="360" w:lineRule="auto"/>
        <w:ind w:firstLineChars="200"/>
        <w:rPr>
          <w:rFonts w:hint="eastAsia" w:ascii="宋体" w:hAnsi="宋体"/>
          <w:sz w:val="21"/>
          <w:szCs w:val="21"/>
        </w:rPr>
      </w:pPr>
      <w:r>
        <w:rPr>
          <w:rFonts w:hint="eastAsia" w:ascii="宋体" w:hAnsi="宋体"/>
          <w:sz w:val="21"/>
          <w:szCs w:val="21"/>
        </w:rPr>
        <w:t>质保期内的一般性故障，乙方应在接到通知后的</w:t>
      </w:r>
      <w:r>
        <w:rPr>
          <w:rFonts w:ascii="宋体" w:hAnsi="宋体"/>
          <w:sz w:val="21"/>
          <w:szCs w:val="21"/>
        </w:rPr>
        <w:t>8</w:t>
      </w:r>
      <w:r>
        <w:rPr>
          <w:rFonts w:hint="eastAsia" w:ascii="宋体" w:hAnsi="宋体"/>
          <w:sz w:val="21"/>
          <w:szCs w:val="21"/>
        </w:rPr>
        <w:t>小时内投标，以确定坏损件情况，就排除故障或修理、更换坏损件的设备做出决定并立即书面通知最终用户。乙方应在接到通知后的</w:t>
      </w:r>
      <w:r>
        <w:rPr>
          <w:rFonts w:ascii="宋体" w:hAnsi="宋体"/>
          <w:sz w:val="21"/>
          <w:szCs w:val="21"/>
        </w:rPr>
        <w:t>4</w:t>
      </w:r>
      <w:r>
        <w:rPr>
          <w:rFonts w:hint="eastAsia" w:ascii="宋体" w:hAnsi="宋体"/>
          <w:sz w:val="21"/>
          <w:szCs w:val="21"/>
        </w:rPr>
        <w:t>小时内排除上述故障。</w:t>
      </w:r>
    </w:p>
    <w:p w14:paraId="7E0B7FAD">
      <w:pPr>
        <w:pStyle w:val="42"/>
        <w:spacing w:after="0" w:line="360" w:lineRule="auto"/>
        <w:ind w:firstLineChars="200"/>
        <w:rPr>
          <w:rFonts w:hint="eastAsia" w:ascii="宋体" w:hAnsi="宋体"/>
          <w:sz w:val="21"/>
          <w:szCs w:val="21"/>
        </w:rPr>
      </w:pPr>
      <w:r>
        <w:rPr>
          <w:rFonts w:hint="eastAsia" w:ascii="宋体" w:hAnsi="宋体"/>
          <w:sz w:val="21"/>
          <w:szCs w:val="21"/>
        </w:rPr>
        <w:t>如果合同设备在质保期内出现重大故障，乙方应在接到最终用户通知后立即提供解决方案，并立即派遣工程技术人员用最快捷的交通工具前往现场，并在</w:t>
      </w:r>
      <w:r>
        <w:rPr>
          <w:rFonts w:ascii="宋体" w:hAnsi="宋体"/>
          <w:sz w:val="21"/>
          <w:szCs w:val="21"/>
        </w:rPr>
        <w:t>24</w:t>
      </w:r>
      <w:r>
        <w:rPr>
          <w:rFonts w:hint="eastAsia" w:ascii="宋体" w:hAnsi="宋体"/>
          <w:sz w:val="21"/>
          <w:szCs w:val="21"/>
        </w:rPr>
        <w:t>小时内恢复合同设备的正常运行。如因乙方原因造成合同设备重大故障，乙方将依照本合同的规定对由此而引起的甲方的损失承担责任。</w:t>
      </w:r>
    </w:p>
    <w:p w14:paraId="1A2E0F4E">
      <w:pPr>
        <w:pStyle w:val="42"/>
        <w:spacing w:after="0" w:line="360" w:lineRule="auto"/>
        <w:ind w:firstLineChars="200"/>
        <w:rPr>
          <w:rFonts w:hint="eastAsia" w:ascii="宋体" w:hAnsi="宋体"/>
          <w:sz w:val="21"/>
          <w:szCs w:val="21"/>
        </w:rPr>
      </w:pPr>
      <w:r>
        <w:rPr>
          <w:rFonts w:hint="eastAsia" w:ascii="宋体" w:hAnsi="宋体"/>
          <w:sz w:val="21"/>
          <w:szCs w:val="21"/>
        </w:rPr>
        <w:t>乙方的技术支持部门应在中国境内具有灵活、多样的通信手段，应提供每天24小时、每周7天的投标服务（“7×24小时投标服务”）。</w:t>
      </w:r>
    </w:p>
    <w:p w14:paraId="740DD5C3">
      <w:pPr>
        <w:pStyle w:val="42"/>
        <w:spacing w:after="0" w:line="360" w:lineRule="auto"/>
        <w:ind w:firstLineChars="200"/>
        <w:rPr>
          <w:rFonts w:hint="eastAsia" w:ascii="宋体" w:hAnsi="宋体"/>
          <w:sz w:val="21"/>
          <w:szCs w:val="21"/>
        </w:rPr>
      </w:pPr>
      <w:r>
        <w:rPr>
          <w:rFonts w:hint="eastAsia" w:ascii="宋体" w:hAnsi="宋体"/>
          <w:sz w:val="21"/>
          <w:szCs w:val="21"/>
        </w:rPr>
        <w:t>4．质保期内，如果乙方对该合同设备的运行、维护、保证方面进行了技术改进，乙方应积极向甲方推广。乙方应免费向甲方提供与这些技术改进有关的详细技术资料。对于增加硬件或合同设备功能所做的技术改进，如最终用户有意购买，则乙方应给予乙方届时市场最低价的待遇。</w:t>
      </w:r>
    </w:p>
    <w:p w14:paraId="51CE7D0B">
      <w:pPr>
        <w:pStyle w:val="42"/>
        <w:spacing w:after="0" w:line="360" w:lineRule="auto"/>
        <w:ind w:firstLineChars="200"/>
        <w:rPr>
          <w:rFonts w:hint="eastAsia" w:ascii="宋体" w:hAnsi="宋体"/>
          <w:sz w:val="21"/>
          <w:szCs w:val="21"/>
        </w:rPr>
      </w:pPr>
      <w:r>
        <w:rPr>
          <w:rFonts w:ascii="宋体" w:hAnsi="宋体"/>
          <w:sz w:val="21"/>
          <w:szCs w:val="21"/>
        </w:rPr>
        <w:t>5</w:t>
      </w:r>
      <w:r>
        <w:rPr>
          <w:rFonts w:hint="eastAsia" w:ascii="宋体" w:hAnsi="宋体"/>
          <w:sz w:val="21"/>
          <w:szCs w:val="21"/>
        </w:rPr>
        <w:t>．在质保期满之日起</w:t>
      </w:r>
      <w:r>
        <w:rPr>
          <w:rFonts w:ascii="宋体" w:hAnsi="宋体"/>
          <w:sz w:val="21"/>
          <w:szCs w:val="21"/>
        </w:rPr>
        <w:t>8</w:t>
      </w:r>
      <w:r>
        <w:rPr>
          <w:rFonts w:hint="eastAsia" w:ascii="宋体" w:hAnsi="宋体"/>
          <w:sz w:val="21"/>
          <w:szCs w:val="21"/>
        </w:rPr>
        <w:t>年内，如果乙方/生产厂商决定停止生产本合同设备的任何零部件，乙方必须在停产前12个月以书面形式通知甲方，且乙方/生产厂商均需保证以届时市场最低价并不得比本合同成交价高的价格向甲方提供本合同设备的任何零部件。如果最终甲方另外订购与合同设备具有相同或更优性能的设备、材料，则乙方应给予乙方届时市场最低价的待遇。</w:t>
      </w:r>
    </w:p>
    <w:p w14:paraId="799FFBB7">
      <w:pPr>
        <w:pStyle w:val="42"/>
        <w:spacing w:after="0" w:line="360" w:lineRule="auto"/>
        <w:ind w:firstLineChars="200"/>
        <w:rPr>
          <w:rFonts w:hint="eastAsia" w:ascii="宋体" w:hAnsi="宋体"/>
          <w:sz w:val="21"/>
          <w:szCs w:val="21"/>
        </w:rPr>
      </w:pPr>
      <w:r>
        <w:rPr>
          <w:rFonts w:hint="eastAsia" w:ascii="宋体" w:hAnsi="宋体"/>
          <w:sz w:val="21"/>
          <w:szCs w:val="21"/>
        </w:rPr>
        <w:t>7．质保期满后，合同设备在运行或维护的过程中出现问题或故障时，一般情况下乙方应派有经验的技术人员在</w:t>
      </w:r>
      <w:r>
        <w:rPr>
          <w:rFonts w:ascii="宋体" w:hAnsi="宋体"/>
          <w:sz w:val="21"/>
          <w:szCs w:val="21"/>
        </w:rPr>
        <w:t>8</w:t>
      </w:r>
      <w:r>
        <w:rPr>
          <w:rFonts w:hint="eastAsia" w:ascii="宋体" w:hAnsi="宋体"/>
          <w:sz w:val="21"/>
          <w:szCs w:val="21"/>
        </w:rPr>
        <w:t>小时内赶到现场，进行更换和修理。如果出现问题或故障是由于乙方原因造成的，乙方应予以免费更换和维修。乙方的技术支持部门应在中国境内具有灵活、多样的通信手段，应提供7×24小时投标服务。</w:t>
      </w:r>
    </w:p>
    <w:p w14:paraId="09888AD4">
      <w:pPr>
        <w:pStyle w:val="42"/>
        <w:spacing w:after="0" w:line="360" w:lineRule="auto"/>
        <w:ind w:firstLineChars="200"/>
        <w:rPr>
          <w:rFonts w:hint="eastAsia" w:ascii="宋体" w:hAnsi="宋体"/>
          <w:sz w:val="21"/>
          <w:szCs w:val="21"/>
        </w:rPr>
      </w:pPr>
      <w:r>
        <w:rPr>
          <w:rFonts w:hint="eastAsia" w:ascii="宋体" w:hAnsi="宋体"/>
          <w:sz w:val="21"/>
          <w:szCs w:val="21"/>
        </w:rPr>
        <w:t>8．质保期满后，乙方保证对发生故障的合同设备按照优惠价格进行修理和技术服务。修理及技术服务的价格将在实际人工和生产成本的基础上进行计算，且不得高于本合同约定的有关维保价格及乙方届时市场最低价。</w:t>
      </w:r>
    </w:p>
    <w:p w14:paraId="5642977E">
      <w:pPr>
        <w:pStyle w:val="42"/>
        <w:spacing w:after="0" w:line="360" w:lineRule="auto"/>
        <w:ind w:firstLineChars="200"/>
        <w:rPr>
          <w:rFonts w:hint="eastAsia" w:ascii="宋体" w:hAnsi="宋体"/>
          <w:sz w:val="21"/>
          <w:szCs w:val="21"/>
        </w:rPr>
      </w:pPr>
      <w:r>
        <w:rPr>
          <w:rFonts w:hint="eastAsia" w:ascii="宋体" w:hAnsi="宋体"/>
          <w:sz w:val="21"/>
          <w:szCs w:val="21"/>
        </w:rPr>
        <w:t>9．质保期满后，如果合同设备的性能和质量与合同规定不符，乙方应予以免费更换或修理，如因此造成最终用户损失，由乙方承担。</w:t>
      </w:r>
    </w:p>
    <w:p w14:paraId="53BAAA9E">
      <w:pPr>
        <w:pStyle w:val="42"/>
        <w:spacing w:after="0" w:line="360" w:lineRule="auto"/>
        <w:ind w:firstLineChars="200"/>
        <w:rPr>
          <w:rFonts w:hint="eastAsia" w:ascii="宋体" w:hAnsi="宋体"/>
          <w:sz w:val="21"/>
          <w:szCs w:val="21"/>
        </w:rPr>
      </w:pPr>
      <w:r>
        <w:rPr>
          <w:rFonts w:ascii="宋体" w:hAnsi="宋体"/>
          <w:sz w:val="21"/>
          <w:szCs w:val="21"/>
        </w:rPr>
        <w:t>10.</w:t>
      </w:r>
      <w:r>
        <w:rPr>
          <w:rFonts w:hint="eastAsia" w:ascii="宋体" w:hAnsi="宋体"/>
          <w:sz w:val="21"/>
          <w:szCs w:val="21"/>
        </w:rPr>
        <w:t>迟延提供服务违约金：质保期内，如乙方未能按合同规定及时提供服务，除本合同规定的不可抗力原因外,每迟延一次，乙方应当支付合同总价的5‰的违约金。</w:t>
      </w:r>
    </w:p>
    <w:p w14:paraId="3B30542D">
      <w:pPr>
        <w:pStyle w:val="42"/>
        <w:spacing w:after="0" w:line="360" w:lineRule="auto"/>
        <w:ind w:firstLineChars="200"/>
        <w:rPr>
          <w:rFonts w:hint="eastAsia" w:ascii="宋体" w:hAnsi="宋体"/>
          <w:sz w:val="21"/>
          <w:szCs w:val="21"/>
        </w:rPr>
      </w:pPr>
      <w:r>
        <w:rPr>
          <w:rFonts w:hint="eastAsia" w:ascii="宋体" w:hAnsi="宋体"/>
          <w:sz w:val="21"/>
          <w:szCs w:val="21"/>
        </w:rPr>
        <w:t>1</w:t>
      </w:r>
      <w:r>
        <w:rPr>
          <w:rFonts w:ascii="宋体" w:hAnsi="宋体"/>
          <w:sz w:val="21"/>
          <w:szCs w:val="21"/>
        </w:rPr>
        <w:t>1</w:t>
      </w:r>
      <w:r>
        <w:rPr>
          <w:rFonts w:hint="eastAsia" w:ascii="宋体" w:hAnsi="宋体"/>
          <w:sz w:val="21"/>
          <w:szCs w:val="21"/>
        </w:rPr>
        <w:t>．如甲方依据本合同约定解除合同的，则乙方除应当依据本合同约定承担违约责任和赔偿责任（包括支付违约金、赔偿甲方由此遭受的损失等）外，乙方并应退还甲方已支付的全部款项及自付款之日起至返还之日止的中国人民银行同期贷款利息，相关的合同设备由乙方自费拆装回收。如乙方未在甲方发出通知后三十日内回收，则甲方可自行处理该合同设备，包括但不限于自行拆装、另地存放，乙方应承担拆卸费用、租金以及甲方因此产生的所有费用。</w:t>
      </w:r>
    </w:p>
    <w:p w14:paraId="481A27F3">
      <w:pPr>
        <w:widowControl/>
        <w:tabs>
          <w:tab w:val="left" w:pos="630"/>
        </w:tabs>
        <w:spacing w:after="0" w:line="360" w:lineRule="auto"/>
        <w:jc w:val="left"/>
        <w:rPr>
          <w:rFonts w:hint="eastAsia" w:ascii="宋体" w:hAnsi="宋体"/>
          <w:b/>
          <w:szCs w:val="21"/>
        </w:rPr>
      </w:pPr>
      <w:r>
        <w:rPr>
          <w:rFonts w:hint="eastAsia" w:ascii="宋体" w:hAnsi="宋体"/>
          <w:b/>
          <w:szCs w:val="21"/>
        </w:rPr>
        <w:t>九、违约责任</w:t>
      </w:r>
    </w:p>
    <w:p w14:paraId="2E7B7ACE">
      <w:pPr>
        <w:spacing w:after="0" w:line="360" w:lineRule="auto"/>
        <w:ind w:firstLine="420"/>
        <w:rPr>
          <w:rFonts w:hint="eastAsia" w:ascii="宋体" w:hAnsi="宋体"/>
          <w:szCs w:val="21"/>
        </w:rPr>
      </w:pPr>
      <w:r>
        <w:rPr>
          <w:rFonts w:ascii="宋体" w:hAnsi="宋体"/>
          <w:szCs w:val="21"/>
        </w:rPr>
        <w:t>1.</w:t>
      </w:r>
      <w:r>
        <w:rPr>
          <w:rFonts w:hint="eastAsia" w:ascii="宋体" w:hAnsi="宋体"/>
          <w:szCs w:val="21"/>
        </w:rPr>
        <w:t>乙方逾期供货，自逾期之日起开始计算违约金，每延期一天，按迟延交付产品金额的</w:t>
      </w:r>
      <w:r>
        <w:rPr>
          <w:rFonts w:ascii="宋体" w:hAnsi="宋体"/>
          <w:szCs w:val="21"/>
        </w:rPr>
        <w:t>0.1%支付日违约金，累计最高违约金不高于合同价格的3%，如因业主方延迟付款引起的发货延迟，乙方不承担因此造成的任何违约责任。</w:t>
      </w:r>
    </w:p>
    <w:p w14:paraId="52230F65">
      <w:pPr>
        <w:spacing w:after="0" w:line="360" w:lineRule="auto"/>
        <w:ind w:firstLine="420" w:firstLineChars="200"/>
        <w:rPr>
          <w:rFonts w:hint="eastAsia" w:ascii="宋体" w:hAnsi="宋体"/>
          <w:szCs w:val="21"/>
        </w:rPr>
      </w:pPr>
      <w:r>
        <w:rPr>
          <w:rFonts w:ascii="宋体" w:hAnsi="宋体"/>
          <w:szCs w:val="21"/>
        </w:rPr>
        <w:t>2.</w:t>
      </w:r>
      <w:r>
        <w:rPr>
          <w:rFonts w:hint="eastAsia" w:ascii="宋体" w:hAnsi="宋体"/>
          <w:szCs w:val="21"/>
        </w:rPr>
        <w:t>如产品在本合同约定的质保期内发生问题（除使用或保管不当等非乙方原因而造成质量问题的以外），乙方应依据乙方出具的质保书（或双方签订的合同）中的条款予以替换或维修所有有问题的产品，因此给甲方造成的损失，由乙方承担赔偿责任。如需换货，乙方负担由此产生的到安装现场换货的直接合理费用，在紧急情况下，乙方应立即换货或修理，在一般情况下，换货或修理期限应不迟于证实属乙方责任之日起的</w:t>
      </w:r>
      <w:r>
        <w:rPr>
          <w:rFonts w:ascii="宋体" w:hAnsi="宋体"/>
          <w:szCs w:val="21"/>
        </w:rPr>
        <w:t>60天内，对于那些在60天内不可能修理或调换的</w:t>
      </w:r>
      <w:r>
        <w:rPr>
          <w:rFonts w:hint="eastAsia" w:ascii="宋体" w:hAnsi="宋体"/>
          <w:szCs w:val="21"/>
        </w:rPr>
        <w:t>产品，可经甲方特殊允许另行商定期限。乙方可委托甲方认可的第三方在现场进行修理，其质量和所有费用由乙方负责。</w:t>
      </w:r>
    </w:p>
    <w:p w14:paraId="26127860">
      <w:pPr>
        <w:spacing w:after="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产品运至现场后，由于乙方原因造成的质量问题而导致不能按期投运，每影响一周，乙方应向甲方支付货值</w:t>
      </w:r>
      <w:r>
        <w:rPr>
          <w:rFonts w:ascii="宋体" w:hAnsi="宋体"/>
          <w:szCs w:val="21"/>
        </w:rPr>
        <w:t xml:space="preserve">0.1％的违约金。 </w:t>
      </w:r>
    </w:p>
    <w:p w14:paraId="2DA0B6D2">
      <w:pPr>
        <w:spacing w:after="0" w:line="360" w:lineRule="auto"/>
        <w:ind w:firstLine="420" w:firstLineChars="200"/>
        <w:rPr>
          <w:rFonts w:hint="eastAsia" w:ascii="宋体" w:hAnsi="宋体"/>
          <w:szCs w:val="21"/>
        </w:rPr>
      </w:pPr>
      <w:r>
        <w:rPr>
          <w:rFonts w:ascii="宋体" w:hAnsi="宋体"/>
          <w:szCs w:val="21"/>
        </w:rPr>
        <w:t>4.</w:t>
      </w:r>
      <w:r>
        <w:rPr>
          <w:rFonts w:hint="eastAsia" w:ascii="宋体" w:hAnsi="宋体"/>
          <w:szCs w:val="21"/>
        </w:rPr>
        <w:t>产品到达项目现场后，乙方负责在项目现场技术服务和安装的技术培训，并保证服务质量。</w:t>
      </w:r>
    </w:p>
    <w:p w14:paraId="099255C2">
      <w:pPr>
        <w:spacing w:after="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乙方应在使用说明中说明该产品在安装、操作、使用、维修过程中可能存在的危险因素和预防措施。</w:t>
      </w:r>
    </w:p>
    <w:p w14:paraId="4DF0A12F">
      <w:pPr>
        <w:spacing w:after="0" w:line="360" w:lineRule="auto"/>
        <w:ind w:firstLine="420" w:firstLineChars="200"/>
        <w:rPr>
          <w:rFonts w:hint="eastAsia" w:ascii="宋体" w:hAnsi="宋体"/>
          <w:szCs w:val="21"/>
        </w:rPr>
      </w:pPr>
      <w:r>
        <w:rPr>
          <w:rFonts w:ascii="宋体" w:hAnsi="宋体"/>
          <w:szCs w:val="21"/>
        </w:rPr>
        <w:t>6.</w:t>
      </w:r>
      <w:r>
        <w:rPr>
          <w:rFonts w:hint="eastAsia" w:ascii="宋体" w:hAnsi="宋体"/>
          <w:szCs w:val="21"/>
        </w:rPr>
        <w:t>维修或更换后的部分产品的质量保证期相应延长。</w:t>
      </w:r>
    </w:p>
    <w:p w14:paraId="23645A46">
      <w:pPr>
        <w:spacing w:after="0" w:line="360" w:lineRule="auto"/>
        <w:ind w:firstLine="420" w:firstLineChars="200"/>
        <w:rPr>
          <w:rFonts w:hint="eastAsia" w:ascii="宋体" w:hAnsi="宋体"/>
        </w:rPr>
      </w:pPr>
      <w:r>
        <w:rPr>
          <w:rFonts w:ascii="宋体" w:hAnsi="宋体"/>
          <w:szCs w:val="21"/>
        </w:rPr>
        <w:t>7.</w:t>
      </w:r>
      <w:r>
        <w:rPr>
          <w:rFonts w:hint="eastAsia" w:ascii="宋体" w:hAnsi="宋体"/>
          <w:szCs w:val="21"/>
        </w:rPr>
        <w:t>乙方所交产品品种、型号、规格、质量不符合同规定的，如甲方同意利用，应按质论价；甲方不能利用的，应根据具体情况，由乙方负责包换或包修，并承担修理、调换或退货等由此产生的相关实际费用。</w:t>
      </w:r>
      <w:r>
        <w:rPr>
          <w:rFonts w:ascii="宋体" w:hAnsi="宋体"/>
          <w:szCs w:val="21"/>
        </w:rPr>
        <w:t xml:space="preserve"> </w:t>
      </w:r>
    </w:p>
    <w:p w14:paraId="5BE7ECDF">
      <w:pPr>
        <w:spacing w:after="0" w:line="360" w:lineRule="auto"/>
        <w:ind w:firstLine="420" w:firstLineChars="200"/>
        <w:rPr>
          <w:rFonts w:hint="eastAsia" w:ascii="宋体" w:hAnsi="宋体"/>
          <w:szCs w:val="21"/>
        </w:rPr>
      </w:pPr>
      <w:r>
        <w:rPr>
          <w:rFonts w:ascii="宋体" w:hAnsi="宋体"/>
          <w:szCs w:val="21"/>
        </w:rPr>
        <w:t>8.</w:t>
      </w:r>
      <w:r>
        <w:rPr>
          <w:rFonts w:hint="eastAsia" w:ascii="宋体" w:hAnsi="宋体"/>
          <w:szCs w:val="21"/>
        </w:rPr>
        <w:t>产品错发到货地点或接货人的，乙方除应负责运至合同规定的到货地点或接货人外，乙方应承担因逾期交货给甲方带来的经济损失。</w:t>
      </w:r>
      <w:r>
        <w:rPr>
          <w:rFonts w:ascii="宋体" w:hAnsi="宋体"/>
          <w:szCs w:val="21"/>
        </w:rPr>
        <w:t xml:space="preserve">         </w:t>
      </w:r>
    </w:p>
    <w:p w14:paraId="6B76FEC0">
      <w:pPr>
        <w:spacing w:after="0" w:line="360" w:lineRule="auto"/>
        <w:ind w:firstLine="420" w:firstLineChars="200"/>
        <w:rPr>
          <w:rFonts w:hint="eastAsia" w:ascii="宋体" w:hAnsi="宋体"/>
          <w:szCs w:val="21"/>
        </w:rPr>
      </w:pPr>
      <w:r>
        <w:rPr>
          <w:rFonts w:ascii="宋体" w:hAnsi="宋体"/>
          <w:szCs w:val="21"/>
        </w:rPr>
        <w:t>9.</w:t>
      </w:r>
      <w:r>
        <w:rPr>
          <w:rFonts w:hint="eastAsia" w:ascii="宋体" w:hAnsi="宋体"/>
          <w:szCs w:val="21"/>
        </w:rPr>
        <w:t xml:space="preserve">乙方所提供产品验收合格，以项目业主方对系统验收合格为准，如因乙方产品或资质原因导致本项目未通过项目业主方验收合格，则乙方需承担由此给甲方带来的经济损失。 </w:t>
      </w:r>
    </w:p>
    <w:p w14:paraId="4F18007D">
      <w:pPr>
        <w:spacing w:after="0" w:line="360" w:lineRule="auto"/>
        <w:rPr>
          <w:rFonts w:hint="eastAsia" w:ascii="宋体" w:hAnsi="宋体"/>
          <w:b/>
        </w:rPr>
      </w:pPr>
      <w:r>
        <w:rPr>
          <w:rFonts w:hint="eastAsia" w:ascii="宋体" w:hAnsi="宋体"/>
          <w:b/>
          <w:szCs w:val="21"/>
        </w:rPr>
        <w:t>十、合同解除条件：</w:t>
      </w:r>
    </w:p>
    <w:p w14:paraId="66D7953F">
      <w:pPr>
        <w:widowControl/>
        <w:spacing w:after="0" w:line="360" w:lineRule="auto"/>
        <w:ind w:firstLine="420" w:firstLineChars="200"/>
        <w:jc w:val="left"/>
        <w:rPr>
          <w:rFonts w:hint="eastAsia" w:ascii="宋体" w:hAnsi="宋体"/>
          <w:szCs w:val="21"/>
        </w:rPr>
      </w:pPr>
      <w:r>
        <w:rPr>
          <w:rFonts w:hint="eastAsia" w:ascii="宋体" w:hAnsi="宋体"/>
          <w:szCs w:val="21"/>
        </w:rPr>
        <w:t>合同当事人一方违约，在合同另一方当事人发出继续履行合同通知书之日起满15天的，违约方仍不按照合同约定履行义务的，合同另一方当事人有权无条件提前解除本合同。</w:t>
      </w:r>
    </w:p>
    <w:p w14:paraId="778589EB">
      <w:pPr>
        <w:spacing w:after="0" w:line="360" w:lineRule="auto"/>
        <w:rPr>
          <w:rFonts w:hint="eastAsia" w:ascii="宋体" w:hAnsi="宋体"/>
          <w:b/>
        </w:rPr>
      </w:pPr>
      <w:r>
        <w:rPr>
          <w:rFonts w:hint="eastAsia" w:ascii="宋体" w:hAnsi="宋体"/>
          <w:b/>
          <w:szCs w:val="21"/>
        </w:rPr>
        <w:t>十一、解决合同纠纷的方式：</w:t>
      </w:r>
    </w:p>
    <w:p w14:paraId="5908FC1F">
      <w:pPr>
        <w:widowControl/>
        <w:spacing w:after="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rPr>
        <w:t>本合同适用中华人民共和国（不含香港、澳门特别行政区及台湾地区）法律。</w:t>
      </w:r>
    </w:p>
    <w:p w14:paraId="48BD25ED">
      <w:pPr>
        <w:widowControl/>
        <w:spacing w:after="0" w:line="360" w:lineRule="auto"/>
        <w:ind w:firstLine="420" w:firstLineChars="200"/>
        <w:jc w:val="left"/>
        <w:rPr>
          <w:rFonts w:hint="eastAsia" w:ascii="宋体" w:hAnsi="宋体"/>
          <w:szCs w:val="21"/>
        </w:rPr>
      </w:pPr>
      <w:r>
        <w:rPr>
          <w:rFonts w:ascii="宋体" w:hAnsi="宋体"/>
          <w:szCs w:val="21"/>
        </w:rPr>
        <w:t>2.</w:t>
      </w:r>
      <w:r>
        <w:rPr>
          <w:rFonts w:hint="eastAsia" w:ascii="宋体" w:hAnsi="宋体"/>
          <w:szCs w:val="21"/>
        </w:rPr>
        <w:t>所有因本合同引起的或与本合同有关的任何争议将通过双方友好协商解决。如果双方不能通过友好协商解决争议，则任何一方均可采取下述第[（2）]种争议解决方式：</w:t>
      </w:r>
    </w:p>
    <w:p w14:paraId="1B64C7D2">
      <w:pPr>
        <w:widowControl/>
        <w:spacing w:after="0" w:line="360" w:lineRule="auto"/>
        <w:ind w:firstLine="420" w:firstLineChars="200"/>
        <w:jc w:val="left"/>
        <w:rPr>
          <w:rFonts w:hint="eastAsia" w:ascii="宋体" w:hAnsi="宋体"/>
          <w:szCs w:val="21"/>
        </w:rPr>
      </w:pPr>
      <w:r>
        <w:rPr>
          <w:rFonts w:hint="eastAsia" w:ascii="宋体" w:hAnsi="宋体"/>
          <w:szCs w:val="21"/>
        </w:rPr>
        <w:t>（1）将该争议提交惠州仲裁委员会，按照申请仲裁时该会的仲裁规则进行仲裁。</w:t>
      </w:r>
    </w:p>
    <w:p w14:paraId="04528B26">
      <w:pPr>
        <w:widowControl/>
        <w:spacing w:after="0" w:line="360" w:lineRule="auto"/>
        <w:ind w:firstLine="420" w:firstLineChars="200"/>
        <w:jc w:val="left"/>
        <w:rPr>
          <w:rFonts w:hint="eastAsia" w:ascii="宋体" w:hAnsi="宋体"/>
          <w:szCs w:val="21"/>
        </w:rPr>
      </w:pPr>
      <w:r>
        <w:rPr>
          <w:rFonts w:hint="eastAsia" w:ascii="宋体" w:hAnsi="宋体"/>
          <w:szCs w:val="21"/>
        </w:rPr>
        <w:t>（2）向[甲方]有管辖权的人民法院起诉。</w:t>
      </w:r>
    </w:p>
    <w:p w14:paraId="6DB0EBB2">
      <w:pPr>
        <w:widowControl/>
        <w:spacing w:after="0" w:line="360" w:lineRule="auto"/>
        <w:ind w:firstLine="420" w:firstLineChars="200"/>
        <w:jc w:val="left"/>
        <w:rPr>
          <w:rFonts w:hint="eastAsia" w:ascii="宋体" w:hAnsi="宋体"/>
          <w:szCs w:val="21"/>
        </w:rPr>
      </w:pPr>
      <w:r>
        <w:rPr>
          <w:rFonts w:ascii="宋体" w:hAnsi="宋体"/>
          <w:szCs w:val="21"/>
        </w:rPr>
        <w:t>3.</w:t>
      </w:r>
      <w:r>
        <w:rPr>
          <w:rFonts w:hint="eastAsia" w:ascii="宋体" w:hAnsi="宋体"/>
          <w:szCs w:val="21"/>
        </w:rPr>
        <w:t>仲裁或诉讼进行过程中，双方将继续履行本合同未涉仲裁或诉讼的其它部分。</w:t>
      </w:r>
    </w:p>
    <w:p w14:paraId="374F0307">
      <w:pPr>
        <w:spacing w:after="0" w:line="360" w:lineRule="auto"/>
        <w:rPr>
          <w:rFonts w:hint="eastAsia" w:ascii="宋体" w:hAnsi="宋体"/>
          <w:b/>
          <w:szCs w:val="21"/>
        </w:rPr>
      </w:pPr>
      <w:r>
        <w:rPr>
          <w:rFonts w:hint="eastAsia" w:ascii="宋体" w:hAnsi="宋体"/>
          <w:b/>
          <w:szCs w:val="21"/>
        </w:rPr>
        <w:t>十二、保密</w:t>
      </w:r>
    </w:p>
    <w:p w14:paraId="6D33E4A7">
      <w:pPr>
        <w:pStyle w:val="42"/>
        <w:spacing w:after="0" w:line="360" w:lineRule="auto"/>
        <w:ind w:firstLineChars="200"/>
        <w:rPr>
          <w:rFonts w:hint="eastAsia" w:ascii="宋体" w:hAnsi="宋体"/>
          <w:sz w:val="21"/>
          <w:szCs w:val="21"/>
        </w:rPr>
      </w:pPr>
      <w:r>
        <w:rPr>
          <w:rFonts w:ascii="宋体" w:hAnsi="宋体"/>
          <w:sz w:val="21"/>
          <w:szCs w:val="21"/>
        </w:rPr>
        <w:t>1</w:t>
      </w:r>
      <w:r>
        <w:rPr>
          <w:rFonts w:hint="eastAsia" w:ascii="宋体" w:hAnsi="宋体"/>
          <w:sz w:val="21"/>
          <w:szCs w:val="21"/>
        </w:rPr>
        <w:t>．本合同一方(“披露方”)对其向本合同另一方(“接受方”)按照本合同（或就本合同）所提供/披露的各类技术和商业资料、规格说明、图纸、文件及专有技术（统称“保密资料”）享有合法所有权。</w:t>
      </w:r>
    </w:p>
    <w:p w14:paraId="7AD7D4F3">
      <w:pPr>
        <w:pStyle w:val="42"/>
        <w:spacing w:after="0" w:line="360" w:lineRule="auto"/>
        <w:ind w:firstLineChars="200"/>
        <w:rPr>
          <w:rFonts w:hint="eastAsia" w:ascii="宋体" w:hAnsi="宋体"/>
          <w:sz w:val="21"/>
          <w:szCs w:val="21"/>
        </w:rPr>
      </w:pPr>
      <w:r>
        <w:rPr>
          <w:rFonts w:ascii="宋体" w:hAnsi="宋体"/>
          <w:sz w:val="21"/>
          <w:szCs w:val="21"/>
        </w:rPr>
        <w:t>2.</w:t>
      </w:r>
      <w:r>
        <w:rPr>
          <w:rFonts w:hint="eastAsia" w:ascii="宋体" w:hAnsi="宋体"/>
          <w:sz w:val="21"/>
          <w:szCs w:val="21"/>
        </w:rPr>
        <w:t>接受方应将保密资料作为商业秘密予以保护，除本合同授权实施的行为外，不得将保密资料部分地或全部地对外披露。接受方可仅为本合同的目的向其确有知悉必要的雇员披露对方提供的保密资料，但同时须指示其雇员遵守本条规定的保密及不披露义务。接受方仅得为履行本合同之目的对保密资料进行复制。接受方应当在本合同终止或解除时将保密资料原件全部返还披露方，并销毁所有复制件。接受方应当妥善保管保密资料，并对保密资料在接受方期间发生的被盗、泄露、或其他有损保密资料保密性的事件承担全部责任，因此造成披露方损失的，接受方应负责赔偿。</w:t>
      </w:r>
    </w:p>
    <w:p w14:paraId="451158E6">
      <w:pPr>
        <w:pStyle w:val="42"/>
        <w:spacing w:after="0" w:line="360" w:lineRule="auto"/>
        <w:ind w:firstLineChars="200"/>
        <w:rPr>
          <w:rFonts w:hint="eastAsia" w:ascii="宋体" w:hAnsi="宋体"/>
          <w:sz w:val="21"/>
          <w:szCs w:val="21"/>
        </w:rPr>
      </w:pPr>
      <w:r>
        <w:rPr>
          <w:rFonts w:ascii="宋体" w:hAnsi="宋体"/>
          <w:sz w:val="21"/>
          <w:szCs w:val="21"/>
        </w:rPr>
        <w:t>3.</w:t>
      </w:r>
      <w:r>
        <w:rPr>
          <w:rFonts w:hint="eastAsia" w:ascii="宋体" w:hAnsi="宋体"/>
          <w:sz w:val="21"/>
          <w:szCs w:val="21"/>
        </w:rPr>
        <w:t>出现下述情况时，本条对保密资料的限制不适用。当保密资料：</w:t>
      </w:r>
    </w:p>
    <w:p w14:paraId="458C5BAD">
      <w:pPr>
        <w:pStyle w:val="42"/>
        <w:spacing w:after="0" w:line="360" w:lineRule="auto"/>
        <w:ind w:firstLineChars="200"/>
        <w:rPr>
          <w:rFonts w:hint="eastAsia" w:ascii="宋体" w:hAnsi="宋体"/>
          <w:sz w:val="21"/>
          <w:szCs w:val="21"/>
        </w:rPr>
      </w:pPr>
      <w:r>
        <w:rPr>
          <w:rFonts w:hint="eastAsia" w:ascii="宋体" w:hAnsi="宋体"/>
          <w:sz w:val="21"/>
          <w:szCs w:val="21"/>
        </w:rPr>
        <w:t>（1）并非接受方的过错而已经进入公有领域的。</w:t>
      </w:r>
    </w:p>
    <w:p w14:paraId="34A5D9CF">
      <w:pPr>
        <w:pStyle w:val="42"/>
        <w:spacing w:after="0" w:line="360" w:lineRule="auto"/>
        <w:ind w:firstLineChars="200"/>
        <w:rPr>
          <w:rFonts w:hint="eastAsia" w:ascii="宋体" w:hAnsi="宋体"/>
          <w:sz w:val="21"/>
          <w:szCs w:val="21"/>
        </w:rPr>
      </w:pPr>
      <w:r>
        <w:rPr>
          <w:rFonts w:hint="eastAsia" w:ascii="宋体" w:hAnsi="宋体"/>
          <w:sz w:val="21"/>
          <w:szCs w:val="21"/>
        </w:rPr>
        <w:t>（2）已通过该方的有关记录证明是由接受方独立开发的。</w:t>
      </w:r>
    </w:p>
    <w:p w14:paraId="59A1AB7F">
      <w:pPr>
        <w:pStyle w:val="42"/>
        <w:spacing w:after="0" w:line="360" w:lineRule="auto"/>
        <w:ind w:firstLineChars="200"/>
        <w:rPr>
          <w:rFonts w:hint="eastAsia" w:ascii="宋体" w:hAnsi="宋体"/>
          <w:sz w:val="21"/>
          <w:szCs w:val="21"/>
        </w:rPr>
      </w:pPr>
      <w:r>
        <w:rPr>
          <w:rFonts w:hint="eastAsia" w:ascii="宋体" w:hAnsi="宋体"/>
          <w:sz w:val="21"/>
          <w:szCs w:val="21"/>
        </w:rPr>
        <w:t>（3）由接受方从没有违反对披露方的保密义务的人合法取得的。</w:t>
      </w:r>
    </w:p>
    <w:p w14:paraId="2A3D040D">
      <w:pPr>
        <w:pStyle w:val="42"/>
        <w:spacing w:after="0" w:line="360" w:lineRule="auto"/>
        <w:ind w:firstLineChars="200"/>
        <w:rPr>
          <w:rFonts w:hint="eastAsia" w:ascii="宋体" w:hAnsi="宋体"/>
          <w:sz w:val="21"/>
          <w:szCs w:val="21"/>
        </w:rPr>
      </w:pPr>
      <w:r>
        <w:rPr>
          <w:rFonts w:hint="eastAsia" w:ascii="宋体" w:hAnsi="宋体"/>
          <w:sz w:val="21"/>
          <w:szCs w:val="21"/>
        </w:rPr>
        <w:t>（4）法律要求接受方披露的，但接受方应在合理的时间提前通知披露方，使其得以采取其认为必要的保护措施。</w:t>
      </w:r>
    </w:p>
    <w:p w14:paraId="01D12332">
      <w:pPr>
        <w:pStyle w:val="42"/>
        <w:spacing w:after="0" w:line="360" w:lineRule="auto"/>
        <w:ind w:firstLineChars="200"/>
        <w:rPr>
          <w:rFonts w:hint="eastAsia" w:ascii="宋体" w:hAnsi="宋体"/>
          <w:sz w:val="21"/>
          <w:szCs w:val="21"/>
        </w:rPr>
      </w:pPr>
      <w:r>
        <w:rPr>
          <w:rFonts w:ascii="宋体" w:hAnsi="宋体"/>
          <w:sz w:val="21"/>
          <w:szCs w:val="21"/>
        </w:rPr>
        <w:t>4.</w:t>
      </w:r>
      <w:r>
        <w:rPr>
          <w:rFonts w:hint="eastAsia" w:ascii="宋体" w:hAnsi="宋体"/>
          <w:sz w:val="21"/>
          <w:szCs w:val="21"/>
        </w:rPr>
        <w:t>如接受方违反本合同关于保密的约定，应赔偿因此而给披露方造成的一切损失。</w:t>
      </w:r>
    </w:p>
    <w:p w14:paraId="4F3FD8AE">
      <w:pPr>
        <w:pStyle w:val="42"/>
        <w:spacing w:after="0" w:line="360" w:lineRule="auto"/>
        <w:ind w:firstLineChars="200"/>
        <w:rPr>
          <w:rFonts w:hint="eastAsia" w:ascii="宋体" w:hAnsi="宋体"/>
          <w:sz w:val="21"/>
          <w:szCs w:val="21"/>
        </w:rPr>
      </w:pPr>
      <w:r>
        <w:rPr>
          <w:rFonts w:ascii="宋体" w:hAnsi="宋体"/>
          <w:sz w:val="21"/>
          <w:szCs w:val="21"/>
        </w:rPr>
        <w:t>5.</w:t>
      </w:r>
      <w:r>
        <w:rPr>
          <w:rFonts w:hint="eastAsia" w:ascii="宋体" w:hAnsi="宋体"/>
          <w:sz w:val="21"/>
          <w:szCs w:val="21"/>
        </w:rPr>
        <w:t>本保密条款自披露方提供或披露保密资料之日起至本合同终止或解除后[    ]年内有效。</w:t>
      </w:r>
    </w:p>
    <w:p w14:paraId="5F6868CC">
      <w:pPr>
        <w:pStyle w:val="42"/>
        <w:spacing w:after="0" w:line="360" w:lineRule="auto"/>
        <w:ind w:firstLineChars="200"/>
        <w:rPr>
          <w:rFonts w:hint="eastAsia" w:ascii="宋体" w:hAnsi="宋体"/>
          <w:sz w:val="21"/>
          <w:szCs w:val="21"/>
        </w:rPr>
      </w:pPr>
      <w:r>
        <w:rPr>
          <w:rFonts w:ascii="宋体" w:hAnsi="宋体"/>
          <w:sz w:val="21"/>
          <w:szCs w:val="21"/>
        </w:rPr>
        <w:t>6.</w:t>
      </w:r>
      <w:r>
        <w:rPr>
          <w:rFonts w:hint="eastAsia" w:ascii="宋体" w:hAnsi="宋体"/>
          <w:sz w:val="21"/>
          <w:szCs w:val="21"/>
        </w:rPr>
        <w:t>本条约定不适用于接受方向其关联公司提供或披露保密资料的情形。</w:t>
      </w:r>
    </w:p>
    <w:p w14:paraId="438945EE">
      <w:pPr>
        <w:spacing w:after="0" w:line="360" w:lineRule="auto"/>
        <w:rPr>
          <w:rFonts w:hint="eastAsia" w:ascii="宋体" w:hAnsi="宋体"/>
          <w:b/>
        </w:rPr>
      </w:pPr>
      <w:r>
        <w:rPr>
          <w:rFonts w:hint="eastAsia" w:ascii="宋体" w:hAnsi="宋体"/>
          <w:b/>
          <w:szCs w:val="21"/>
        </w:rPr>
        <w:t>十二、其它约定事项：</w:t>
      </w:r>
    </w:p>
    <w:p w14:paraId="044CA3EA">
      <w:pPr>
        <w:pStyle w:val="81"/>
        <w:spacing w:after="0" w:line="360" w:lineRule="auto"/>
        <w:rPr>
          <w:rFonts w:hint="eastAsia" w:ascii="宋体" w:hAnsi="宋体"/>
          <w:szCs w:val="21"/>
        </w:rPr>
      </w:pPr>
      <w:r>
        <w:rPr>
          <w:rFonts w:hint="eastAsia" w:ascii="宋体" w:hAnsi="宋体"/>
          <w:szCs w:val="21"/>
        </w:rPr>
        <w:t>1.本合同由正文和附表组成，附表与正文具有同等法律效力，本合同自双方签章之日起生效。合同执行期内，双方均不得随意变更合同。</w:t>
      </w:r>
    </w:p>
    <w:p w14:paraId="0B39036E">
      <w:pPr>
        <w:spacing w:after="0" w:line="360" w:lineRule="auto"/>
        <w:ind w:firstLine="420" w:firstLineChars="200"/>
        <w:rPr>
          <w:rFonts w:hint="eastAsia" w:ascii="宋体" w:hAnsi="宋体"/>
          <w:szCs w:val="21"/>
        </w:rPr>
      </w:pPr>
      <w:r>
        <w:rPr>
          <w:rFonts w:hint="eastAsia" w:ascii="宋体" w:hAnsi="宋体"/>
          <w:szCs w:val="21"/>
        </w:rPr>
        <w:t>2．本合同一式肆份，甲乙双方各执贰份。若有未尽事宜需要做补充，经双方协商后另订书面协议。补充协议与本合同具有同等的法律效力。</w:t>
      </w:r>
    </w:p>
    <w:p w14:paraId="25454803">
      <w:pPr>
        <w:rPr>
          <w:rFonts w:hint="eastAsia" w:ascii="宋体" w:hAnsi="宋体"/>
        </w:rPr>
      </w:pPr>
    </w:p>
    <w:p w14:paraId="6DE865A4">
      <w:pPr>
        <w:pStyle w:val="19"/>
        <w:rPr>
          <w:rFonts w:hint="eastAsia" w:ascii="宋体" w:hAnsi="宋体" w:eastAsia="宋体"/>
          <w:szCs w:val="24"/>
        </w:rPr>
      </w:pPr>
    </w:p>
    <w:p w14:paraId="07903A85">
      <w:pPr>
        <w:rPr>
          <w:rFonts w:hint="eastAsia" w:ascii="宋体" w:hAnsi="宋体"/>
        </w:rPr>
      </w:pPr>
    </w:p>
    <w:tbl>
      <w:tblPr>
        <w:tblStyle w:val="44"/>
        <w:tblW w:w="9160" w:type="dxa"/>
        <w:jc w:val="center"/>
        <w:tblLayout w:type="fixed"/>
        <w:tblCellMar>
          <w:top w:w="0" w:type="dxa"/>
          <w:left w:w="108" w:type="dxa"/>
          <w:bottom w:w="0" w:type="dxa"/>
          <w:right w:w="108" w:type="dxa"/>
        </w:tblCellMar>
      </w:tblPr>
      <w:tblGrid>
        <w:gridCol w:w="4580"/>
        <w:gridCol w:w="4580"/>
      </w:tblGrid>
      <w:tr w14:paraId="5B48BB82">
        <w:tblPrEx>
          <w:tblCellMar>
            <w:top w:w="0" w:type="dxa"/>
            <w:left w:w="108" w:type="dxa"/>
            <w:bottom w:w="0" w:type="dxa"/>
            <w:right w:w="108" w:type="dxa"/>
          </w:tblCellMar>
        </w:tblPrEx>
        <w:trPr>
          <w:jc w:val="center"/>
        </w:trPr>
        <w:tc>
          <w:tcPr>
            <w:tcW w:w="4580" w:type="dxa"/>
            <w:vAlign w:val="center"/>
          </w:tcPr>
          <w:p w14:paraId="4321B032">
            <w:pPr>
              <w:spacing w:line="360" w:lineRule="auto"/>
              <w:rPr>
                <w:rFonts w:hint="eastAsia" w:ascii="宋体" w:hAnsi="宋体"/>
                <w:b/>
                <w:szCs w:val="21"/>
              </w:rPr>
            </w:pPr>
            <w:r>
              <w:rPr>
                <w:rFonts w:hint="eastAsia" w:ascii="宋体" w:hAnsi="宋体"/>
                <w:b/>
                <w:szCs w:val="21"/>
              </w:rPr>
              <w:t>甲方（盖章）：</w:t>
            </w:r>
          </w:p>
        </w:tc>
        <w:tc>
          <w:tcPr>
            <w:tcW w:w="4580" w:type="dxa"/>
            <w:vAlign w:val="center"/>
          </w:tcPr>
          <w:p w14:paraId="7E714A9F">
            <w:pPr>
              <w:spacing w:line="360" w:lineRule="auto"/>
              <w:rPr>
                <w:rFonts w:hint="eastAsia" w:ascii="宋体" w:hAnsi="宋体"/>
                <w:b/>
                <w:szCs w:val="21"/>
              </w:rPr>
            </w:pPr>
            <w:r>
              <w:rPr>
                <w:rFonts w:hint="eastAsia" w:ascii="宋体" w:hAnsi="宋体"/>
                <w:b/>
                <w:szCs w:val="21"/>
              </w:rPr>
              <w:t>乙方（盖章）：</w:t>
            </w:r>
          </w:p>
        </w:tc>
      </w:tr>
      <w:tr w14:paraId="5DAC5A51">
        <w:tblPrEx>
          <w:tblCellMar>
            <w:top w:w="0" w:type="dxa"/>
            <w:left w:w="108" w:type="dxa"/>
            <w:bottom w:w="0" w:type="dxa"/>
            <w:right w:w="108" w:type="dxa"/>
          </w:tblCellMar>
        </w:tblPrEx>
        <w:trPr>
          <w:jc w:val="center"/>
        </w:trPr>
        <w:tc>
          <w:tcPr>
            <w:tcW w:w="4580" w:type="dxa"/>
            <w:vAlign w:val="center"/>
          </w:tcPr>
          <w:p w14:paraId="104E4CE9">
            <w:pPr>
              <w:spacing w:line="360" w:lineRule="auto"/>
              <w:rPr>
                <w:rFonts w:hint="eastAsia" w:ascii="宋体" w:hAnsi="宋体"/>
                <w:b/>
                <w:szCs w:val="21"/>
              </w:rPr>
            </w:pPr>
            <w:r>
              <w:rPr>
                <w:rFonts w:hint="eastAsia" w:ascii="宋体" w:hAnsi="宋体"/>
                <w:b/>
                <w:szCs w:val="21"/>
              </w:rPr>
              <w:t>代表：</w:t>
            </w:r>
          </w:p>
        </w:tc>
        <w:tc>
          <w:tcPr>
            <w:tcW w:w="4580" w:type="dxa"/>
            <w:vAlign w:val="center"/>
          </w:tcPr>
          <w:p w14:paraId="26E94297">
            <w:pPr>
              <w:spacing w:line="360" w:lineRule="auto"/>
              <w:rPr>
                <w:rFonts w:hint="eastAsia" w:ascii="宋体" w:hAnsi="宋体"/>
                <w:b/>
                <w:szCs w:val="21"/>
              </w:rPr>
            </w:pPr>
            <w:r>
              <w:rPr>
                <w:rFonts w:hint="eastAsia" w:ascii="宋体" w:hAnsi="宋体"/>
                <w:b/>
                <w:szCs w:val="21"/>
              </w:rPr>
              <w:t>代表：</w:t>
            </w:r>
          </w:p>
        </w:tc>
      </w:tr>
      <w:tr w14:paraId="637E4BB3">
        <w:tblPrEx>
          <w:tblCellMar>
            <w:top w:w="0" w:type="dxa"/>
            <w:left w:w="108" w:type="dxa"/>
            <w:bottom w:w="0" w:type="dxa"/>
            <w:right w:w="108" w:type="dxa"/>
          </w:tblCellMar>
        </w:tblPrEx>
        <w:trPr>
          <w:jc w:val="center"/>
        </w:trPr>
        <w:tc>
          <w:tcPr>
            <w:tcW w:w="4580" w:type="dxa"/>
            <w:vAlign w:val="center"/>
          </w:tcPr>
          <w:p w14:paraId="3811CFDC">
            <w:pPr>
              <w:spacing w:line="360" w:lineRule="auto"/>
              <w:rPr>
                <w:rFonts w:hint="eastAsia" w:ascii="宋体" w:hAnsi="宋体"/>
                <w:b/>
                <w:szCs w:val="21"/>
              </w:rPr>
            </w:pPr>
            <w:r>
              <w:rPr>
                <w:rFonts w:hint="eastAsia" w:ascii="宋体" w:hAnsi="宋体"/>
                <w:b/>
                <w:szCs w:val="21"/>
              </w:rPr>
              <w:t>签定地点：</w:t>
            </w:r>
          </w:p>
        </w:tc>
        <w:tc>
          <w:tcPr>
            <w:tcW w:w="4580" w:type="dxa"/>
            <w:vAlign w:val="center"/>
          </w:tcPr>
          <w:p w14:paraId="1E5FFD1F">
            <w:pPr>
              <w:spacing w:line="360" w:lineRule="auto"/>
              <w:rPr>
                <w:rFonts w:hint="eastAsia" w:ascii="宋体" w:hAnsi="宋体"/>
                <w:b/>
                <w:szCs w:val="21"/>
              </w:rPr>
            </w:pPr>
            <w:r>
              <w:rPr>
                <w:rFonts w:hint="eastAsia" w:ascii="宋体" w:hAnsi="宋体"/>
                <w:b/>
                <w:szCs w:val="21"/>
              </w:rPr>
              <w:t>签定地点：</w:t>
            </w:r>
          </w:p>
        </w:tc>
      </w:tr>
      <w:tr w14:paraId="2C6CD769">
        <w:tblPrEx>
          <w:tblCellMar>
            <w:top w:w="0" w:type="dxa"/>
            <w:left w:w="108" w:type="dxa"/>
            <w:bottom w:w="0" w:type="dxa"/>
            <w:right w:w="108" w:type="dxa"/>
          </w:tblCellMar>
        </w:tblPrEx>
        <w:trPr>
          <w:jc w:val="center"/>
        </w:trPr>
        <w:tc>
          <w:tcPr>
            <w:tcW w:w="4580" w:type="dxa"/>
            <w:vAlign w:val="center"/>
          </w:tcPr>
          <w:p w14:paraId="7F2B1021">
            <w:pPr>
              <w:spacing w:line="360" w:lineRule="auto"/>
              <w:rPr>
                <w:rFonts w:hint="eastAsia" w:ascii="宋体" w:hAnsi="宋体"/>
                <w:b/>
                <w:szCs w:val="21"/>
              </w:rPr>
            </w:pPr>
            <w:r>
              <w:rPr>
                <w:rFonts w:hint="eastAsia" w:ascii="宋体" w:hAnsi="宋体"/>
                <w:b/>
                <w:szCs w:val="21"/>
              </w:rPr>
              <w:t>签定日期：______年___月___日</w:t>
            </w:r>
          </w:p>
        </w:tc>
        <w:tc>
          <w:tcPr>
            <w:tcW w:w="4580" w:type="dxa"/>
            <w:vAlign w:val="center"/>
          </w:tcPr>
          <w:p w14:paraId="3216B6BA">
            <w:pPr>
              <w:spacing w:line="360" w:lineRule="auto"/>
              <w:rPr>
                <w:rFonts w:hint="eastAsia" w:ascii="宋体" w:hAnsi="宋体"/>
                <w:b/>
                <w:szCs w:val="21"/>
              </w:rPr>
            </w:pPr>
            <w:r>
              <w:rPr>
                <w:rFonts w:hint="eastAsia" w:ascii="宋体" w:hAnsi="宋体"/>
                <w:b/>
                <w:szCs w:val="21"/>
              </w:rPr>
              <w:t>签定日期：______年___月___日</w:t>
            </w:r>
          </w:p>
        </w:tc>
      </w:tr>
      <w:tr w14:paraId="342278A7">
        <w:tblPrEx>
          <w:tblCellMar>
            <w:top w:w="0" w:type="dxa"/>
            <w:left w:w="108" w:type="dxa"/>
            <w:bottom w:w="0" w:type="dxa"/>
            <w:right w:w="108" w:type="dxa"/>
          </w:tblCellMar>
        </w:tblPrEx>
        <w:trPr>
          <w:jc w:val="center"/>
        </w:trPr>
        <w:tc>
          <w:tcPr>
            <w:tcW w:w="4580" w:type="dxa"/>
            <w:vAlign w:val="center"/>
          </w:tcPr>
          <w:p w14:paraId="6690A8D0">
            <w:pPr>
              <w:spacing w:line="360" w:lineRule="auto"/>
              <w:rPr>
                <w:rFonts w:hint="eastAsia" w:ascii="宋体" w:hAnsi="宋体"/>
                <w:b/>
                <w:szCs w:val="21"/>
              </w:rPr>
            </w:pPr>
          </w:p>
        </w:tc>
        <w:tc>
          <w:tcPr>
            <w:tcW w:w="4580" w:type="dxa"/>
            <w:vAlign w:val="center"/>
          </w:tcPr>
          <w:p w14:paraId="56A93350">
            <w:pPr>
              <w:spacing w:line="360" w:lineRule="auto"/>
              <w:rPr>
                <w:rFonts w:hint="eastAsia" w:ascii="宋体" w:hAnsi="宋体"/>
                <w:b/>
                <w:szCs w:val="21"/>
              </w:rPr>
            </w:pPr>
            <w:r>
              <w:rPr>
                <w:rFonts w:hint="eastAsia" w:ascii="宋体" w:hAnsi="宋体"/>
                <w:b/>
                <w:szCs w:val="21"/>
              </w:rPr>
              <w:t>开户名称：</w:t>
            </w:r>
          </w:p>
        </w:tc>
      </w:tr>
      <w:tr w14:paraId="07066181">
        <w:tblPrEx>
          <w:tblCellMar>
            <w:top w:w="0" w:type="dxa"/>
            <w:left w:w="108" w:type="dxa"/>
            <w:bottom w:w="0" w:type="dxa"/>
            <w:right w:w="108" w:type="dxa"/>
          </w:tblCellMar>
        </w:tblPrEx>
        <w:trPr>
          <w:jc w:val="center"/>
        </w:trPr>
        <w:tc>
          <w:tcPr>
            <w:tcW w:w="4580" w:type="dxa"/>
            <w:vAlign w:val="center"/>
          </w:tcPr>
          <w:p w14:paraId="297B6A6C">
            <w:pPr>
              <w:spacing w:line="360" w:lineRule="auto"/>
              <w:rPr>
                <w:rFonts w:hint="eastAsia" w:ascii="宋体" w:hAnsi="宋体"/>
                <w:b/>
                <w:szCs w:val="21"/>
              </w:rPr>
            </w:pPr>
          </w:p>
        </w:tc>
        <w:tc>
          <w:tcPr>
            <w:tcW w:w="4580" w:type="dxa"/>
            <w:vAlign w:val="center"/>
          </w:tcPr>
          <w:p w14:paraId="7EAE7D35">
            <w:pPr>
              <w:spacing w:line="360" w:lineRule="auto"/>
              <w:rPr>
                <w:rFonts w:hint="eastAsia" w:ascii="宋体" w:hAnsi="宋体"/>
                <w:b/>
                <w:szCs w:val="21"/>
              </w:rPr>
            </w:pPr>
            <w:r>
              <w:rPr>
                <w:rFonts w:hint="eastAsia" w:ascii="宋体" w:hAnsi="宋体"/>
                <w:b/>
                <w:szCs w:val="21"/>
              </w:rPr>
              <w:t>银行帐号：</w:t>
            </w:r>
          </w:p>
        </w:tc>
      </w:tr>
      <w:tr w14:paraId="1EB344D7">
        <w:tblPrEx>
          <w:tblCellMar>
            <w:top w:w="0" w:type="dxa"/>
            <w:left w:w="108" w:type="dxa"/>
            <w:bottom w:w="0" w:type="dxa"/>
            <w:right w:w="108" w:type="dxa"/>
          </w:tblCellMar>
        </w:tblPrEx>
        <w:trPr>
          <w:jc w:val="center"/>
        </w:trPr>
        <w:tc>
          <w:tcPr>
            <w:tcW w:w="4580" w:type="dxa"/>
            <w:vAlign w:val="center"/>
          </w:tcPr>
          <w:p w14:paraId="1AD74019">
            <w:pPr>
              <w:spacing w:line="360" w:lineRule="auto"/>
              <w:rPr>
                <w:rFonts w:hint="eastAsia" w:ascii="宋体" w:hAnsi="宋体"/>
                <w:b/>
                <w:szCs w:val="21"/>
              </w:rPr>
            </w:pPr>
          </w:p>
        </w:tc>
        <w:tc>
          <w:tcPr>
            <w:tcW w:w="4580" w:type="dxa"/>
            <w:vAlign w:val="center"/>
          </w:tcPr>
          <w:p w14:paraId="4EC2B554">
            <w:pPr>
              <w:spacing w:line="360" w:lineRule="auto"/>
              <w:rPr>
                <w:rFonts w:hint="eastAsia" w:ascii="宋体" w:hAnsi="宋体"/>
                <w:b/>
                <w:szCs w:val="21"/>
              </w:rPr>
            </w:pPr>
            <w:r>
              <w:rPr>
                <w:rFonts w:hint="eastAsia" w:ascii="宋体" w:hAnsi="宋体"/>
                <w:b/>
                <w:szCs w:val="21"/>
              </w:rPr>
              <w:t>开户行：</w:t>
            </w:r>
          </w:p>
        </w:tc>
      </w:tr>
    </w:tbl>
    <w:p w14:paraId="5E64A01B">
      <w:pPr>
        <w:pStyle w:val="80"/>
        <w:spacing w:before="240" w:after="120"/>
        <w:rPr>
          <w:rFonts w:hint="eastAsia" w:ascii="宋体" w:hAnsi="宋体" w:eastAsia="宋体" w:cs="宋体"/>
          <w:b/>
          <w:bCs w:val="0"/>
          <w:kern w:val="0"/>
          <w:sz w:val="28"/>
          <w:szCs w:val="28"/>
        </w:rPr>
      </w:pPr>
      <w:r>
        <w:rPr>
          <w:rFonts w:ascii="宋体" w:hAnsi="宋体" w:eastAsia="宋体"/>
        </w:rPr>
        <w:br w:type="page"/>
      </w:r>
      <w:bookmarkEnd w:id="650"/>
      <w:bookmarkEnd w:id="651"/>
      <w:bookmarkEnd w:id="652"/>
      <w:bookmarkStart w:id="655" w:name="_Toc447265599"/>
      <w:bookmarkStart w:id="656" w:name="_Toc447265313"/>
      <w:bookmarkStart w:id="657" w:name="_Toc226969353"/>
      <w:bookmarkStart w:id="658" w:name="_Toc107822570"/>
      <w:bookmarkStart w:id="659" w:name="_Toc227057959"/>
      <w:bookmarkStart w:id="660" w:name="_Toc214432849"/>
      <w:r>
        <w:rPr>
          <w:rFonts w:hint="eastAsia" w:ascii="宋体" w:hAnsi="宋体" w:eastAsia="宋体" w:cs="宋体"/>
          <w:b/>
          <w:bCs w:val="0"/>
          <w:kern w:val="0"/>
          <w:sz w:val="28"/>
          <w:szCs w:val="28"/>
        </w:rPr>
        <w:t>第五章</w:t>
      </w:r>
      <w:bookmarkEnd w:id="655"/>
      <w:bookmarkEnd w:id="656"/>
      <w:bookmarkEnd w:id="657"/>
      <w:bookmarkEnd w:id="658"/>
      <w:bookmarkEnd w:id="659"/>
      <w:r>
        <w:rPr>
          <w:rFonts w:ascii="宋体" w:hAnsi="宋体" w:eastAsia="宋体" w:cs="宋体"/>
          <w:b/>
          <w:bCs w:val="0"/>
          <w:kern w:val="0"/>
          <w:sz w:val="28"/>
          <w:szCs w:val="28"/>
        </w:rPr>
        <w:t xml:space="preserve"> </w:t>
      </w:r>
      <w:r>
        <w:rPr>
          <w:rFonts w:hint="eastAsia" w:ascii="宋体" w:hAnsi="宋体" w:eastAsia="宋体" w:cs="宋体"/>
          <w:b/>
          <w:bCs w:val="0"/>
          <w:kern w:val="0"/>
          <w:sz w:val="28"/>
          <w:szCs w:val="28"/>
        </w:rPr>
        <w:t>项目需求书</w:t>
      </w:r>
      <w:bookmarkEnd w:id="660"/>
    </w:p>
    <w:p w14:paraId="555F07E5">
      <w:pPr>
        <w:adjustRightInd w:val="0"/>
        <w:snapToGrid w:val="0"/>
        <w:spacing w:after="0" w:line="360" w:lineRule="auto"/>
        <w:rPr>
          <w:rFonts w:hint="eastAsia" w:ascii="宋体" w:hAnsi="宋体" w:cstheme="minorEastAsia"/>
          <w:b/>
          <w:szCs w:val="21"/>
        </w:rPr>
      </w:pPr>
      <w:bookmarkStart w:id="661" w:name="_Toc447265316"/>
      <w:bookmarkStart w:id="662" w:name="_Toc447265602"/>
      <w:r>
        <w:rPr>
          <w:rFonts w:hint="eastAsia" w:ascii="宋体" w:hAnsi="宋体" w:cstheme="minorEastAsia"/>
          <w:b/>
          <w:szCs w:val="21"/>
        </w:rPr>
        <w:t>一、总则</w:t>
      </w:r>
    </w:p>
    <w:p w14:paraId="39BEBF19">
      <w:pPr>
        <w:adjustRightInd w:val="0"/>
        <w:snapToGrid w:val="0"/>
        <w:spacing w:after="0" w:line="360" w:lineRule="auto"/>
        <w:ind w:firstLine="420" w:firstLineChars="200"/>
        <w:rPr>
          <w:rFonts w:hint="eastAsia" w:ascii="宋体" w:hAnsi="宋体" w:cstheme="minorEastAsia"/>
          <w:szCs w:val="21"/>
        </w:rPr>
      </w:pPr>
      <w:r>
        <w:rPr>
          <w:rFonts w:hint="eastAsia" w:ascii="宋体" w:hAnsi="宋体" w:cstheme="minorEastAsia"/>
          <w:szCs w:val="21"/>
        </w:rPr>
        <w:t>1</w:t>
      </w:r>
      <w:r>
        <w:rPr>
          <w:rFonts w:ascii="宋体" w:hAnsi="宋体" w:cstheme="minorEastAsia"/>
          <w:szCs w:val="21"/>
        </w:rPr>
        <w:t>.</w:t>
      </w:r>
      <w:r>
        <w:rPr>
          <w:rFonts w:hint="eastAsia" w:ascii="宋体" w:hAnsi="宋体" w:cstheme="minorEastAsia"/>
          <w:szCs w:val="21"/>
        </w:rPr>
        <w:t>项目概况</w:t>
      </w:r>
    </w:p>
    <w:p w14:paraId="65B5F2ED">
      <w:pPr>
        <w:adjustRightInd w:val="0"/>
        <w:snapToGrid w:val="0"/>
        <w:spacing w:after="0" w:line="360" w:lineRule="auto"/>
        <w:ind w:firstLine="428" w:firstLineChars="200"/>
        <w:rPr>
          <w:rFonts w:hint="eastAsia" w:ascii="宋体" w:hAnsi="宋体"/>
          <w:spacing w:val="2"/>
          <w:szCs w:val="21"/>
        </w:rPr>
      </w:pPr>
      <w:r>
        <w:rPr>
          <w:rFonts w:hint="eastAsia" w:ascii="宋体" w:hAnsi="宋体"/>
          <w:spacing w:val="2"/>
          <w:szCs w:val="21"/>
        </w:rPr>
        <w:t>惠州交投能源投资有限公司计划采购一批货物进行节能技改。</w:t>
      </w:r>
    </w:p>
    <w:p w14:paraId="10356DEE">
      <w:pPr>
        <w:pStyle w:val="81"/>
        <w:adjustRightInd w:val="0"/>
        <w:snapToGrid w:val="0"/>
        <w:spacing w:after="0" w:line="360" w:lineRule="auto"/>
        <w:ind w:firstLine="422"/>
        <w:rPr>
          <w:rFonts w:hint="eastAsia" w:ascii="宋体" w:hAnsi="宋体" w:cstheme="minorEastAsia"/>
          <w:b/>
          <w:szCs w:val="21"/>
        </w:rPr>
      </w:pPr>
      <w:r>
        <w:rPr>
          <w:rFonts w:hint="eastAsia" w:ascii="宋体" w:hAnsi="宋体" w:cstheme="minorEastAsia"/>
          <w:b/>
          <w:szCs w:val="21"/>
        </w:rPr>
        <w:t>二、采购内容：</w:t>
      </w:r>
    </w:p>
    <w:p w14:paraId="6CC6F24A">
      <w:pPr>
        <w:pStyle w:val="81"/>
        <w:adjustRightInd w:val="0"/>
        <w:snapToGrid w:val="0"/>
        <w:spacing w:after="0" w:line="360" w:lineRule="auto"/>
        <w:ind w:firstLine="428"/>
        <w:rPr>
          <w:rFonts w:hint="eastAsia" w:ascii="宋体" w:hAnsi="宋体"/>
          <w:szCs w:val="21"/>
        </w:rPr>
      </w:pPr>
      <w:r>
        <w:rPr>
          <w:rFonts w:hint="eastAsia" w:ascii="宋体" w:hAnsi="宋体"/>
          <w:spacing w:val="2"/>
          <w:szCs w:val="21"/>
        </w:rPr>
        <w:t>惠州交投能源投资有限公司计划采购一批货物进行节能技改。</w:t>
      </w:r>
      <w:r>
        <w:rPr>
          <w:rFonts w:hint="eastAsia" w:ascii="宋体" w:hAnsi="宋体"/>
          <w:szCs w:val="21"/>
        </w:rPr>
        <w:t>本项目设备包含安装、调试，直至验收通过。其他要求详见附件:分项报价表</w:t>
      </w:r>
      <w:r>
        <w:rPr>
          <w:rFonts w:hint="eastAsia" w:ascii="宋体" w:hAnsi="宋体"/>
          <w:spacing w:val="2"/>
          <w:szCs w:val="21"/>
        </w:rPr>
        <w:t>。</w:t>
      </w:r>
    </w:p>
    <w:p w14:paraId="2749EEE1">
      <w:pPr>
        <w:adjustRightInd w:val="0"/>
        <w:snapToGrid w:val="0"/>
        <w:spacing w:after="0" w:line="360" w:lineRule="auto"/>
        <w:ind w:firstLine="422" w:firstLineChars="200"/>
        <w:rPr>
          <w:rFonts w:hint="eastAsia" w:ascii="宋体" w:hAnsi="宋体" w:cstheme="minorEastAsia"/>
          <w:b/>
          <w:szCs w:val="21"/>
        </w:rPr>
      </w:pPr>
      <w:r>
        <w:rPr>
          <w:rFonts w:hint="eastAsia" w:ascii="宋体" w:hAnsi="宋体" w:cstheme="minorEastAsia"/>
          <w:b/>
          <w:szCs w:val="21"/>
        </w:rPr>
        <w:t>如招标人采购附件外的配件，招标人可向中标单位进行询价，结算价格以实际询价为准。</w:t>
      </w:r>
    </w:p>
    <w:p w14:paraId="5A5DFA17">
      <w:pPr>
        <w:tabs>
          <w:tab w:val="left" w:pos="2138"/>
        </w:tabs>
        <w:adjustRightInd w:val="0"/>
        <w:snapToGrid w:val="0"/>
        <w:spacing w:after="0" w:line="360" w:lineRule="auto"/>
        <w:jc w:val="left"/>
        <w:rPr>
          <w:rFonts w:hint="eastAsia" w:ascii="宋体" w:hAnsi="宋体" w:cstheme="minorEastAsia"/>
          <w:szCs w:val="21"/>
        </w:rPr>
      </w:pPr>
      <w:r>
        <w:rPr>
          <w:rFonts w:hint="eastAsia" w:ascii="宋体" w:hAnsi="宋体" w:cstheme="minorEastAsia"/>
          <w:b/>
          <w:szCs w:val="21"/>
        </w:rPr>
        <w:t>三、技术要求</w:t>
      </w:r>
    </w:p>
    <w:p w14:paraId="625021B7">
      <w:pPr>
        <w:pStyle w:val="42"/>
        <w:adjustRightInd w:val="0"/>
        <w:snapToGrid w:val="0"/>
        <w:spacing w:after="0" w:line="360" w:lineRule="auto"/>
        <w:ind w:firstLineChars="200"/>
        <w:rPr>
          <w:rFonts w:hint="eastAsia" w:ascii="宋体" w:hAnsi="宋体" w:cstheme="minorEastAsia"/>
          <w:sz w:val="21"/>
          <w:szCs w:val="21"/>
        </w:rPr>
      </w:pPr>
      <w:r>
        <w:rPr>
          <w:rFonts w:hint="eastAsia" w:ascii="宋体" w:hAnsi="宋体" w:cstheme="minorEastAsia"/>
          <w:sz w:val="21"/>
          <w:szCs w:val="21"/>
        </w:rPr>
        <w:t>1.详见附件:分项报价表</w:t>
      </w:r>
    </w:p>
    <w:p w14:paraId="372A4FC2">
      <w:pPr>
        <w:pStyle w:val="42"/>
        <w:adjustRightInd w:val="0"/>
        <w:snapToGrid w:val="0"/>
        <w:spacing w:after="0" w:line="360" w:lineRule="auto"/>
        <w:ind w:firstLineChars="200"/>
        <w:rPr>
          <w:rFonts w:hint="eastAsia" w:ascii="宋体" w:hAnsi="宋体" w:cstheme="minorEastAsia"/>
          <w:sz w:val="21"/>
          <w:szCs w:val="21"/>
        </w:rPr>
      </w:pPr>
      <w:r>
        <w:rPr>
          <w:rFonts w:hint="eastAsia" w:ascii="宋体" w:hAnsi="宋体" w:cstheme="minorEastAsia"/>
          <w:sz w:val="21"/>
          <w:szCs w:val="21"/>
        </w:rPr>
        <w:t>2.本项目预算金额：5246390.29元（含税），具体按实际的供货量进行结算。</w:t>
      </w:r>
    </w:p>
    <w:p w14:paraId="6D429CFE">
      <w:pPr>
        <w:tabs>
          <w:tab w:val="left" w:pos="2138"/>
        </w:tabs>
        <w:adjustRightInd w:val="0"/>
        <w:snapToGrid w:val="0"/>
        <w:spacing w:after="0" w:line="360" w:lineRule="auto"/>
        <w:jc w:val="left"/>
        <w:rPr>
          <w:rFonts w:hint="eastAsia" w:ascii="宋体" w:hAnsi="宋体" w:cstheme="minorEastAsia"/>
          <w:b/>
          <w:szCs w:val="21"/>
        </w:rPr>
      </w:pPr>
      <w:r>
        <w:rPr>
          <w:rFonts w:hint="eastAsia" w:ascii="宋体" w:hAnsi="宋体" w:cstheme="minorEastAsia"/>
          <w:b/>
          <w:szCs w:val="21"/>
        </w:rPr>
        <w:t>四、商务要求</w:t>
      </w:r>
    </w:p>
    <w:p w14:paraId="2F8D9C1C">
      <w:pPr>
        <w:pStyle w:val="42"/>
        <w:adjustRightInd w:val="0"/>
        <w:snapToGrid w:val="0"/>
        <w:spacing w:after="0" w:line="360" w:lineRule="auto"/>
        <w:ind w:firstLineChars="200"/>
        <w:rPr>
          <w:rFonts w:hint="eastAsia" w:ascii="宋体" w:hAnsi="宋体" w:cstheme="minorEastAsia"/>
          <w:sz w:val="21"/>
          <w:szCs w:val="21"/>
        </w:rPr>
      </w:pPr>
      <w:r>
        <w:rPr>
          <w:rFonts w:hint="eastAsia" w:ascii="宋体" w:hAnsi="宋体" w:cstheme="minorEastAsia"/>
          <w:sz w:val="21"/>
          <w:szCs w:val="21"/>
        </w:rPr>
        <w:t>1</w:t>
      </w:r>
      <w:r>
        <w:rPr>
          <w:rFonts w:ascii="宋体" w:hAnsi="宋体" w:cstheme="minorEastAsia"/>
          <w:sz w:val="21"/>
          <w:szCs w:val="21"/>
        </w:rPr>
        <w:t>.</w:t>
      </w:r>
      <w:r>
        <w:rPr>
          <w:rFonts w:hint="eastAsia" w:ascii="宋体" w:hAnsi="宋体" w:cstheme="minorEastAsia"/>
          <w:sz w:val="21"/>
          <w:szCs w:val="21"/>
        </w:rPr>
        <w:t>交货期：投标人须在接到招标人的送货通知后按订单规定配送时间要求，将货物送达到招标人指定收货地点。到货具体时间及数量以招标人的通知为准。</w:t>
      </w:r>
    </w:p>
    <w:p w14:paraId="66AA9DEF">
      <w:pPr>
        <w:pStyle w:val="42"/>
        <w:adjustRightInd w:val="0"/>
        <w:snapToGrid w:val="0"/>
        <w:spacing w:after="0" w:line="360" w:lineRule="auto"/>
        <w:ind w:firstLineChars="200"/>
        <w:rPr>
          <w:rFonts w:hint="eastAsia" w:ascii="宋体" w:hAnsi="宋体" w:cstheme="minorEastAsia"/>
          <w:sz w:val="21"/>
          <w:szCs w:val="21"/>
        </w:rPr>
      </w:pPr>
      <w:r>
        <w:rPr>
          <w:rFonts w:hint="eastAsia" w:ascii="宋体" w:hAnsi="宋体" w:cstheme="minorEastAsia"/>
          <w:sz w:val="21"/>
          <w:szCs w:val="21"/>
        </w:rPr>
        <w:t>2</w:t>
      </w:r>
      <w:r>
        <w:rPr>
          <w:rFonts w:ascii="宋体" w:hAnsi="宋体" w:cstheme="minorEastAsia"/>
          <w:sz w:val="21"/>
          <w:szCs w:val="21"/>
        </w:rPr>
        <w:t>.</w:t>
      </w:r>
      <w:r>
        <w:rPr>
          <w:rFonts w:hint="eastAsia" w:ascii="宋体" w:hAnsi="宋体" w:cstheme="minorEastAsia"/>
          <w:sz w:val="21"/>
          <w:szCs w:val="21"/>
        </w:rPr>
        <w:t>供货地点：招标人指定收货地点。</w:t>
      </w:r>
    </w:p>
    <w:p w14:paraId="664A2545">
      <w:pPr>
        <w:pStyle w:val="81"/>
        <w:adjustRightInd w:val="0"/>
        <w:snapToGrid w:val="0"/>
        <w:spacing w:after="0" w:line="360" w:lineRule="auto"/>
        <w:rPr>
          <w:rFonts w:hint="eastAsia" w:ascii="宋体" w:hAnsi="宋体" w:cstheme="minorEastAsia"/>
          <w:szCs w:val="21"/>
        </w:rPr>
      </w:pPr>
      <w:r>
        <w:rPr>
          <w:rFonts w:ascii="宋体" w:hAnsi="宋体" w:cstheme="minorEastAsia"/>
          <w:szCs w:val="21"/>
        </w:rPr>
        <w:t>3.</w:t>
      </w:r>
      <w:r>
        <w:rPr>
          <w:rFonts w:hint="eastAsia" w:ascii="宋体" w:hAnsi="宋体" w:cstheme="minorEastAsia"/>
          <w:szCs w:val="21"/>
        </w:rPr>
        <w:t>质保期：自设备验收通过之日起，最低质保期限以附件：分项报价表所注为准。若生产厂家所规定的质保期限超出此期限，则以生产厂家的规定为准。易损件的质保期限与整个项目的质保期限保持一致。</w:t>
      </w:r>
    </w:p>
    <w:p w14:paraId="37D8F369">
      <w:pPr>
        <w:widowControl/>
        <w:adjustRightInd w:val="0"/>
        <w:snapToGrid w:val="0"/>
        <w:spacing w:after="0" w:line="360" w:lineRule="auto"/>
        <w:ind w:firstLine="420" w:firstLineChars="200"/>
        <w:jc w:val="left"/>
        <w:rPr>
          <w:rFonts w:hint="eastAsia" w:ascii="宋体" w:hAnsi="宋体"/>
          <w:szCs w:val="21"/>
          <w:lang w:eastAsia="zh-CN"/>
        </w:rPr>
      </w:pPr>
      <w:r>
        <w:rPr>
          <w:rFonts w:hint="eastAsia" w:ascii="宋体" w:hAnsi="宋体"/>
          <w:szCs w:val="21"/>
          <w:lang w:eastAsia="zh-CN"/>
        </w:rPr>
        <w:t>4.付款方式</w:t>
      </w:r>
    </w:p>
    <w:p w14:paraId="49D03E18">
      <w:pPr>
        <w:widowControl/>
        <w:adjustRightInd w:val="0"/>
        <w:snapToGrid w:val="0"/>
        <w:spacing w:after="0" w:line="360" w:lineRule="auto"/>
        <w:ind w:firstLine="420" w:firstLineChars="200"/>
        <w:jc w:val="left"/>
        <w:rPr>
          <w:rFonts w:hint="eastAsia" w:ascii="宋体" w:hAnsi="宋体"/>
          <w:szCs w:val="21"/>
          <w:lang w:eastAsia="zh-CN"/>
        </w:rPr>
      </w:pPr>
      <w:r>
        <w:rPr>
          <w:rFonts w:hint="eastAsia" w:ascii="宋体" w:hAnsi="宋体"/>
          <w:szCs w:val="21"/>
          <w:lang w:eastAsia="zh-CN"/>
        </w:rPr>
        <w:t>（1）乙方中标后须与甲方成立一个共管账户。</w:t>
      </w:r>
    </w:p>
    <w:p w14:paraId="6A13DB55">
      <w:pPr>
        <w:widowControl/>
        <w:adjustRightInd w:val="0"/>
        <w:snapToGrid w:val="0"/>
        <w:spacing w:after="0" w:line="360" w:lineRule="auto"/>
        <w:ind w:firstLine="420" w:firstLineChars="200"/>
        <w:jc w:val="left"/>
        <w:rPr>
          <w:rFonts w:hint="eastAsia" w:ascii="宋体" w:hAnsi="宋体"/>
          <w:szCs w:val="21"/>
          <w:lang w:eastAsia="zh-CN"/>
        </w:rPr>
      </w:pPr>
      <w:r>
        <w:rPr>
          <w:rFonts w:hint="eastAsia" w:ascii="宋体" w:hAnsi="宋体"/>
          <w:szCs w:val="21"/>
          <w:lang w:eastAsia="zh-CN"/>
        </w:rPr>
        <w:t>（2）合同签订后甲方支付合同金额的97%到共管账户。</w:t>
      </w:r>
    </w:p>
    <w:p w14:paraId="50098834">
      <w:pPr>
        <w:widowControl/>
        <w:adjustRightInd w:val="0"/>
        <w:snapToGrid w:val="0"/>
        <w:spacing w:after="0" w:line="360" w:lineRule="auto"/>
        <w:ind w:firstLine="420" w:firstLineChars="200"/>
        <w:jc w:val="left"/>
        <w:rPr>
          <w:rFonts w:hint="eastAsia" w:ascii="宋体" w:hAnsi="宋体"/>
          <w:szCs w:val="21"/>
          <w:lang w:eastAsia="zh-CN"/>
        </w:rPr>
      </w:pPr>
      <w:r>
        <w:rPr>
          <w:rFonts w:hint="eastAsia" w:ascii="宋体" w:hAnsi="宋体"/>
          <w:szCs w:val="21"/>
          <w:lang w:eastAsia="zh-CN"/>
        </w:rPr>
        <w:t>（3）共管账户管理：①预付款：本项目安装现场达到安装条件时，由甲方指令进行发货，甲方从共管账户支付合同金额的30%至乙方账户；</w:t>
      </w:r>
    </w:p>
    <w:p w14:paraId="31594A46">
      <w:pPr>
        <w:widowControl/>
        <w:adjustRightInd w:val="0"/>
        <w:snapToGrid w:val="0"/>
        <w:spacing w:after="0" w:line="360" w:lineRule="auto"/>
        <w:ind w:firstLine="420" w:firstLineChars="200"/>
        <w:jc w:val="left"/>
        <w:rPr>
          <w:rFonts w:hint="eastAsia" w:ascii="宋体" w:hAnsi="宋体"/>
          <w:szCs w:val="21"/>
          <w:lang w:eastAsia="zh-CN"/>
        </w:rPr>
      </w:pPr>
      <w:r>
        <w:rPr>
          <w:rFonts w:hint="eastAsia" w:ascii="宋体" w:hAnsi="宋体"/>
          <w:szCs w:val="21"/>
          <w:lang w:eastAsia="zh-CN"/>
        </w:rPr>
        <w:t>②进度款：本项目设备（按合同金额计算不少于10%的设备）配送至招标人指定地点后，甲方从共管账户支付合同金额的40%至乙方账户；</w:t>
      </w:r>
    </w:p>
    <w:p w14:paraId="7B0F9923">
      <w:pPr>
        <w:widowControl/>
        <w:adjustRightInd w:val="0"/>
        <w:snapToGrid w:val="0"/>
        <w:spacing w:after="0" w:line="360" w:lineRule="auto"/>
        <w:ind w:firstLine="420" w:firstLineChars="200"/>
        <w:jc w:val="left"/>
        <w:rPr>
          <w:rFonts w:hint="eastAsia" w:ascii="宋体" w:hAnsi="宋体"/>
          <w:szCs w:val="21"/>
          <w:lang w:eastAsia="zh-CN"/>
        </w:rPr>
      </w:pPr>
      <w:r>
        <w:rPr>
          <w:rFonts w:hint="eastAsia" w:ascii="宋体" w:hAnsi="宋体"/>
          <w:szCs w:val="21"/>
          <w:lang w:eastAsia="zh-CN"/>
        </w:rPr>
        <w:t>③进度款：所有设备完成安装调试并通过验收后，甲方从共管账户支付经第三方审定的金额97%至乙方账户，如共管账户有盈余剩余金额退回甲方账户。</w:t>
      </w:r>
    </w:p>
    <w:p w14:paraId="49369A21">
      <w:pPr>
        <w:widowControl/>
        <w:adjustRightInd w:val="0"/>
        <w:snapToGrid w:val="0"/>
        <w:spacing w:after="0" w:line="360" w:lineRule="auto"/>
        <w:ind w:firstLine="420" w:firstLineChars="200"/>
        <w:jc w:val="left"/>
        <w:rPr>
          <w:rFonts w:hint="eastAsia" w:ascii="宋体" w:hAnsi="宋体"/>
          <w:szCs w:val="21"/>
          <w:lang w:eastAsia="zh-CN"/>
        </w:rPr>
      </w:pPr>
      <w:r>
        <w:rPr>
          <w:rFonts w:hint="eastAsia" w:ascii="宋体" w:hAnsi="宋体"/>
          <w:szCs w:val="21"/>
          <w:lang w:eastAsia="zh-CN"/>
        </w:rPr>
        <w:t>（4）尾款：本项目设备质保期结束后，经甲方确认后，甲方在10个工作日内完成审核，支付经第三方审定金额的3%。</w:t>
      </w:r>
    </w:p>
    <w:p w14:paraId="155B3ACA">
      <w:pPr>
        <w:widowControl/>
        <w:adjustRightInd w:val="0"/>
        <w:snapToGrid w:val="0"/>
        <w:spacing w:after="0" w:line="360" w:lineRule="auto"/>
        <w:ind w:firstLine="422" w:firstLineChars="200"/>
        <w:jc w:val="left"/>
        <w:rPr>
          <w:rFonts w:hint="eastAsia" w:ascii="宋体" w:hAnsi="宋体" w:cstheme="minorEastAsia"/>
          <w:b/>
          <w:szCs w:val="21"/>
        </w:rPr>
      </w:pPr>
      <w:bookmarkStart w:id="739" w:name="_GoBack"/>
      <w:bookmarkEnd w:id="739"/>
      <w:r>
        <w:rPr>
          <w:rFonts w:hint="eastAsia" w:ascii="宋体" w:hAnsi="宋体" w:cstheme="minorEastAsia"/>
          <w:b/>
          <w:szCs w:val="21"/>
        </w:rPr>
        <w:t>五、其他要求</w:t>
      </w:r>
    </w:p>
    <w:p w14:paraId="67EB2169">
      <w:pPr>
        <w:tabs>
          <w:tab w:val="left" w:pos="2138"/>
        </w:tabs>
        <w:adjustRightInd w:val="0"/>
        <w:snapToGrid w:val="0"/>
        <w:spacing w:after="0" w:line="360" w:lineRule="auto"/>
        <w:ind w:firstLine="420" w:firstLineChars="200"/>
        <w:jc w:val="left"/>
        <w:rPr>
          <w:rFonts w:hint="eastAsia" w:ascii="宋体" w:hAnsi="宋体" w:cstheme="minorEastAsia"/>
          <w:szCs w:val="21"/>
        </w:rPr>
      </w:pPr>
      <w:r>
        <w:rPr>
          <w:rFonts w:hint="eastAsia" w:ascii="宋体" w:hAnsi="宋体" w:cstheme="minorEastAsia"/>
          <w:szCs w:val="21"/>
        </w:rPr>
        <w:t>1．投标人提供的货物必须是原厂生产的、全新的、未使用过的，并完全符合国家相关标准。</w:t>
      </w:r>
    </w:p>
    <w:p w14:paraId="426DA4AB">
      <w:pPr>
        <w:tabs>
          <w:tab w:val="left" w:pos="2138"/>
        </w:tabs>
        <w:adjustRightInd w:val="0"/>
        <w:snapToGrid w:val="0"/>
        <w:spacing w:after="0" w:line="360" w:lineRule="auto"/>
        <w:ind w:firstLine="420" w:firstLineChars="200"/>
        <w:jc w:val="left"/>
        <w:rPr>
          <w:rFonts w:hint="eastAsia" w:ascii="宋体" w:hAnsi="宋体" w:cstheme="minorEastAsia"/>
          <w:szCs w:val="21"/>
        </w:rPr>
      </w:pPr>
      <w:r>
        <w:rPr>
          <w:rFonts w:hint="eastAsia" w:ascii="宋体" w:hAnsi="宋体" w:cstheme="minorEastAsia"/>
          <w:szCs w:val="21"/>
        </w:rPr>
        <w:t>2</w:t>
      </w:r>
      <w:r>
        <w:rPr>
          <w:rFonts w:ascii="宋体" w:hAnsi="宋体" w:cstheme="minorEastAsia"/>
          <w:szCs w:val="21"/>
        </w:rPr>
        <w:t>.</w:t>
      </w:r>
      <w:r>
        <w:rPr>
          <w:rFonts w:hint="eastAsia" w:ascii="宋体" w:hAnsi="宋体" w:cstheme="minorEastAsia"/>
          <w:szCs w:val="21"/>
        </w:rPr>
        <w:t>如投标货物属于国家强制认证或生产许可范围的，必须取得强制认证证书或生产许可证，并在投标文件中附上。</w:t>
      </w:r>
    </w:p>
    <w:p w14:paraId="035300B4">
      <w:pPr>
        <w:tabs>
          <w:tab w:val="left" w:pos="2138"/>
        </w:tabs>
        <w:adjustRightInd w:val="0"/>
        <w:snapToGrid w:val="0"/>
        <w:spacing w:after="0" w:line="360" w:lineRule="auto"/>
        <w:ind w:firstLine="420" w:firstLineChars="200"/>
        <w:jc w:val="left"/>
        <w:rPr>
          <w:rFonts w:hint="eastAsia" w:ascii="宋体" w:hAnsi="宋体" w:cstheme="minorEastAsia"/>
          <w:szCs w:val="21"/>
        </w:rPr>
      </w:pPr>
      <w:r>
        <w:rPr>
          <w:rFonts w:hint="eastAsia" w:ascii="宋体" w:hAnsi="宋体" w:cstheme="minorEastAsia"/>
          <w:szCs w:val="21"/>
        </w:rPr>
        <w:t>3</w:t>
      </w:r>
      <w:r>
        <w:rPr>
          <w:rFonts w:ascii="宋体" w:hAnsi="宋体" w:cstheme="minorEastAsia"/>
          <w:szCs w:val="21"/>
        </w:rPr>
        <w:t>.</w:t>
      </w:r>
      <w:r>
        <w:rPr>
          <w:rFonts w:hint="eastAsia" w:ascii="宋体" w:hAnsi="宋体" w:cstheme="minorEastAsia"/>
          <w:szCs w:val="21"/>
        </w:rPr>
        <w:t>投标人应保证，招标人在使用该货物或货物的任何一部分时，免受第三方提出的侵犯其专利权、商标权、工业设计权、侵犯所有权和工业产权、著作权（版权）等知识产权的起诉。</w:t>
      </w:r>
    </w:p>
    <w:p w14:paraId="224E9EEF">
      <w:pPr>
        <w:adjustRightInd w:val="0"/>
        <w:snapToGrid w:val="0"/>
        <w:spacing w:after="0" w:line="360" w:lineRule="auto"/>
        <w:ind w:firstLine="420" w:firstLineChars="200"/>
        <w:jc w:val="left"/>
        <w:rPr>
          <w:rFonts w:hint="eastAsia" w:ascii="宋体" w:hAnsi="宋体"/>
          <w:szCs w:val="21"/>
        </w:rPr>
      </w:pPr>
      <w:r>
        <w:rPr>
          <w:rFonts w:ascii="宋体" w:hAnsi="宋体"/>
          <w:szCs w:val="21"/>
        </w:rPr>
        <w:t>4.</w:t>
      </w:r>
      <w:r>
        <w:rPr>
          <w:rFonts w:hint="eastAsia" w:ascii="宋体" w:hAnsi="宋体"/>
          <w:szCs w:val="21"/>
        </w:rPr>
        <w:t>在合同规定的供货期内，招标人有权对供货数量进行调整。</w:t>
      </w:r>
      <w:r>
        <w:rPr>
          <w:rFonts w:hint="eastAsia" w:ascii="宋体" w:hAnsi="宋体"/>
          <w:szCs w:val="21"/>
          <w:lang w:val="en-US" w:eastAsia="zh-CN"/>
        </w:rPr>
        <w:t>中标</w:t>
      </w:r>
      <w:r>
        <w:rPr>
          <w:rFonts w:hint="eastAsia" w:ascii="宋体" w:hAnsi="宋体"/>
          <w:szCs w:val="21"/>
        </w:rPr>
        <w:t>人根据招标人实际要求的数量无条件进行生产、供货和结算。</w:t>
      </w:r>
    </w:p>
    <w:p w14:paraId="3D33EA61">
      <w:pPr>
        <w:widowControl/>
        <w:adjustRightInd w:val="0"/>
        <w:snapToGrid w:val="0"/>
        <w:spacing w:after="0" w:line="360" w:lineRule="auto"/>
        <w:ind w:firstLine="422" w:firstLineChars="200"/>
        <w:jc w:val="left"/>
        <w:rPr>
          <w:rFonts w:hint="eastAsia" w:ascii="宋体" w:hAnsi="宋体" w:cstheme="minorEastAsia"/>
          <w:b/>
          <w:szCs w:val="21"/>
        </w:rPr>
      </w:pPr>
      <w:r>
        <w:rPr>
          <w:rFonts w:hint="eastAsia" w:ascii="宋体" w:hAnsi="宋体" w:cstheme="minorEastAsia"/>
          <w:b/>
          <w:szCs w:val="21"/>
        </w:rPr>
        <w:t>六、货物清单</w:t>
      </w:r>
    </w:p>
    <w:tbl>
      <w:tblPr>
        <w:tblStyle w:val="44"/>
        <w:tblW w:w="5000" w:type="pct"/>
        <w:tblInd w:w="0" w:type="dxa"/>
        <w:tblLayout w:type="autofit"/>
        <w:tblCellMar>
          <w:top w:w="0" w:type="dxa"/>
          <w:left w:w="108" w:type="dxa"/>
          <w:bottom w:w="0" w:type="dxa"/>
          <w:right w:w="108" w:type="dxa"/>
        </w:tblCellMar>
      </w:tblPr>
      <w:tblGrid>
        <w:gridCol w:w="638"/>
        <w:gridCol w:w="1169"/>
        <w:gridCol w:w="4164"/>
        <w:gridCol w:w="560"/>
        <w:gridCol w:w="1185"/>
        <w:gridCol w:w="820"/>
      </w:tblGrid>
      <w:tr w14:paraId="44F24510">
        <w:tblPrEx>
          <w:tblCellMar>
            <w:top w:w="0" w:type="dxa"/>
            <w:left w:w="108" w:type="dxa"/>
            <w:bottom w:w="0" w:type="dxa"/>
            <w:right w:w="108" w:type="dxa"/>
          </w:tblCellMar>
        </w:tblPrEx>
        <w:trPr>
          <w:trHeight w:val="259" w:hRule="atLeast"/>
        </w:trPr>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0BB35486">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序号</w:t>
            </w:r>
          </w:p>
        </w:tc>
        <w:tc>
          <w:tcPr>
            <w:tcW w:w="685" w:type="pct"/>
            <w:vMerge w:val="restart"/>
            <w:tcBorders>
              <w:top w:val="single" w:color="000000" w:sz="4" w:space="0"/>
              <w:left w:val="single" w:color="000000" w:sz="4" w:space="0"/>
              <w:bottom w:val="single" w:color="000000" w:sz="4" w:space="0"/>
              <w:right w:val="single" w:color="000000" w:sz="4" w:space="0"/>
            </w:tcBorders>
            <w:vAlign w:val="center"/>
          </w:tcPr>
          <w:p w14:paraId="79BE3E84">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货物名称</w:t>
            </w:r>
          </w:p>
        </w:tc>
        <w:tc>
          <w:tcPr>
            <w:tcW w:w="2439" w:type="pct"/>
            <w:vMerge w:val="restart"/>
            <w:tcBorders>
              <w:top w:val="single" w:color="000000" w:sz="4" w:space="0"/>
              <w:left w:val="single" w:color="000000" w:sz="4" w:space="0"/>
              <w:bottom w:val="single" w:color="000000" w:sz="4" w:space="0"/>
              <w:right w:val="single" w:color="000000" w:sz="4" w:space="0"/>
            </w:tcBorders>
            <w:vAlign w:val="center"/>
          </w:tcPr>
          <w:p w14:paraId="127143BE">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产品参数</w:t>
            </w:r>
          </w:p>
        </w:tc>
        <w:tc>
          <w:tcPr>
            <w:tcW w:w="328" w:type="pct"/>
            <w:vMerge w:val="restart"/>
            <w:tcBorders>
              <w:top w:val="single" w:color="000000" w:sz="4" w:space="0"/>
              <w:left w:val="single" w:color="000000" w:sz="4" w:space="0"/>
              <w:bottom w:val="single" w:color="000000" w:sz="4" w:space="0"/>
              <w:right w:val="single" w:color="000000" w:sz="4" w:space="0"/>
            </w:tcBorders>
            <w:vAlign w:val="center"/>
          </w:tcPr>
          <w:p w14:paraId="1E40982F">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计量单位</w:t>
            </w:r>
          </w:p>
        </w:tc>
        <w:tc>
          <w:tcPr>
            <w:tcW w:w="694" w:type="pct"/>
            <w:vMerge w:val="restart"/>
            <w:tcBorders>
              <w:top w:val="single" w:color="000000" w:sz="4" w:space="0"/>
              <w:left w:val="single" w:color="000000" w:sz="4" w:space="0"/>
              <w:bottom w:val="single" w:color="000000" w:sz="4" w:space="0"/>
              <w:right w:val="single" w:color="000000" w:sz="4" w:space="0"/>
            </w:tcBorders>
            <w:vAlign w:val="center"/>
          </w:tcPr>
          <w:p w14:paraId="2F1AF37B">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数量</w:t>
            </w:r>
          </w:p>
        </w:tc>
        <w:tc>
          <w:tcPr>
            <w:tcW w:w="480" w:type="pct"/>
            <w:vMerge w:val="restart"/>
            <w:tcBorders>
              <w:top w:val="single" w:color="000000" w:sz="4" w:space="0"/>
              <w:left w:val="single" w:color="000000" w:sz="4" w:space="0"/>
              <w:bottom w:val="single" w:color="000000" w:sz="4" w:space="0"/>
              <w:right w:val="single" w:color="000000" w:sz="4" w:space="0"/>
            </w:tcBorders>
            <w:vAlign w:val="center"/>
          </w:tcPr>
          <w:p w14:paraId="37FB7633">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质保期（年）</w:t>
            </w:r>
          </w:p>
        </w:tc>
      </w:tr>
      <w:tr w14:paraId="5947B008">
        <w:tblPrEx>
          <w:tblCellMar>
            <w:top w:w="0" w:type="dxa"/>
            <w:left w:w="108" w:type="dxa"/>
            <w:bottom w:w="0" w:type="dxa"/>
            <w:right w:w="108" w:type="dxa"/>
          </w:tblCellMar>
        </w:tblPrEx>
        <w:trPr>
          <w:trHeight w:val="312" w:hRule="atLeast"/>
        </w:trPr>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1D505C0B">
            <w:pPr>
              <w:widowControl/>
              <w:spacing w:after="0" w:line="240" w:lineRule="auto"/>
              <w:jc w:val="left"/>
              <w:rPr>
                <w:rFonts w:hint="eastAsia" w:ascii="宋体" w:hAnsi="宋体" w:cs="宋体"/>
                <w:b/>
                <w:bCs/>
                <w:kern w:val="0"/>
                <w:sz w:val="20"/>
                <w:szCs w:val="20"/>
              </w:rPr>
            </w:pPr>
          </w:p>
        </w:tc>
        <w:tc>
          <w:tcPr>
            <w:tcW w:w="685" w:type="pct"/>
            <w:vMerge w:val="continue"/>
            <w:tcBorders>
              <w:top w:val="single" w:color="000000" w:sz="4" w:space="0"/>
              <w:left w:val="single" w:color="000000" w:sz="4" w:space="0"/>
              <w:bottom w:val="single" w:color="000000" w:sz="4" w:space="0"/>
              <w:right w:val="single" w:color="000000" w:sz="4" w:space="0"/>
            </w:tcBorders>
            <w:vAlign w:val="center"/>
          </w:tcPr>
          <w:p w14:paraId="2EE7D4AF">
            <w:pPr>
              <w:widowControl/>
              <w:spacing w:after="0" w:line="240" w:lineRule="auto"/>
              <w:jc w:val="left"/>
              <w:rPr>
                <w:rFonts w:hint="eastAsia" w:ascii="宋体" w:hAnsi="宋体" w:cs="宋体"/>
                <w:b/>
                <w:bCs/>
                <w:kern w:val="0"/>
                <w:sz w:val="20"/>
                <w:szCs w:val="20"/>
              </w:rPr>
            </w:pPr>
          </w:p>
        </w:tc>
        <w:tc>
          <w:tcPr>
            <w:tcW w:w="2439" w:type="pct"/>
            <w:vMerge w:val="continue"/>
            <w:tcBorders>
              <w:top w:val="single" w:color="000000" w:sz="4" w:space="0"/>
              <w:left w:val="single" w:color="000000" w:sz="4" w:space="0"/>
              <w:bottom w:val="single" w:color="000000" w:sz="4" w:space="0"/>
              <w:right w:val="single" w:color="000000" w:sz="4" w:space="0"/>
            </w:tcBorders>
            <w:vAlign w:val="center"/>
          </w:tcPr>
          <w:p w14:paraId="0ED70A61">
            <w:pPr>
              <w:widowControl/>
              <w:spacing w:after="0" w:line="240" w:lineRule="auto"/>
              <w:jc w:val="left"/>
              <w:rPr>
                <w:rFonts w:hint="eastAsia" w:ascii="宋体" w:hAnsi="宋体" w:cs="宋体"/>
                <w:b/>
                <w:bCs/>
                <w:kern w:val="0"/>
                <w:sz w:val="20"/>
                <w:szCs w:val="20"/>
              </w:rPr>
            </w:pPr>
          </w:p>
        </w:tc>
        <w:tc>
          <w:tcPr>
            <w:tcW w:w="328" w:type="pct"/>
            <w:vMerge w:val="continue"/>
            <w:tcBorders>
              <w:top w:val="single" w:color="000000" w:sz="4" w:space="0"/>
              <w:left w:val="single" w:color="000000" w:sz="4" w:space="0"/>
              <w:bottom w:val="single" w:color="000000" w:sz="4" w:space="0"/>
              <w:right w:val="single" w:color="000000" w:sz="4" w:space="0"/>
            </w:tcBorders>
            <w:vAlign w:val="center"/>
          </w:tcPr>
          <w:p w14:paraId="6AB5E5AE">
            <w:pPr>
              <w:widowControl/>
              <w:spacing w:after="0" w:line="240" w:lineRule="auto"/>
              <w:jc w:val="left"/>
              <w:rPr>
                <w:rFonts w:hint="eastAsia" w:ascii="宋体" w:hAnsi="宋体" w:cs="宋体"/>
                <w:b/>
                <w:bCs/>
                <w:kern w:val="0"/>
                <w:sz w:val="20"/>
                <w:szCs w:val="20"/>
              </w:rPr>
            </w:pPr>
          </w:p>
        </w:tc>
        <w:tc>
          <w:tcPr>
            <w:tcW w:w="694" w:type="pct"/>
            <w:vMerge w:val="continue"/>
            <w:tcBorders>
              <w:top w:val="single" w:color="000000" w:sz="4" w:space="0"/>
              <w:left w:val="single" w:color="000000" w:sz="4" w:space="0"/>
              <w:bottom w:val="single" w:color="000000" w:sz="4" w:space="0"/>
              <w:right w:val="single" w:color="000000" w:sz="4" w:space="0"/>
            </w:tcBorders>
            <w:vAlign w:val="center"/>
          </w:tcPr>
          <w:p w14:paraId="5F393820">
            <w:pPr>
              <w:widowControl/>
              <w:spacing w:after="0" w:line="240" w:lineRule="auto"/>
              <w:jc w:val="left"/>
              <w:rPr>
                <w:rFonts w:hint="eastAsia" w:ascii="宋体" w:hAnsi="宋体" w:cs="宋体"/>
                <w:b/>
                <w:bCs/>
                <w:kern w:val="0"/>
                <w:sz w:val="20"/>
                <w:szCs w:val="20"/>
              </w:rPr>
            </w:pPr>
          </w:p>
        </w:tc>
        <w:tc>
          <w:tcPr>
            <w:tcW w:w="480" w:type="pct"/>
            <w:vMerge w:val="continue"/>
            <w:tcBorders>
              <w:top w:val="single" w:color="000000" w:sz="4" w:space="0"/>
              <w:left w:val="single" w:color="000000" w:sz="4" w:space="0"/>
              <w:bottom w:val="single" w:color="000000" w:sz="4" w:space="0"/>
              <w:right w:val="single" w:color="000000" w:sz="4" w:space="0"/>
            </w:tcBorders>
            <w:vAlign w:val="center"/>
          </w:tcPr>
          <w:p w14:paraId="312AFD64">
            <w:pPr>
              <w:widowControl/>
              <w:spacing w:after="0" w:line="240" w:lineRule="auto"/>
              <w:jc w:val="left"/>
              <w:rPr>
                <w:rFonts w:hint="eastAsia" w:ascii="宋体" w:hAnsi="宋体" w:cs="宋体"/>
                <w:b/>
                <w:bCs/>
                <w:kern w:val="0"/>
                <w:sz w:val="20"/>
                <w:szCs w:val="20"/>
              </w:rPr>
            </w:pPr>
          </w:p>
        </w:tc>
      </w:tr>
      <w:tr w14:paraId="0EF2AE8B">
        <w:tblPrEx>
          <w:tblCellMar>
            <w:top w:w="0" w:type="dxa"/>
            <w:left w:w="108" w:type="dxa"/>
            <w:bottom w:w="0" w:type="dxa"/>
            <w:right w:w="108" w:type="dxa"/>
          </w:tblCellMar>
        </w:tblPrEx>
        <w:trPr>
          <w:trHeight w:val="259" w:hRule="atLeast"/>
        </w:trPr>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E39006B">
            <w:pPr>
              <w:widowControl/>
              <w:spacing w:after="0" w:line="240" w:lineRule="auto"/>
              <w:jc w:val="left"/>
              <w:rPr>
                <w:rFonts w:hint="eastAsia" w:ascii="宋体" w:hAnsi="宋体" w:cs="宋体"/>
                <w:b/>
                <w:bCs/>
                <w:kern w:val="0"/>
                <w:sz w:val="20"/>
                <w:szCs w:val="20"/>
              </w:rPr>
            </w:pPr>
          </w:p>
        </w:tc>
        <w:tc>
          <w:tcPr>
            <w:tcW w:w="685" w:type="pct"/>
            <w:vMerge w:val="continue"/>
            <w:tcBorders>
              <w:top w:val="single" w:color="000000" w:sz="4" w:space="0"/>
              <w:left w:val="single" w:color="000000" w:sz="4" w:space="0"/>
              <w:bottom w:val="single" w:color="000000" w:sz="4" w:space="0"/>
              <w:right w:val="single" w:color="000000" w:sz="4" w:space="0"/>
            </w:tcBorders>
            <w:vAlign w:val="center"/>
          </w:tcPr>
          <w:p w14:paraId="5BD1D6B8">
            <w:pPr>
              <w:widowControl/>
              <w:spacing w:after="0" w:line="240" w:lineRule="auto"/>
              <w:jc w:val="left"/>
              <w:rPr>
                <w:rFonts w:hint="eastAsia" w:ascii="宋体" w:hAnsi="宋体" w:cs="宋体"/>
                <w:b/>
                <w:bCs/>
                <w:kern w:val="0"/>
                <w:sz w:val="20"/>
                <w:szCs w:val="20"/>
              </w:rPr>
            </w:pPr>
          </w:p>
        </w:tc>
        <w:tc>
          <w:tcPr>
            <w:tcW w:w="2439" w:type="pct"/>
            <w:vMerge w:val="continue"/>
            <w:tcBorders>
              <w:top w:val="single" w:color="000000" w:sz="4" w:space="0"/>
              <w:left w:val="single" w:color="000000" w:sz="4" w:space="0"/>
              <w:bottom w:val="single" w:color="000000" w:sz="4" w:space="0"/>
              <w:right w:val="single" w:color="000000" w:sz="4" w:space="0"/>
            </w:tcBorders>
            <w:vAlign w:val="center"/>
          </w:tcPr>
          <w:p w14:paraId="1C27467C">
            <w:pPr>
              <w:widowControl/>
              <w:spacing w:after="0" w:line="240" w:lineRule="auto"/>
              <w:jc w:val="left"/>
              <w:rPr>
                <w:rFonts w:hint="eastAsia" w:ascii="宋体" w:hAnsi="宋体" w:cs="宋体"/>
                <w:b/>
                <w:bCs/>
                <w:kern w:val="0"/>
                <w:sz w:val="20"/>
                <w:szCs w:val="20"/>
              </w:rPr>
            </w:pPr>
          </w:p>
        </w:tc>
        <w:tc>
          <w:tcPr>
            <w:tcW w:w="328" w:type="pct"/>
            <w:vMerge w:val="continue"/>
            <w:tcBorders>
              <w:top w:val="single" w:color="000000" w:sz="4" w:space="0"/>
              <w:left w:val="single" w:color="000000" w:sz="4" w:space="0"/>
              <w:bottom w:val="single" w:color="000000" w:sz="4" w:space="0"/>
              <w:right w:val="single" w:color="000000" w:sz="4" w:space="0"/>
            </w:tcBorders>
            <w:vAlign w:val="center"/>
          </w:tcPr>
          <w:p w14:paraId="29C7BD45">
            <w:pPr>
              <w:widowControl/>
              <w:spacing w:after="0" w:line="240" w:lineRule="auto"/>
              <w:jc w:val="left"/>
              <w:rPr>
                <w:rFonts w:hint="eastAsia" w:ascii="宋体" w:hAnsi="宋体" w:cs="宋体"/>
                <w:b/>
                <w:bCs/>
                <w:kern w:val="0"/>
                <w:sz w:val="20"/>
                <w:szCs w:val="20"/>
              </w:rPr>
            </w:pPr>
          </w:p>
        </w:tc>
        <w:tc>
          <w:tcPr>
            <w:tcW w:w="694" w:type="pct"/>
            <w:vMerge w:val="continue"/>
            <w:tcBorders>
              <w:top w:val="single" w:color="000000" w:sz="4" w:space="0"/>
              <w:left w:val="single" w:color="000000" w:sz="4" w:space="0"/>
              <w:bottom w:val="single" w:color="000000" w:sz="4" w:space="0"/>
              <w:right w:val="single" w:color="000000" w:sz="4" w:space="0"/>
            </w:tcBorders>
            <w:vAlign w:val="center"/>
          </w:tcPr>
          <w:p w14:paraId="6EB4B8B6">
            <w:pPr>
              <w:widowControl/>
              <w:spacing w:after="0" w:line="240" w:lineRule="auto"/>
              <w:jc w:val="left"/>
              <w:rPr>
                <w:rFonts w:hint="eastAsia" w:ascii="宋体" w:hAnsi="宋体" w:cs="宋体"/>
                <w:b/>
                <w:bCs/>
                <w:kern w:val="0"/>
                <w:sz w:val="20"/>
                <w:szCs w:val="20"/>
              </w:rPr>
            </w:pPr>
          </w:p>
        </w:tc>
        <w:tc>
          <w:tcPr>
            <w:tcW w:w="480" w:type="pct"/>
            <w:vMerge w:val="continue"/>
            <w:tcBorders>
              <w:top w:val="single" w:color="000000" w:sz="4" w:space="0"/>
              <w:left w:val="single" w:color="000000" w:sz="4" w:space="0"/>
              <w:bottom w:val="single" w:color="000000" w:sz="4" w:space="0"/>
              <w:right w:val="single" w:color="000000" w:sz="4" w:space="0"/>
            </w:tcBorders>
            <w:vAlign w:val="center"/>
          </w:tcPr>
          <w:p w14:paraId="261F043F">
            <w:pPr>
              <w:widowControl/>
              <w:spacing w:after="0" w:line="240" w:lineRule="auto"/>
              <w:jc w:val="left"/>
              <w:rPr>
                <w:rFonts w:hint="eastAsia" w:ascii="宋体" w:hAnsi="宋体" w:cs="宋体"/>
                <w:b/>
                <w:bCs/>
                <w:kern w:val="0"/>
                <w:sz w:val="20"/>
                <w:szCs w:val="20"/>
              </w:rPr>
            </w:pPr>
          </w:p>
        </w:tc>
      </w:tr>
      <w:tr w14:paraId="4E7B5146">
        <w:tblPrEx>
          <w:tblCellMar>
            <w:top w:w="0" w:type="dxa"/>
            <w:left w:w="108" w:type="dxa"/>
            <w:bottom w:w="0" w:type="dxa"/>
            <w:right w:w="108" w:type="dxa"/>
          </w:tblCellMar>
        </w:tblPrEx>
        <w:trPr>
          <w:trHeight w:val="2082" w:hRule="atLeast"/>
        </w:trPr>
        <w:tc>
          <w:tcPr>
            <w:tcW w:w="374" w:type="pct"/>
            <w:tcBorders>
              <w:top w:val="nil"/>
              <w:left w:val="single" w:color="000000" w:sz="4" w:space="0"/>
              <w:bottom w:val="single" w:color="000000" w:sz="4" w:space="0"/>
              <w:right w:val="single" w:color="000000" w:sz="4" w:space="0"/>
            </w:tcBorders>
            <w:vAlign w:val="center"/>
          </w:tcPr>
          <w:p w14:paraId="0F1ED32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685" w:type="pct"/>
            <w:tcBorders>
              <w:top w:val="nil"/>
              <w:left w:val="nil"/>
              <w:bottom w:val="single" w:color="000000" w:sz="4" w:space="0"/>
              <w:right w:val="single" w:color="000000" w:sz="4" w:space="0"/>
            </w:tcBorders>
            <w:vAlign w:val="center"/>
          </w:tcPr>
          <w:p w14:paraId="2C984688">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1.5匹挂式空调(冷暖，单相，一级能效)</w:t>
            </w:r>
          </w:p>
        </w:tc>
        <w:tc>
          <w:tcPr>
            <w:tcW w:w="2439" w:type="pct"/>
            <w:tcBorders>
              <w:top w:val="nil"/>
              <w:left w:val="nil"/>
              <w:bottom w:val="single" w:color="000000" w:sz="4" w:space="0"/>
              <w:right w:val="single" w:color="000000" w:sz="4" w:space="0"/>
            </w:tcBorders>
            <w:vAlign w:val="center"/>
          </w:tcPr>
          <w:p w14:paraId="68D6996F">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 xml:space="preserve">1.分体式室内空调器安装 挂墙式 </w:t>
            </w:r>
            <w:r>
              <w:rPr>
                <w:rFonts w:hint="eastAsia" w:ascii="宋体" w:hAnsi="宋体" w:cs="宋体"/>
                <w:kern w:val="0"/>
                <w:sz w:val="20"/>
                <w:szCs w:val="20"/>
              </w:rPr>
              <w:br w:type="textWrapping"/>
            </w:r>
            <w:r>
              <w:rPr>
                <w:rFonts w:hint="eastAsia" w:ascii="宋体" w:hAnsi="宋体" w:cs="宋体"/>
                <w:kern w:val="0"/>
                <w:sz w:val="20"/>
                <w:szCs w:val="20"/>
              </w:rPr>
              <w:t>2.分体式室外空调器，额定制冷量：3510W</w:t>
            </w:r>
            <w:r>
              <w:rPr>
                <w:rFonts w:hint="eastAsia" w:ascii="宋体" w:hAnsi="宋体" w:cs="宋体"/>
                <w:kern w:val="0"/>
                <w:sz w:val="20"/>
                <w:szCs w:val="20"/>
              </w:rPr>
              <w:br w:type="textWrapping"/>
            </w:r>
            <w:r>
              <w:rPr>
                <w:rFonts w:hint="eastAsia" w:ascii="宋体" w:hAnsi="宋体" w:cs="宋体"/>
                <w:kern w:val="0"/>
                <w:sz w:val="20"/>
                <w:szCs w:val="20"/>
              </w:rPr>
              <w:t>制冷功率：810W，制热量5000W,制热功率1245W，APF能效比：5.28，按国家标准：GB21455-2019，一级能效。</w:t>
            </w:r>
            <w:r>
              <w:rPr>
                <w:rFonts w:hint="eastAsia" w:ascii="宋体" w:hAnsi="宋体" w:cs="宋体"/>
                <w:kern w:val="0"/>
                <w:sz w:val="20"/>
                <w:szCs w:val="20"/>
              </w:rPr>
              <w:br w:type="textWrapping"/>
            </w:r>
            <w:r>
              <w:rPr>
                <w:rFonts w:hint="eastAsia" w:ascii="宋体" w:hAnsi="宋体" w:cs="宋体"/>
                <w:kern w:val="0"/>
                <w:sz w:val="20"/>
                <w:szCs w:val="20"/>
              </w:rPr>
              <w:t>3.噪音室内，超静17，高风37，超强41，循环风量700m³/h。</w:t>
            </w:r>
          </w:p>
        </w:tc>
        <w:tc>
          <w:tcPr>
            <w:tcW w:w="328" w:type="pct"/>
            <w:tcBorders>
              <w:top w:val="nil"/>
              <w:left w:val="nil"/>
              <w:bottom w:val="single" w:color="000000" w:sz="4" w:space="0"/>
              <w:right w:val="single" w:color="000000" w:sz="4" w:space="0"/>
            </w:tcBorders>
            <w:vAlign w:val="center"/>
          </w:tcPr>
          <w:p w14:paraId="0BC922D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694" w:type="pct"/>
            <w:tcBorders>
              <w:top w:val="nil"/>
              <w:left w:val="nil"/>
              <w:bottom w:val="single" w:color="000000" w:sz="4" w:space="0"/>
              <w:right w:val="single" w:color="000000" w:sz="4" w:space="0"/>
            </w:tcBorders>
            <w:vAlign w:val="center"/>
          </w:tcPr>
          <w:p w14:paraId="3E4AAB69">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200</w:t>
            </w:r>
          </w:p>
        </w:tc>
        <w:tc>
          <w:tcPr>
            <w:tcW w:w="480" w:type="pct"/>
            <w:tcBorders>
              <w:top w:val="nil"/>
              <w:left w:val="nil"/>
              <w:bottom w:val="single" w:color="000000" w:sz="4" w:space="0"/>
              <w:right w:val="single" w:color="000000" w:sz="4" w:space="0"/>
            </w:tcBorders>
            <w:vAlign w:val="center"/>
          </w:tcPr>
          <w:p w14:paraId="519EA70C">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6</w:t>
            </w:r>
          </w:p>
        </w:tc>
      </w:tr>
      <w:tr w14:paraId="25950A80">
        <w:tblPrEx>
          <w:tblCellMar>
            <w:top w:w="0" w:type="dxa"/>
            <w:left w:w="108" w:type="dxa"/>
            <w:bottom w:w="0" w:type="dxa"/>
            <w:right w:w="108" w:type="dxa"/>
          </w:tblCellMar>
        </w:tblPrEx>
        <w:trPr>
          <w:trHeight w:val="8160" w:hRule="atLeast"/>
        </w:trPr>
        <w:tc>
          <w:tcPr>
            <w:tcW w:w="374" w:type="pct"/>
            <w:tcBorders>
              <w:top w:val="nil"/>
              <w:left w:val="single" w:color="000000" w:sz="4" w:space="0"/>
              <w:bottom w:val="single" w:color="000000" w:sz="4" w:space="0"/>
              <w:right w:val="single" w:color="000000" w:sz="4" w:space="0"/>
            </w:tcBorders>
            <w:vAlign w:val="center"/>
          </w:tcPr>
          <w:p w14:paraId="6BE9C311">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w:t>
            </w:r>
          </w:p>
        </w:tc>
        <w:tc>
          <w:tcPr>
            <w:tcW w:w="685" w:type="pct"/>
            <w:tcBorders>
              <w:top w:val="nil"/>
              <w:left w:val="nil"/>
              <w:bottom w:val="single" w:color="000000" w:sz="4" w:space="0"/>
              <w:right w:val="single" w:color="000000" w:sz="4" w:space="0"/>
            </w:tcBorders>
            <w:vAlign w:val="center"/>
          </w:tcPr>
          <w:p w14:paraId="01ED5ED0">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1.5匹以下智能控制器</w:t>
            </w:r>
          </w:p>
        </w:tc>
        <w:tc>
          <w:tcPr>
            <w:tcW w:w="2439" w:type="pct"/>
            <w:tcBorders>
              <w:top w:val="nil"/>
              <w:left w:val="nil"/>
              <w:bottom w:val="single" w:color="000000" w:sz="4" w:space="0"/>
              <w:right w:val="single" w:color="000000" w:sz="4" w:space="0"/>
            </w:tcBorders>
            <w:vAlign w:val="center"/>
          </w:tcPr>
          <w:p w14:paraId="0A5AF9F4">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基础功能：</w:t>
            </w:r>
            <w:r>
              <w:rPr>
                <w:rFonts w:hint="eastAsia" w:ascii="宋体" w:hAnsi="宋体" w:cs="宋体"/>
                <w:kern w:val="0"/>
                <w:sz w:val="20"/>
                <w:szCs w:val="20"/>
              </w:rPr>
              <w:br w:type="textWrapping"/>
            </w:r>
            <w:r>
              <w:rPr>
                <w:rFonts w:hint="eastAsia" w:ascii="宋体" w:hAnsi="宋体" w:cs="宋体"/>
                <w:kern w:val="0"/>
                <w:sz w:val="20"/>
                <w:szCs w:val="20"/>
              </w:rPr>
              <w:t>1.红外控制：可红外控制空调运行，通过云端的码库、设备自学习红外指令，使用管理遥控器或者后台运用软件/app控制空调的各种运行模式。</w:t>
            </w:r>
            <w:r>
              <w:rPr>
                <w:rFonts w:hint="eastAsia" w:ascii="宋体" w:hAnsi="宋体" w:cs="宋体"/>
                <w:kern w:val="0"/>
                <w:sz w:val="20"/>
                <w:szCs w:val="20"/>
              </w:rPr>
              <w:br w:type="textWrapping"/>
            </w:r>
            <w:r>
              <w:rPr>
                <w:rFonts w:hint="eastAsia" w:ascii="宋体" w:hAnsi="宋体" w:cs="宋体"/>
                <w:kern w:val="0"/>
                <w:sz w:val="20"/>
                <w:szCs w:val="20"/>
              </w:rPr>
              <w:t>2.通断电强制控制：可在达到设定条件时，控制空调电源通断电对空调运行状态进行控制。</w:t>
            </w:r>
            <w:r>
              <w:rPr>
                <w:rFonts w:hint="eastAsia" w:ascii="宋体" w:hAnsi="宋体" w:cs="宋体"/>
                <w:kern w:val="0"/>
                <w:sz w:val="20"/>
                <w:szCs w:val="20"/>
              </w:rPr>
              <w:br w:type="textWrapping"/>
            </w:r>
            <w:r>
              <w:rPr>
                <w:rFonts w:hint="eastAsia" w:ascii="宋体" w:hAnsi="宋体" w:cs="宋体"/>
                <w:kern w:val="0"/>
                <w:sz w:val="20"/>
                <w:szCs w:val="20"/>
              </w:rPr>
              <w:t>3.温度接口：可对环境温度进行监测。</w:t>
            </w:r>
            <w:r>
              <w:rPr>
                <w:rFonts w:hint="eastAsia" w:ascii="宋体" w:hAnsi="宋体" w:cs="宋体"/>
                <w:kern w:val="0"/>
                <w:sz w:val="20"/>
                <w:szCs w:val="20"/>
              </w:rPr>
              <w:br w:type="textWrapping"/>
            </w:r>
            <w:r>
              <w:rPr>
                <w:rFonts w:hint="eastAsia" w:ascii="宋体" w:hAnsi="宋体" w:cs="宋体"/>
                <w:kern w:val="0"/>
                <w:sz w:val="20"/>
                <w:szCs w:val="20"/>
              </w:rPr>
              <w:t>4.电压、电流、功率信息采集：可接入的空调的电压、电流、功率信息。</w:t>
            </w:r>
            <w:r>
              <w:rPr>
                <w:rFonts w:hint="eastAsia" w:ascii="宋体" w:hAnsi="宋体" w:cs="宋体"/>
                <w:kern w:val="0"/>
                <w:sz w:val="20"/>
                <w:szCs w:val="20"/>
              </w:rPr>
              <w:br w:type="textWrapping"/>
            </w:r>
            <w:r>
              <w:rPr>
                <w:rFonts w:hint="eastAsia" w:ascii="宋体" w:hAnsi="宋体" w:cs="宋体"/>
                <w:kern w:val="0"/>
                <w:sz w:val="20"/>
                <w:szCs w:val="20"/>
              </w:rPr>
              <w:t>5.电量、空调运行时长统计：可自动统计空调消耗的累计电量信息，运行时长信息。</w:t>
            </w:r>
            <w:r>
              <w:rPr>
                <w:rFonts w:hint="eastAsia" w:ascii="宋体" w:hAnsi="宋体" w:cs="宋体"/>
                <w:kern w:val="0"/>
                <w:sz w:val="20"/>
                <w:szCs w:val="20"/>
              </w:rPr>
              <w:br w:type="textWrapping"/>
            </w:r>
            <w:r>
              <w:rPr>
                <w:rFonts w:hint="eastAsia" w:ascii="宋体" w:hAnsi="宋体" w:cs="宋体"/>
                <w:kern w:val="0"/>
                <w:sz w:val="20"/>
                <w:szCs w:val="20"/>
              </w:rPr>
              <w:t>6.实时时钟功能：可通过实时时钟进行时间自动控制、时长统计功能。</w:t>
            </w:r>
            <w:r>
              <w:rPr>
                <w:rFonts w:hint="eastAsia" w:ascii="宋体" w:hAnsi="宋体" w:cs="宋体"/>
                <w:kern w:val="0"/>
                <w:sz w:val="20"/>
                <w:szCs w:val="20"/>
              </w:rPr>
              <w:br w:type="textWrapping"/>
            </w:r>
            <w:r>
              <w:rPr>
                <w:rFonts w:hint="eastAsia" w:ascii="宋体" w:hAnsi="宋体" w:cs="宋体"/>
                <w:kern w:val="0"/>
                <w:sz w:val="20"/>
                <w:szCs w:val="20"/>
              </w:rPr>
              <w:t>7.实时采集环境信息功能：支持采集环境温度、房间有无人状态.</w:t>
            </w:r>
            <w:r>
              <w:rPr>
                <w:rFonts w:hint="eastAsia" w:ascii="宋体" w:hAnsi="宋体" w:cs="宋体"/>
                <w:kern w:val="0"/>
                <w:sz w:val="20"/>
                <w:szCs w:val="20"/>
              </w:rPr>
              <w:br w:type="textWrapping"/>
            </w:r>
            <w:r>
              <w:rPr>
                <w:rFonts w:hint="eastAsia" w:ascii="宋体" w:hAnsi="宋体" w:cs="宋体"/>
                <w:kern w:val="0"/>
                <w:sz w:val="20"/>
                <w:szCs w:val="20"/>
              </w:rPr>
              <w:t>8.红外学习：可学习红外控制空调的码值信息，并通过学习的码值对空调控制。</w:t>
            </w:r>
            <w:r>
              <w:rPr>
                <w:rFonts w:hint="eastAsia" w:ascii="宋体" w:hAnsi="宋体" w:cs="宋体"/>
                <w:kern w:val="0"/>
                <w:sz w:val="20"/>
                <w:szCs w:val="20"/>
              </w:rPr>
              <w:br w:type="textWrapping"/>
            </w:r>
            <w:r>
              <w:rPr>
                <w:rFonts w:hint="eastAsia" w:ascii="宋体" w:hAnsi="宋体" w:cs="宋体"/>
                <w:kern w:val="0"/>
                <w:sz w:val="20"/>
                <w:szCs w:val="20"/>
              </w:rPr>
              <w:t>9.红外、通断电控制空调运行：可通过红外、通断电控制空调运行状态。</w:t>
            </w:r>
            <w:r>
              <w:rPr>
                <w:rFonts w:hint="eastAsia" w:ascii="宋体" w:hAnsi="宋体" w:cs="宋体"/>
                <w:kern w:val="0"/>
                <w:sz w:val="20"/>
                <w:szCs w:val="20"/>
              </w:rPr>
              <w:br w:type="textWrapping"/>
            </w:r>
            <w:r>
              <w:rPr>
                <w:rFonts w:hint="eastAsia" w:ascii="宋体" w:hAnsi="宋体" w:cs="宋体"/>
                <w:kern w:val="0"/>
                <w:sz w:val="20"/>
                <w:szCs w:val="20"/>
              </w:rPr>
              <w:t>10.数码管、指示灯显示信息：支持设备上数码管实时显示设备采集的温度、可用电量信息，指示灯提示设备运行状态。</w:t>
            </w:r>
            <w:r>
              <w:rPr>
                <w:rFonts w:hint="eastAsia" w:ascii="宋体" w:hAnsi="宋体" w:cs="宋体"/>
                <w:kern w:val="0"/>
                <w:sz w:val="20"/>
                <w:szCs w:val="20"/>
              </w:rPr>
              <w:br w:type="textWrapping"/>
            </w:r>
            <w:r>
              <w:rPr>
                <w:rFonts w:hint="eastAsia" w:ascii="宋体" w:hAnsi="宋体" w:cs="宋体"/>
                <w:kern w:val="0"/>
                <w:sz w:val="20"/>
                <w:szCs w:val="20"/>
              </w:rPr>
              <w:t>11.蜂鸣器功能：设备上具有蜂鸣器提示功能，用于操作响应及报警辅助。</w:t>
            </w:r>
            <w:r>
              <w:rPr>
                <w:rFonts w:hint="eastAsia" w:ascii="宋体" w:hAnsi="宋体" w:cs="宋体"/>
                <w:kern w:val="0"/>
                <w:sz w:val="20"/>
                <w:szCs w:val="20"/>
              </w:rPr>
              <w:br w:type="textWrapping"/>
            </w:r>
            <w:r>
              <w:rPr>
                <w:rFonts w:hint="eastAsia" w:ascii="宋体" w:hAnsi="宋体" w:cs="宋体"/>
                <w:kern w:val="0"/>
                <w:sz w:val="20"/>
                <w:szCs w:val="20"/>
              </w:rPr>
              <w:t>12.多种通信格式兼容：可通过RS485、LORA、4G等多种接口连接局域网并可通过MQTT连接云平台。</w:t>
            </w:r>
            <w:r>
              <w:rPr>
                <w:rFonts w:hint="eastAsia" w:ascii="宋体" w:hAnsi="宋体" w:cs="宋体"/>
                <w:kern w:val="0"/>
                <w:sz w:val="20"/>
                <w:szCs w:val="20"/>
              </w:rPr>
              <w:br w:type="textWrapping"/>
            </w:r>
            <w:r>
              <w:rPr>
                <w:rFonts w:hint="eastAsia" w:ascii="宋体" w:hAnsi="宋体" w:cs="宋体"/>
                <w:kern w:val="0"/>
                <w:sz w:val="20"/>
                <w:szCs w:val="20"/>
              </w:rPr>
              <w:t>▲13.确保无网环境下，无需学习红外码值，设备仍能应用自带的红外码库自动或手动匹配空调，实现精准控制，满足全天候使用需求。</w:t>
            </w:r>
            <w:r>
              <w:rPr>
                <w:rFonts w:hint="eastAsia" w:ascii="宋体" w:hAnsi="宋体" w:cs="宋体"/>
                <w:kern w:val="0"/>
                <w:sz w:val="20"/>
                <w:szCs w:val="20"/>
              </w:rPr>
              <w:br w:type="textWrapping"/>
            </w:r>
            <w:r>
              <w:rPr>
                <w:rFonts w:hint="eastAsia" w:ascii="宋体" w:hAnsi="宋体" w:cs="宋体"/>
                <w:kern w:val="0"/>
                <w:sz w:val="20"/>
                <w:szCs w:val="20"/>
              </w:rPr>
              <w:t>14.用电参数可查询：支持电压、电流、功率、电量、运行时长、可用电量、剩余电量、每月固定额度等信息存储在设备上，并可通过接口读取、设置。</w:t>
            </w:r>
            <w:r>
              <w:rPr>
                <w:rFonts w:hint="eastAsia" w:ascii="宋体" w:hAnsi="宋体" w:cs="宋体"/>
                <w:kern w:val="0"/>
                <w:sz w:val="20"/>
                <w:szCs w:val="20"/>
              </w:rPr>
              <w:br w:type="textWrapping"/>
            </w:r>
            <w:r>
              <w:rPr>
                <w:rFonts w:hint="eastAsia" w:ascii="宋体" w:hAnsi="宋体" w:cs="宋体"/>
                <w:kern w:val="0"/>
                <w:sz w:val="20"/>
                <w:szCs w:val="20"/>
              </w:rPr>
              <w:t>15.外延式温度传感器：为保证采集的环境温度的精准性采用外延式温度传感器。</w:t>
            </w:r>
            <w:r>
              <w:rPr>
                <w:rFonts w:hint="eastAsia" w:ascii="宋体" w:hAnsi="宋体" w:cs="宋体"/>
                <w:kern w:val="0"/>
                <w:sz w:val="20"/>
                <w:szCs w:val="20"/>
              </w:rPr>
              <w:br w:type="textWrapping"/>
            </w:r>
            <w:r>
              <w:rPr>
                <w:rFonts w:hint="eastAsia" w:ascii="宋体" w:hAnsi="宋体" w:cs="宋体"/>
                <w:kern w:val="0"/>
                <w:sz w:val="20"/>
                <w:szCs w:val="20"/>
              </w:rPr>
              <w:t>16.红外发射头：可根据现场环境情况采用内置大功率红外发射头或外延式红外发射头。</w:t>
            </w:r>
            <w:r>
              <w:rPr>
                <w:rFonts w:hint="eastAsia" w:ascii="宋体" w:hAnsi="宋体" w:cs="宋体"/>
                <w:kern w:val="0"/>
                <w:sz w:val="20"/>
                <w:szCs w:val="20"/>
              </w:rPr>
              <w:br w:type="textWrapping"/>
            </w:r>
            <w:r>
              <w:rPr>
                <w:rFonts w:hint="eastAsia" w:ascii="宋体" w:hAnsi="宋体" w:cs="宋体"/>
                <w:kern w:val="0"/>
                <w:sz w:val="20"/>
                <w:szCs w:val="20"/>
              </w:rPr>
              <w:t>17.手机端控制：可远程手动开关空调、远程调节空调温度、等等。</w:t>
            </w:r>
            <w:r>
              <w:rPr>
                <w:rFonts w:hint="eastAsia" w:ascii="宋体" w:hAnsi="宋体" w:cs="宋体"/>
                <w:kern w:val="0"/>
                <w:sz w:val="20"/>
                <w:szCs w:val="20"/>
              </w:rPr>
              <w:br w:type="textWrapping"/>
            </w:r>
            <w:r>
              <w:rPr>
                <w:rFonts w:hint="eastAsia" w:ascii="宋体" w:hAnsi="宋体" w:cs="宋体"/>
                <w:kern w:val="0"/>
                <w:sz w:val="20"/>
                <w:szCs w:val="20"/>
              </w:rPr>
              <w:t>智能节能功能：</w:t>
            </w:r>
            <w:r>
              <w:rPr>
                <w:rFonts w:hint="eastAsia" w:ascii="宋体" w:hAnsi="宋体" w:cs="宋体"/>
                <w:kern w:val="0"/>
                <w:sz w:val="20"/>
                <w:szCs w:val="20"/>
              </w:rPr>
              <w:br w:type="textWrapping"/>
            </w:r>
            <w:r>
              <w:rPr>
                <w:rFonts w:hint="eastAsia" w:ascii="宋体" w:hAnsi="宋体" w:cs="宋体"/>
                <w:kern w:val="0"/>
                <w:sz w:val="20"/>
                <w:szCs w:val="20"/>
              </w:rPr>
              <w:t>1.智能光感控制：可检测光照度情况，并在光照较低时自动关闭数码管指示灯。</w:t>
            </w:r>
            <w:r>
              <w:rPr>
                <w:rFonts w:hint="eastAsia" w:ascii="宋体" w:hAnsi="宋体" w:cs="宋体"/>
                <w:kern w:val="0"/>
                <w:sz w:val="20"/>
                <w:szCs w:val="20"/>
              </w:rPr>
              <w:br w:type="textWrapping"/>
            </w:r>
            <w:r>
              <w:rPr>
                <w:rFonts w:hint="eastAsia" w:ascii="宋体" w:hAnsi="宋体" w:cs="宋体"/>
                <w:kern w:val="0"/>
                <w:sz w:val="20"/>
                <w:szCs w:val="20"/>
              </w:rPr>
              <w:t>2.智能时间控制：可设置一周7天、一天10个时间段（总共70个时间段）的差异化智能控制，可设置限制空调开启使用、空调使用条件、以及限制温度点等信息。</w:t>
            </w:r>
            <w:r>
              <w:rPr>
                <w:rFonts w:hint="eastAsia" w:ascii="宋体" w:hAnsi="宋体" w:cs="宋体"/>
                <w:kern w:val="0"/>
                <w:sz w:val="20"/>
                <w:szCs w:val="20"/>
              </w:rPr>
              <w:br w:type="textWrapping"/>
            </w:r>
            <w:r>
              <w:rPr>
                <w:rFonts w:hint="eastAsia" w:ascii="宋体" w:hAnsi="宋体" w:cs="宋体"/>
                <w:kern w:val="0"/>
                <w:sz w:val="20"/>
                <w:szCs w:val="20"/>
              </w:rPr>
              <w:t>3.智能温度控制：可预设温度上限值，下限值。</w:t>
            </w:r>
            <w:r>
              <w:rPr>
                <w:rFonts w:hint="eastAsia" w:ascii="宋体" w:hAnsi="宋体" w:cs="宋体"/>
                <w:kern w:val="0"/>
                <w:sz w:val="20"/>
                <w:szCs w:val="20"/>
              </w:rPr>
              <w:br w:type="textWrapping"/>
            </w:r>
            <w:r>
              <w:rPr>
                <w:rFonts w:hint="eastAsia" w:ascii="宋体" w:hAnsi="宋体" w:cs="宋体"/>
                <w:kern w:val="0"/>
                <w:sz w:val="20"/>
                <w:szCs w:val="20"/>
              </w:rPr>
              <w:t>4.智能冬夏季模式切换：可手动或者自动切换夏冬季模式；</w:t>
            </w:r>
            <w:r>
              <w:rPr>
                <w:rFonts w:hint="eastAsia" w:ascii="宋体" w:hAnsi="宋体" w:cs="宋体"/>
                <w:kern w:val="0"/>
                <w:sz w:val="20"/>
                <w:szCs w:val="20"/>
              </w:rPr>
              <w:br w:type="textWrapping"/>
            </w:r>
            <w:r>
              <w:rPr>
                <w:rFonts w:hint="eastAsia" w:ascii="宋体" w:hAnsi="宋体" w:cs="宋体"/>
                <w:kern w:val="0"/>
                <w:sz w:val="20"/>
                <w:szCs w:val="20"/>
              </w:rPr>
              <w:t>5.智能二级限控联合控制：支持控制器自动发送红外指令控制空调（一级限控功能），控制器启动强制控制功能（二级限控）强制切断空调电源。</w:t>
            </w:r>
            <w:r>
              <w:rPr>
                <w:rFonts w:hint="eastAsia" w:ascii="宋体" w:hAnsi="宋体" w:cs="宋体"/>
                <w:kern w:val="0"/>
                <w:sz w:val="20"/>
                <w:szCs w:val="20"/>
              </w:rPr>
              <w:br w:type="textWrapping"/>
            </w:r>
            <w:r>
              <w:rPr>
                <w:rFonts w:hint="eastAsia" w:ascii="宋体" w:hAnsi="宋体" w:cs="宋体"/>
                <w:kern w:val="0"/>
                <w:sz w:val="20"/>
                <w:szCs w:val="20"/>
              </w:rPr>
              <w:t>6.智能节能控制：可对空调的应用条件（时间条件、温度条件）进行控制，并智能监督管理空调使用。</w:t>
            </w:r>
            <w:r>
              <w:rPr>
                <w:rFonts w:hint="eastAsia" w:ascii="宋体" w:hAnsi="宋体" w:cs="宋体"/>
                <w:kern w:val="0"/>
                <w:sz w:val="20"/>
                <w:szCs w:val="20"/>
              </w:rPr>
              <w:br w:type="textWrapping"/>
            </w:r>
            <w:r>
              <w:rPr>
                <w:rFonts w:hint="eastAsia" w:ascii="宋体" w:hAnsi="宋体" w:cs="宋体"/>
                <w:kern w:val="0"/>
                <w:sz w:val="20"/>
                <w:szCs w:val="20"/>
              </w:rPr>
              <w:t>7.智能破坏报警：支持温度传感器被破坏后，设备发出蜂鸣声报警，并通过通信告诉上位机。</w:t>
            </w:r>
            <w:r>
              <w:rPr>
                <w:rFonts w:hint="eastAsia" w:ascii="宋体" w:hAnsi="宋体" w:cs="宋体"/>
                <w:kern w:val="0"/>
                <w:sz w:val="20"/>
                <w:szCs w:val="20"/>
              </w:rPr>
              <w:br w:type="textWrapping"/>
            </w:r>
            <w:r>
              <w:rPr>
                <w:rFonts w:hint="eastAsia" w:ascii="宋体" w:hAnsi="宋体" w:cs="宋体"/>
                <w:kern w:val="0"/>
                <w:sz w:val="20"/>
                <w:szCs w:val="20"/>
              </w:rPr>
              <w:t>8.红外/强制断电联动功能：支持强制电源控制及红外控制的联动控制，在切断空调电源时，需要先发送红外指令关闭空调，在一定时长（时长可设置）后切断空调电源。</w:t>
            </w:r>
            <w:r>
              <w:rPr>
                <w:rFonts w:hint="eastAsia" w:ascii="宋体" w:hAnsi="宋体" w:cs="宋体"/>
                <w:kern w:val="0"/>
                <w:sz w:val="20"/>
                <w:szCs w:val="20"/>
              </w:rPr>
              <w:br w:type="textWrapping"/>
            </w:r>
            <w:r>
              <w:rPr>
                <w:rFonts w:hint="eastAsia" w:ascii="宋体" w:hAnsi="宋体" w:cs="宋体"/>
                <w:kern w:val="0"/>
                <w:sz w:val="20"/>
                <w:szCs w:val="20"/>
              </w:rPr>
              <w:t>9.自动控制功能离线运行：支持智能控制参数均写入设备上的EEPROM上，设备离线状态时可以根据设定的自控参数，智能执行。</w:t>
            </w:r>
            <w:r>
              <w:rPr>
                <w:rFonts w:hint="eastAsia" w:ascii="宋体" w:hAnsi="宋体" w:cs="宋体"/>
                <w:kern w:val="0"/>
                <w:sz w:val="20"/>
                <w:szCs w:val="20"/>
              </w:rPr>
              <w:br w:type="textWrapping"/>
            </w:r>
            <w:r>
              <w:rPr>
                <w:rFonts w:hint="eastAsia" w:ascii="宋体" w:hAnsi="宋体" w:cs="宋体"/>
                <w:kern w:val="0"/>
                <w:sz w:val="20"/>
                <w:szCs w:val="20"/>
              </w:rPr>
              <w:t>实用性：</w:t>
            </w:r>
            <w:r>
              <w:rPr>
                <w:rFonts w:hint="eastAsia" w:ascii="宋体" w:hAnsi="宋体" w:cs="宋体"/>
                <w:kern w:val="0"/>
                <w:sz w:val="20"/>
                <w:szCs w:val="20"/>
              </w:rPr>
              <w:br w:type="textWrapping"/>
            </w:r>
            <w:r>
              <w:rPr>
                <w:rFonts w:hint="eastAsia" w:ascii="宋体" w:hAnsi="宋体" w:cs="宋体"/>
                <w:kern w:val="0"/>
                <w:sz w:val="20"/>
                <w:szCs w:val="20"/>
              </w:rPr>
              <w:t>1. 用电管理功能：支持设备用电管理功能，主要包括：1.可设定每月自动固定充值额度电量；2.可对设备进行可用电量充值及撤销充值操作；3.电量用完自动限制空调使用；4.用电管理功能可开关。</w:t>
            </w:r>
            <w:r>
              <w:rPr>
                <w:rFonts w:hint="eastAsia" w:ascii="宋体" w:hAnsi="宋体" w:cs="宋体"/>
                <w:kern w:val="0"/>
                <w:sz w:val="20"/>
                <w:szCs w:val="20"/>
              </w:rPr>
              <w:br w:type="textWrapping"/>
            </w:r>
            <w:r>
              <w:rPr>
                <w:rFonts w:hint="eastAsia" w:ascii="宋体" w:hAnsi="宋体" w:cs="宋体"/>
                <w:kern w:val="0"/>
                <w:sz w:val="20"/>
                <w:szCs w:val="20"/>
              </w:rPr>
              <w:t>2.剩余电量显示：可为设备进行用电量的预充值，设备数码管显示剩余电量，用户可以实时查看剩余可用电量。</w:t>
            </w:r>
            <w:r>
              <w:rPr>
                <w:rFonts w:hint="eastAsia" w:ascii="宋体" w:hAnsi="宋体" w:cs="宋体"/>
                <w:kern w:val="0"/>
                <w:sz w:val="20"/>
                <w:szCs w:val="20"/>
              </w:rPr>
              <w:br w:type="textWrapping"/>
            </w:r>
            <w:r>
              <w:rPr>
                <w:rFonts w:hint="eastAsia" w:ascii="宋体" w:hAnsi="宋体" w:cs="宋体"/>
                <w:kern w:val="0"/>
                <w:sz w:val="20"/>
                <w:szCs w:val="20"/>
              </w:rPr>
              <w:t>▲3.管理员遥控功能：可通过遥控器对设备进行现场配置，并控制设备运行。</w:t>
            </w:r>
            <w:r>
              <w:rPr>
                <w:rFonts w:hint="eastAsia" w:ascii="宋体" w:hAnsi="宋体" w:cs="宋体"/>
                <w:kern w:val="0"/>
                <w:sz w:val="20"/>
                <w:szCs w:val="20"/>
              </w:rPr>
              <w:br w:type="textWrapping"/>
            </w:r>
            <w:r>
              <w:rPr>
                <w:rFonts w:hint="eastAsia" w:ascii="宋体" w:hAnsi="宋体" w:cs="宋体"/>
                <w:kern w:val="0"/>
                <w:sz w:val="20"/>
                <w:szCs w:val="20"/>
              </w:rPr>
              <w:t>▲4.远程固件升级：可通过远程通信接口对设备进行批量升级。</w:t>
            </w:r>
            <w:r>
              <w:rPr>
                <w:rFonts w:hint="eastAsia" w:ascii="宋体" w:hAnsi="宋体" w:cs="宋体"/>
                <w:kern w:val="0"/>
                <w:sz w:val="20"/>
                <w:szCs w:val="20"/>
              </w:rPr>
              <w:br w:type="textWrapping"/>
            </w:r>
            <w:r>
              <w:rPr>
                <w:rFonts w:hint="eastAsia" w:ascii="宋体" w:hAnsi="宋体" w:cs="宋体"/>
                <w:kern w:val="0"/>
                <w:sz w:val="20"/>
                <w:szCs w:val="20"/>
              </w:rPr>
              <w:t>▲5.无负载报警功能：当控制器插头被拔掉时，控制器可把当前负载状态实时反馈到上位机。</w:t>
            </w:r>
            <w:r>
              <w:rPr>
                <w:rFonts w:hint="eastAsia" w:ascii="宋体" w:hAnsi="宋体" w:cs="宋体"/>
                <w:kern w:val="0"/>
                <w:sz w:val="20"/>
                <w:szCs w:val="20"/>
              </w:rPr>
              <w:br w:type="textWrapping"/>
            </w:r>
            <w:r>
              <w:rPr>
                <w:rFonts w:hint="eastAsia" w:ascii="宋体" w:hAnsi="宋体" w:cs="宋体"/>
                <w:kern w:val="0"/>
                <w:sz w:val="20"/>
                <w:szCs w:val="20"/>
              </w:rPr>
              <w:t>拓展性：</w:t>
            </w:r>
            <w:r>
              <w:rPr>
                <w:rFonts w:hint="eastAsia" w:ascii="宋体" w:hAnsi="宋体" w:cs="宋体"/>
                <w:kern w:val="0"/>
                <w:sz w:val="20"/>
                <w:szCs w:val="20"/>
              </w:rPr>
              <w:br w:type="textWrapping"/>
            </w:r>
            <w:r>
              <w:rPr>
                <w:rFonts w:hint="eastAsia" w:ascii="宋体" w:hAnsi="宋体" w:cs="宋体"/>
                <w:kern w:val="0"/>
                <w:sz w:val="20"/>
                <w:szCs w:val="20"/>
              </w:rPr>
              <w:t>1.可预留门磁或红外接口（二选一）方便后期做功能扩展。</w:t>
            </w:r>
            <w:r>
              <w:rPr>
                <w:rFonts w:hint="eastAsia" w:ascii="宋体" w:hAnsi="宋体" w:cs="宋体"/>
                <w:kern w:val="0"/>
                <w:sz w:val="20"/>
                <w:szCs w:val="20"/>
              </w:rPr>
              <w:br w:type="textWrapping"/>
            </w:r>
            <w:r>
              <w:rPr>
                <w:rFonts w:hint="eastAsia" w:ascii="宋体" w:hAnsi="宋体" w:cs="宋体"/>
                <w:kern w:val="0"/>
                <w:sz w:val="20"/>
                <w:szCs w:val="20"/>
              </w:rPr>
              <w:t>2.预留性能监测模块接口方便后期做功能扩展。</w:t>
            </w:r>
            <w:r>
              <w:rPr>
                <w:rFonts w:hint="eastAsia" w:ascii="宋体" w:hAnsi="宋体" w:cs="宋体"/>
                <w:kern w:val="0"/>
                <w:sz w:val="20"/>
                <w:szCs w:val="20"/>
              </w:rPr>
              <w:br w:type="textWrapping"/>
            </w:r>
            <w:r>
              <w:rPr>
                <w:rFonts w:hint="eastAsia" w:ascii="宋体" w:hAnsi="宋体" w:cs="宋体"/>
                <w:kern w:val="0"/>
                <w:sz w:val="20"/>
                <w:szCs w:val="20"/>
              </w:rPr>
              <w:t>安全性：</w:t>
            </w:r>
            <w:r>
              <w:rPr>
                <w:rFonts w:hint="eastAsia" w:ascii="宋体" w:hAnsi="宋体" w:cs="宋体"/>
                <w:kern w:val="0"/>
                <w:sz w:val="20"/>
                <w:szCs w:val="20"/>
              </w:rPr>
              <w:br w:type="textWrapping"/>
            </w:r>
            <w:r>
              <w:rPr>
                <w:rFonts w:hint="eastAsia" w:ascii="宋体" w:hAnsi="宋体" w:cs="宋体"/>
                <w:kern w:val="0"/>
                <w:sz w:val="20"/>
                <w:szCs w:val="20"/>
              </w:rPr>
              <w:t>1.继电器电机负载（感性负载）控制能力可达1.5HP。</w:t>
            </w:r>
            <w:r>
              <w:rPr>
                <w:rFonts w:hint="eastAsia" w:ascii="宋体" w:hAnsi="宋体" w:cs="宋体"/>
                <w:kern w:val="0"/>
                <w:sz w:val="20"/>
                <w:szCs w:val="20"/>
              </w:rPr>
              <w:br w:type="textWrapping"/>
            </w:r>
            <w:r>
              <w:rPr>
                <w:rFonts w:hint="eastAsia" w:ascii="宋体" w:hAnsi="宋体" w:cs="宋体"/>
                <w:kern w:val="0"/>
                <w:sz w:val="20"/>
                <w:szCs w:val="20"/>
              </w:rPr>
              <w:t>产品资质：</w:t>
            </w:r>
            <w:r>
              <w:rPr>
                <w:rFonts w:hint="eastAsia" w:ascii="宋体" w:hAnsi="宋体" w:cs="宋体"/>
                <w:kern w:val="0"/>
                <w:sz w:val="20"/>
                <w:szCs w:val="20"/>
              </w:rPr>
              <w:br w:type="textWrapping"/>
            </w:r>
            <w:r>
              <w:rPr>
                <w:rFonts w:hint="eastAsia" w:ascii="宋体" w:hAnsi="宋体" w:cs="宋体"/>
                <w:kern w:val="0"/>
                <w:sz w:val="20"/>
                <w:szCs w:val="20"/>
              </w:rPr>
              <w:t>▲1.设备抗干扰等级：3级（IEC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2.产品质量检测报告</w:t>
            </w:r>
            <w:r>
              <w:rPr>
                <w:rFonts w:hint="eastAsia" w:ascii="宋体" w:hAnsi="宋体" w:cs="宋体"/>
                <w:kern w:val="0"/>
                <w:sz w:val="20"/>
                <w:szCs w:val="20"/>
              </w:rPr>
              <w:br w:type="textWrapping"/>
            </w:r>
            <w:r>
              <w:rPr>
                <w:rFonts w:hint="eastAsia" w:ascii="宋体" w:hAnsi="宋体" w:cs="宋体"/>
                <w:kern w:val="0"/>
                <w:sz w:val="20"/>
                <w:szCs w:val="20"/>
              </w:rPr>
              <w:t>基本参数：</w:t>
            </w:r>
            <w:r>
              <w:rPr>
                <w:rFonts w:hint="eastAsia" w:ascii="宋体" w:hAnsi="宋体" w:cs="宋体"/>
                <w:kern w:val="0"/>
                <w:sz w:val="20"/>
                <w:szCs w:val="20"/>
              </w:rPr>
              <w:br w:type="textWrapping"/>
            </w:r>
            <w:r>
              <w:rPr>
                <w:rFonts w:hint="eastAsia" w:ascii="宋体" w:hAnsi="宋体" w:cs="宋体"/>
                <w:kern w:val="0"/>
                <w:sz w:val="20"/>
                <w:szCs w:val="20"/>
              </w:rPr>
              <w:t>1.安装方式：墙插式。</w:t>
            </w:r>
            <w:r>
              <w:rPr>
                <w:rFonts w:hint="eastAsia" w:ascii="宋体" w:hAnsi="宋体" w:cs="宋体"/>
                <w:kern w:val="0"/>
                <w:sz w:val="20"/>
                <w:szCs w:val="20"/>
              </w:rPr>
              <w:br w:type="textWrapping"/>
            </w:r>
            <w:r>
              <w:rPr>
                <w:rFonts w:hint="eastAsia" w:ascii="宋体" w:hAnsi="宋体" w:cs="宋体"/>
                <w:kern w:val="0"/>
                <w:sz w:val="20"/>
                <w:szCs w:val="20"/>
              </w:rPr>
              <w:t>2.工作温度：-15℃~60℃。</w:t>
            </w:r>
            <w:r>
              <w:rPr>
                <w:rFonts w:hint="eastAsia" w:ascii="宋体" w:hAnsi="宋体" w:cs="宋体"/>
                <w:kern w:val="0"/>
                <w:sz w:val="20"/>
                <w:szCs w:val="20"/>
              </w:rPr>
              <w:br w:type="textWrapping"/>
            </w:r>
            <w:r>
              <w:rPr>
                <w:rFonts w:hint="eastAsia" w:ascii="宋体" w:hAnsi="宋体" w:cs="宋体"/>
                <w:kern w:val="0"/>
                <w:sz w:val="20"/>
                <w:szCs w:val="20"/>
              </w:rPr>
              <w:t>3.工作湿度：10％到95％(无凝露)。</w:t>
            </w:r>
            <w:r>
              <w:rPr>
                <w:rFonts w:hint="eastAsia" w:ascii="宋体" w:hAnsi="宋体" w:cs="宋体"/>
                <w:kern w:val="0"/>
                <w:sz w:val="20"/>
                <w:szCs w:val="20"/>
              </w:rPr>
              <w:br w:type="textWrapping"/>
            </w:r>
            <w:r>
              <w:rPr>
                <w:rFonts w:hint="eastAsia" w:ascii="宋体" w:hAnsi="宋体" w:cs="宋体"/>
                <w:kern w:val="0"/>
                <w:sz w:val="20"/>
                <w:szCs w:val="20"/>
              </w:rPr>
              <w:t>4.红外载波频率：38KHZ。</w:t>
            </w:r>
            <w:r>
              <w:rPr>
                <w:rFonts w:hint="eastAsia" w:ascii="宋体" w:hAnsi="宋体" w:cs="宋体"/>
                <w:kern w:val="0"/>
                <w:sz w:val="20"/>
                <w:szCs w:val="20"/>
              </w:rPr>
              <w:br w:type="textWrapping"/>
            </w:r>
            <w:r>
              <w:rPr>
                <w:rFonts w:hint="eastAsia" w:ascii="宋体" w:hAnsi="宋体" w:cs="宋体"/>
                <w:kern w:val="0"/>
                <w:sz w:val="20"/>
                <w:szCs w:val="20"/>
              </w:rPr>
              <w:t>5.继电器额定电流：16A。</w:t>
            </w:r>
            <w:r>
              <w:rPr>
                <w:rFonts w:hint="eastAsia" w:ascii="宋体" w:hAnsi="宋体" w:cs="宋体"/>
                <w:kern w:val="0"/>
                <w:sz w:val="20"/>
                <w:szCs w:val="20"/>
              </w:rPr>
              <w:br w:type="textWrapping"/>
            </w:r>
            <w:r>
              <w:rPr>
                <w:rFonts w:hint="eastAsia" w:ascii="宋体" w:hAnsi="宋体" w:cs="宋体"/>
                <w:kern w:val="0"/>
                <w:sz w:val="20"/>
                <w:szCs w:val="20"/>
              </w:rPr>
              <w:t>6.继电器额定电压：220V。</w:t>
            </w:r>
            <w:r>
              <w:rPr>
                <w:rFonts w:hint="eastAsia" w:ascii="宋体" w:hAnsi="宋体" w:cs="宋体"/>
                <w:kern w:val="0"/>
                <w:sz w:val="20"/>
                <w:szCs w:val="20"/>
              </w:rPr>
              <w:br w:type="textWrapping"/>
            </w:r>
            <w:r>
              <w:rPr>
                <w:rFonts w:hint="eastAsia" w:ascii="宋体" w:hAnsi="宋体" w:cs="宋体"/>
                <w:kern w:val="0"/>
                <w:sz w:val="20"/>
                <w:szCs w:val="20"/>
              </w:rPr>
              <w:t>7.通讯方式：无线4G通讯。</w:t>
            </w:r>
            <w:r>
              <w:rPr>
                <w:rFonts w:hint="eastAsia" w:ascii="宋体" w:hAnsi="宋体" w:cs="宋体"/>
                <w:kern w:val="0"/>
                <w:sz w:val="20"/>
                <w:szCs w:val="20"/>
              </w:rPr>
              <w:br w:type="textWrapping"/>
            </w:r>
            <w:r>
              <w:rPr>
                <w:rFonts w:hint="eastAsia" w:ascii="宋体" w:hAnsi="宋体" w:cs="宋体"/>
                <w:kern w:val="0"/>
                <w:sz w:val="20"/>
                <w:szCs w:val="20"/>
              </w:rPr>
              <w:t>8.控制方式：继电器通断输出控制，红外遥控码值发射控制。</w:t>
            </w:r>
            <w:r>
              <w:rPr>
                <w:rFonts w:hint="eastAsia" w:ascii="宋体" w:hAnsi="宋体" w:cs="宋体"/>
                <w:kern w:val="0"/>
                <w:sz w:val="20"/>
                <w:szCs w:val="20"/>
              </w:rPr>
              <w:br w:type="textWrapping"/>
            </w:r>
            <w:r>
              <w:rPr>
                <w:rFonts w:hint="eastAsia" w:ascii="宋体" w:hAnsi="宋体" w:cs="宋体"/>
                <w:kern w:val="0"/>
                <w:sz w:val="20"/>
                <w:szCs w:val="20"/>
              </w:rPr>
              <w:t>9.设备抗干扰等级：3级（IEC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10.显示：LED数码显示。</w:t>
            </w:r>
            <w:r>
              <w:rPr>
                <w:rFonts w:hint="eastAsia" w:ascii="宋体" w:hAnsi="宋体" w:cs="宋体"/>
                <w:kern w:val="0"/>
                <w:sz w:val="20"/>
                <w:szCs w:val="20"/>
              </w:rPr>
              <w:br w:type="textWrapping"/>
            </w:r>
            <w:r>
              <w:rPr>
                <w:rFonts w:hint="eastAsia" w:ascii="宋体" w:hAnsi="宋体" w:cs="宋体"/>
                <w:kern w:val="0"/>
                <w:sz w:val="20"/>
                <w:szCs w:val="20"/>
              </w:rPr>
              <w:t>管理平台：</w:t>
            </w:r>
            <w:r>
              <w:rPr>
                <w:rFonts w:hint="eastAsia" w:ascii="宋体" w:hAnsi="宋体" w:cs="宋体"/>
                <w:kern w:val="0"/>
                <w:sz w:val="20"/>
                <w:szCs w:val="20"/>
              </w:rPr>
              <w:br w:type="textWrapping"/>
            </w:r>
            <w:r>
              <w:rPr>
                <w:rFonts w:hint="eastAsia" w:ascii="宋体" w:hAnsi="宋体" w:cs="宋体"/>
                <w:kern w:val="0"/>
                <w:sz w:val="20"/>
                <w:szCs w:val="20"/>
              </w:rPr>
              <w:t>1.MQTT服务：可设置mqtt服务器地址、账号、登录密码信息；可设置主题格式、超时时间、心跳时间的通信规则。</w:t>
            </w:r>
            <w:r>
              <w:rPr>
                <w:rFonts w:hint="eastAsia" w:ascii="宋体" w:hAnsi="宋体" w:cs="宋体"/>
                <w:kern w:val="0"/>
                <w:sz w:val="20"/>
                <w:szCs w:val="20"/>
              </w:rPr>
              <w:br w:type="textWrapping"/>
            </w:r>
            <w:r>
              <w:rPr>
                <w:rFonts w:hint="eastAsia" w:ascii="宋体" w:hAnsi="宋体" w:cs="宋体"/>
                <w:kern w:val="0"/>
                <w:sz w:val="20"/>
                <w:szCs w:val="20"/>
              </w:rPr>
              <w:t>2.多种通讯格式兼容：支持设备联网方式可采用无线局域网、有线485网络、GPRS、wifi、以太网。</w:t>
            </w:r>
            <w:r>
              <w:rPr>
                <w:rFonts w:hint="eastAsia" w:ascii="宋体" w:hAnsi="宋体" w:cs="宋体"/>
                <w:kern w:val="0"/>
                <w:sz w:val="20"/>
                <w:szCs w:val="20"/>
              </w:rPr>
              <w:br w:type="textWrapping"/>
            </w:r>
            <w:r>
              <w:rPr>
                <w:rFonts w:hint="eastAsia" w:ascii="宋体" w:hAnsi="宋体" w:cs="宋体"/>
                <w:kern w:val="0"/>
                <w:sz w:val="20"/>
                <w:szCs w:val="20"/>
              </w:rPr>
              <w:t>3.图形化实时状态显示：支持每台空调对应一个状态块，状态块里包含空调名称、所在地的当前温度、光照度、空调当前的瞬时电流、电压、功率、空调累计用电量、空调累计用电时长。应用图标及颜色描述空调当前的状态，当前状态有运行状态、待机状态、断电状态。应用图标及颜色描述空调应用环境是否有人状态、AC360蜂鸣器开关状态、自控系统是否打开状态、当前自控系统应用的季节状态（夏季/冬季），应用颜色描述空调控制器的异常状态。</w:t>
            </w:r>
            <w:r>
              <w:rPr>
                <w:rFonts w:hint="eastAsia" w:ascii="宋体" w:hAnsi="宋体" w:cs="宋体"/>
                <w:kern w:val="0"/>
                <w:sz w:val="20"/>
                <w:szCs w:val="20"/>
              </w:rPr>
              <w:br w:type="textWrapping"/>
            </w:r>
            <w:r>
              <w:rPr>
                <w:rFonts w:hint="eastAsia" w:ascii="宋体" w:hAnsi="宋体" w:cs="宋体"/>
                <w:kern w:val="0"/>
                <w:sz w:val="20"/>
                <w:szCs w:val="20"/>
              </w:rPr>
              <w:t>4.图形化控制界面：可通过点击图形界面控制AC360的状态开关：继电器开关（接通或断开空调电源），自控系统功能开关，蜂鸣器开关、光敏传感器功能开关。</w:t>
            </w:r>
            <w:r>
              <w:rPr>
                <w:rFonts w:hint="eastAsia" w:ascii="宋体" w:hAnsi="宋体" w:cs="宋体"/>
                <w:kern w:val="0"/>
                <w:sz w:val="20"/>
                <w:szCs w:val="20"/>
              </w:rPr>
              <w:br w:type="textWrapping"/>
            </w:r>
            <w:r>
              <w:rPr>
                <w:rFonts w:hint="eastAsia" w:ascii="宋体" w:hAnsi="宋体" w:cs="宋体"/>
                <w:kern w:val="0"/>
                <w:sz w:val="20"/>
                <w:szCs w:val="20"/>
              </w:rPr>
              <w:t>5.可视报警视图：可分时、分组、分设备、分故障类型查询设备报警信息，包括温度传感器异常报警，设备通讯异常报警。</w:t>
            </w:r>
            <w:r>
              <w:rPr>
                <w:rFonts w:hint="eastAsia" w:ascii="宋体" w:hAnsi="宋体" w:cs="宋体"/>
                <w:kern w:val="0"/>
                <w:sz w:val="20"/>
                <w:szCs w:val="20"/>
              </w:rPr>
              <w:br w:type="textWrapping"/>
            </w:r>
            <w:r>
              <w:rPr>
                <w:rFonts w:hint="eastAsia" w:ascii="宋体" w:hAnsi="宋体" w:cs="宋体"/>
                <w:kern w:val="0"/>
                <w:sz w:val="20"/>
                <w:szCs w:val="20"/>
              </w:rPr>
              <w:t>6.远程定时控制：可通过定时控制界面，控制系统在设定的时间定时空调开关机、空调送电或断电，以各分组设备为设置对象，每条定时开关独立执行。</w:t>
            </w:r>
            <w:r>
              <w:rPr>
                <w:rFonts w:hint="eastAsia" w:ascii="宋体" w:hAnsi="宋体" w:cs="宋体"/>
                <w:kern w:val="0"/>
                <w:sz w:val="20"/>
                <w:szCs w:val="20"/>
              </w:rPr>
              <w:br w:type="textWrapping"/>
            </w:r>
            <w:r>
              <w:rPr>
                <w:rFonts w:hint="eastAsia" w:ascii="宋体" w:hAnsi="宋体" w:cs="宋体"/>
                <w:kern w:val="0"/>
                <w:sz w:val="20"/>
                <w:szCs w:val="20"/>
              </w:rPr>
              <w:t>7.远程手动控制：可通过PC端对空调进行分组或单个设备远程红外及电源控控制，红外控制包括开关空调、调节空调运行模式、调节空调温度。</w:t>
            </w:r>
            <w:r>
              <w:rPr>
                <w:rFonts w:hint="eastAsia" w:ascii="宋体" w:hAnsi="宋体" w:cs="宋体"/>
                <w:kern w:val="0"/>
                <w:sz w:val="20"/>
                <w:szCs w:val="20"/>
              </w:rPr>
              <w:br w:type="textWrapping"/>
            </w:r>
            <w:r>
              <w:rPr>
                <w:rFonts w:hint="eastAsia" w:ascii="宋体" w:hAnsi="宋体" w:cs="宋体"/>
                <w:kern w:val="0"/>
                <w:sz w:val="20"/>
                <w:szCs w:val="20"/>
              </w:rPr>
              <w:t>▲8.红外码库：可配置红外码库；选择品牌空调编码、空调品牌、遥控器型号、设备型号；支持一键匹配空调，通过分析学习接收的红外码值，自动匹配出相应的遥控器型号，并通过码库中的参数可控制空调的开关、模式、温度设置、风向、风速信息；可在线设置所连接码库服务器的地址、密匙、解析方式。</w:t>
            </w:r>
            <w:r>
              <w:rPr>
                <w:rFonts w:hint="eastAsia" w:ascii="宋体" w:hAnsi="宋体" w:cs="宋体"/>
                <w:kern w:val="0"/>
                <w:sz w:val="20"/>
                <w:szCs w:val="20"/>
              </w:rPr>
              <w:br w:type="textWrapping"/>
            </w:r>
            <w:r>
              <w:rPr>
                <w:rFonts w:hint="eastAsia" w:ascii="宋体" w:hAnsi="宋体" w:cs="宋体"/>
                <w:kern w:val="0"/>
                <w:sz w:val="20"/>
                <w:szCs w:val="20"/>
              </w:rPr>
              <w:t>▲9.红外码库自动匹配功能：可根据设备上报的红外码值自动匹配红外码库内适用的红外码值，并通过匹配到的红外码值控制空调。</w:t>
            </w:r>
            <w:r>
              <w:rPr>
                <w:rFonts w:hint="eastAsia" w:ascii="宋体" w:hAnsi="宋体" w:cs="宋体"/>
                <w:kern w:val="0"/>
                <w:sz w:val="20"/>
                <w:szCs w:val="20"/>
              </w:rPr>
              <w:br w:type="textWrapping"/>
            </w:r>
            <w:r>
              <w:rPr>
                <w:rFonts w:hint="eastAsia" w:ascii="宋体" w:hAnsi="宋体" w:cs="宋体"/>
                <w:kern w:val="0"/>
                <w:sz w:val="20"/>
                <w:szCs w:val="20"/>
              </w:rPr>
              <w:t>▲10.码库注册：可管理添加码库、码库链接地址。</w:t>
            </w:r>
            <w:r>
              <w:rPr>
                <w:rFonts w:hint="eastAsia" w:ascii="宋体" w:hAnsi="宋体" w:cs="宋体"/>
                <w:kern w:val="0"/>
                <w:sz w:val="20"/>
                <w:szCs w:val="20"/>
              </w:rPr>
              <w:br w:type="textWrapping"/>
            </w:r>
            <w:r>
              <w:rPr>
                <w:rFonts w:hint="eastAsia" w:ascii="宋体" w:hAnsi="宋体" w:cs="宋体"/>
                <w:kern w:val="0"/>
                <w:sz w:val="20"/>
                <w:szCs w:val="20"/>
              </w:rPr>
              <w:t>11.用电管理开关：可对设备电量管理功能的开启、关闭，开启功能后空调使用受可用电量的限制。</w:t>
            </w:r>
            <w:r>
              <w:rPr>
                <w:rFonts w:hint="eastAsia" w:ascii="宋体" w:hAnsi="宋体" w:cs="宋体"/>
                <w:kern w:val="0"/>
                <w:sz w:val="20"/>
                <w:szCs w:val="20"/>
              </w:rPr>
              <w:br w:type="textWrapping"/>
            </w:r>
            <w:r>
              <w:rPr>
                <w:rFonts w:hint="eastAsia" w:ascii="宋体" w:hAnsi="宋体" w:cs="宋体"/>
                <w:kern w:val="0"/>
                <w:sz w:val="20"/>
                <w:szCs w:val="20"/>
              </w:rPr>
              <w:t>12.电量充值：可对设备可用电量进行充值、撤销充值以及充值记录查询。</w:t>
            </w:r>
            <w:r>
              <w:rPr>
                <w:rFonts w:hint="eastAsia" w:ascii="宋体" w:hAnsi="宋体" w:cs="宋体"/>
                <w:kern w:val="0"/>
                <w:sz w:val="20"/>
                <w:szCs w:val="20"/>
              </w:rPr>
              <w:br w:type="textWrapping"/>
            </w:r>
            <w:r>
              <w:rPr>
                <w:rFonts w:hint="eastAsia" w:ascii="宋体" w:hAnsi="宋体" w:cs="宋体"/>
                <w:kern w:val="0"/>
                <w:sz w:val="20"/>
                <w:szCs w:val="20"/>
              </w:rPr>
              <w:t>13.红外学习功能：支持当码库中没有匹配到红外码值时，可以学习空调原配遥控器的红外码值，并且可以利用学习到的红外码值控制空调的开关，调整温度、模式。</w:t>
            </w:r>
            <w:r>
              <w:rPr>
                <w:rFonts w:hint="eastAsia" w:ascii="宋体" w:hAnsi="宋体" w:cs="宋体"/>
                <w:kern w:val="0"/>
                <w:sz w:val="20"/>
                <w:szCs w:val="20"/>
              </w:rPr>
              <w:br w:type="textWrapping"/>
            </w:r>
            <w:r>
              <w:rPr>
                <w:rFonts w:hint="eastAsia" w:ascii="宋体" w:hAnsi="宋体" w:cs="宋体"/>
                <w:kern w:val="0"/>
                <w:sz w:val="20"/>
                <w:szCs w:val="20"/>
              </w:rPr>
              <w:t>14.设备多级分组管理：可设置一到五级分组管理，操作时可对特定组的设备统一管理。</w:t>
            </w:r>
            <w:r>
              <w:rPr>
                <w:rFonts w:hint="eastAsia" w:ascii="宋体" w:hAnsi="宋体" w:cs="宋体"/>
                <w:kern w:val="0"/>
                <w:sz w:val="20"/>
                <w:szCs w:val="20"/>
              </w:rPr>
              <w:br w:type="textWrapping"/>
            </w:r>
            <w:r>
              <w:rPr>
                <w:rFonts w:hint="eastAsia" w:ascii="宋体" w:hAnsi="宋体" w:cs="宋体"/>
                <w:kern w:val="0"/>
                <w:sz w:val="20"/>
                <w:szCs w:val="20"/>
              </w:rPr>
              <w:t>▲15.固件升级：可远程批量升级设备固件程序。</w:t>
            </w:r>
            <w:r>
              <w:rPr>
                <w:rFonts w:hint="eastAsia" w:ascii="宋体" w:hAnsi="宋体" w:cs="宋体"/>
                <w:kern w:val="0"/>
                <w:sz w:val="20"/>
                <w:szCs w:val="20"/>
              </w:rPr>
              <w:br w:type="textWrapping"/>
            </w:r>
            <w:r>
              <w:rPr>
                <w:rFonts w:hint="eastAsia" w:ascii="宋体" w:hAnsi="宋体" w:cs="宋体"/>
                <w:kern w:val="0"/>
                <w:sz w:val="20"/>
                <w:szCs w:val="20"/>
              </w:rPr>
              <w:t>16.采集数据查询：可查询各空调数据定时、手动采集到的数据，以列表形式显示，可选择时间段、分组筛选。后台自动屏蔽连续多次采集到一样的数据，只保留一条。</w:t>
            </w:r>
            <w:r>
              <w:rPr>
                <w:rFonts w:hint="eastAsia" w:ascii="宋体" w:hAnsi="宋体" w:cs="宋体"/>
                <w:kern w:val="0"/>
                <w:sz w:val="20"/>
                <w:szCs w:val="20"/>
              </w:rPr>
              <w:br w:type="textWrapping"/>
            </w:r>
            <w:r>
              <w:rPr>
                <w:rFonts w:hint="eastAsia" w:ascii="宋体" w:hAnsi="宋体" w:cs="宋体"/>
                <w:kern w:val="0"/>
                <w:sz w:val="20"/>
                <w:szCs w:val="20"/>
              </w:rPr>
              <w:t>17.图形化能源报表：可统计总体、各个分组、各个设备的用电情况，包括用电量以用电时长、瞬时功率、能源分析，并进行节电率分析。</w:t>
            </w:r>
            <w:r>
              <w:rPr>
                <w:rFonts w:hint="eastAsia" w:ascii="宋体" w:hAnsi="宋体" w:cs="宋体"/>
                <w:kern w:val="0"/>
                <w:sz w:val="20"/>
                <w:szCs w:val="20"/>
              </w:rPr>
              <w:br w:type="textWrapping"/>
            </w:r>
            <w:r>
              <w:rPr>
                <w:rFonts w:hint="eastAsia" w:ascii="宋体" w:hAnsi="宋体" w:cs="宋体"/>
                <w:kern w:val="0"/>
                <w:sz w:val="20"/>
                <w:szCs w:val="20"/>
              </w:rPr>
              <w:t>18.设备管理：可添加、删除设备，设置设备的名称、连接的网关、通信地址、设备类型、分组的信息。</w:t>
            </w:r>
            <w:r>
              <w:rPr>
                <w:rFonts w:hint="eastAsia" w:ascii="宋体" w:hAnsi="宋体" w:cs="宋体"/>
                <w:kern w:val="0"/>
                <w:sz w:val="20"/>
                <w:szCs w:val="20"/>
              </w:rPr>
              <w:br w:type="textWrapping"/>
            </w:r>
            <w:r>
              <w:rPr>
                <w:rFonts w:hint="eastAsia" w:ascii="宋体" w:hAnsi="宋体" w:cs="宋体"/>
                <w:kern w:val="0"/>
                <w:sz w:val="20"/>
                <w:szCs w:val="20"/>
              </w:rPr>
              <w:t>19.产品管理：可设置、添加产品，可设置产品信息，包括产品类型、品牌、对应遥控器型号（自动匹配到码库）。</w:t>
            </w:r>
            <w:r>
              <w:rPr>
                <w:rFonts w:hint="eastAsia" w:ascii="宋体" w:hAnsi="宋体" w:cs="宋体"/>
                <w:kern w:val="0"/>
                <w:sz w:val="20"/>
                <w:szCs w:val="20"/>
              </w:rPr>
              <w:br w:type="textWrapping"/>
            </w:r>
            <w:r>
              <w:rPr>
                <w:rFonts w:hint="eastAsia" w:ascii="宋体" w:hAnsi="宋体" w:cs="宋体"/>
                <w:kern w:val="0"/>
                <w:sz w:val="20"/>
                <w:szCs w:val="20"/>
              </w:rPr>
              <w:t>20.网关管理：可添加、删除、批量导入RS485、MQTT网关，网关中可设置通信规则、红外发射延迟时间、红外验证时间（发送红外后智能验证是否发送成功）、判断超时时间、通信失败重发次数、分包大小的信息。</w:t>
            </w:r>
            <w:r>
              <w:rPr>
                <w:rFonts w:hint="eastAsia" w:ascii="宋体" w:hAnsi="宋体" w:cs="宋体"/>
                <w:kern w:val="0"/>
                <w:sz w:val="20"/>
                <w:szCs w:val="20"/>
              </w:rPr>
              <w:br w:type="textWrapping"/>
            </w:r>
            <w:r>
              <w:rPr>
                <w:rFonts w:hint="eastAsia" w:ascii="宋体" w:hAnsi="宋体" w:cs="宋体"/>
                <w:kern w:val="0"/>
                <w:sz w:val="20"/>
                <w:szCs w:val="20"/>
              </w:rPr>
              <w:t>21.设置无人关机与继电器断开时间间隔设置：支持设备断开继电器时，先判断空调启停状态，若开启，发送红外关机指令，延时“红外关机与继电器断开时间间隔”所设置的时间后，再断开继电器。</w:t>
            </w:r>
            <w:r>
              <w:rPr>
                <w:rFonts w:hint="eastAsia" w:ascii="宋体" w:hAnsi="宋体" w:cs="宋体"/>
                <w:kern w:val="0"/>
                <w:sz w:val="20"/>
                <w:szCs w:val="20"/>
              </w:rPr>
              <w:br w:type="textWrapping"/>
            </w:r>
            <w:r>
              <w:rPr>
                <w:rFonts w:hint="eastAsia" w:ascii="宋体" w:hAnsi="宋体" w:cs="宋体"/>
                <w:kern w:val="0"/>
                <w:sz w:val="20"/>
                <w:szCs w:val="20"/>
              </w:rPr>
              <w:t>22.冬夏季温度阀值、启停探测阀值设置：支持设备上电后进行冬夏季判断，大于设置的阈值时，判断为夏季，小于设置的阈值时，判断为冬季。设备通过检测负载的电流，并与设置的阈值作比较，判断所接负载是启动还是关闭；检测的电流大于设置的阈值，判断为启动；检测的电流小于设置的阈值，判断为关闭。</w:t>
            </w:r>
            <w:r>
              <w:rPr>
                <w:rFonts w:hint="eastAsia" w:ascii="宋体" w:hAnsi="宋体" w:cs="宋体"/>
                <w:kern w:val="0"/>
                <w:sz w:val="20"/>
                <w:szCs w:val="20"/>
              </w:rPr>
              <w:br w:type="textWrapping"/>
            </w:r>
            <w:r>
              <w:rPr>
                <w:rFonts w:hint="eastAsia" w:ascii="宋体" w:hAnsi="宋体" w:cs="宋体"/>
                <w:kern w:val="0"/>
                <w:sz w:val="20"/>
                <w:szCs w:val="20"/>
              </w:rPr>
              <w:t>23.自控采集间隔时间设置：支持开启自控模式时，采集一次温度，温度将持续保持“自控采集间隔时间”所设置的时间，之后再次采集温度，再持续保持所设置的时间。</w:t>
            </w:r>
            <w:r>
              <w:rPr>
                <w:rFonts w:hint="eastAsia" w:ascii="宋体" w:hAnsi="宋体" w:cs="宋体"/>
                <w:kern w:val="0"/>
                <w:sz w:val="20"/>
                <w:szCs w:val="20"/>
              </w:rPr>
              <w:br w:type="textWrapping"/>
            </w:r>
            <w:r>
              <w:rPr>
                <w:rFonts w:hint="eastAsia" w:ascii="宋体" w:hAnsi="宋体" w:cs="宋体"/>
                <w:kern w:val="0"/>
                <w:sz w:val="20"/>
                <w:szCs w:val="20"/>
              </w:rPr>
              <w:t>24.遥控密码设置：管理员通过密码激活遥控器，并进行使用时，并可更改设备的遥控器密码。</w:t>
            </w:r>
            <w:r>
              <w:rPr>
                <w:rFonts w:hint="eastAsia" w:ascii="宋体" w:hAnsi="宋体" w:cs="宋体"/>
                <w:kern w:val="0"/>
                <w:sz w:val="20"/>
                <w:szCs w:val="20"/>
              </w:rPr>
              <w:br w:type="textWrapping"/>
            </w:r>
            <w:r>
              <w:rPr>
                <w:rFonts w:hint="eastAsia" w:ascii="宋体" w:hAnsi="宋体" w:cs="宋体"/>
                <w:kern w:val="0"/>
                <w:sz w:val="20"/>
                <w:szCs w:val="20"/>
              </w:rPr>
              <w:t>25.自控参数设置：可开启自控模式，设备会按照所设置的自控参数进行运作；自控参数可以设置运行时段、冬夏季上下限、控制模式。</w:t>
            </w:r>
            <w:r>
              <w:rPr>
                <w:rFonts w:hint="eastAsia" w:ascii="宋体" w:hAnsi="宋体" w:cs="宋体"/>
                <w:kern w:val="0"/>
                <w:sz w:val="20"/>
                <w:szCs w:val="20"/>
              </w:rPr>
              <w:br w:type="textWrapping"/>
            </w:r>
            <w:r>
              <w:rPr>
                <w:rFonts w:hint="eastAsia" w:ascii="宋体" w:hAnsi="宋体" w:cs="宋体"/>
                <w:kern w:val="0"/>
                <w:sz w:val="20"/>
                <w:szCs w:val="20"/>
              </w:rPr>
              <w:t>26.全局设置：可设置空调温度、电压、电流报警数值，冬夏季时间段设置以及软件对设备自动信息的采集时间间隔进行设置值。</w:t>
            </w:r>
            <w:r>
              <w:rPr>
                <w:rFonts w:hint="eastAsia" w:ascii="宋体" w:hAnsi="宋体" w:cs="宋体"/>
                <w:kern w:val="0"/>
                <w:sz w:val="20"/>
                <w:szCs w:val="20"/>
              </w:rPr>
              <w:br w:type="textWrapping"/>
            </w:r>
            <w:r>
              <w:rPr>
                <w:rFonts w:hint="eastAsia" w:ascii="宋体" w:hAnsi="宋体" w:cs="宋体"/>
                <w:kern w:val="0"/>
                <w:sz w:val="20"/>
                <w:szCs w:val="20"/>
              </w:rPr>
              <w:t>27.定时/策略控制：可填写控制策略（远程根据分组、时间、温度来管理空调的开关）。可在固定时间段内、对所选固定区域空调设置温度控制策略，控制空调运行温度。</w:t>
            </w:r>
            <w:r>
              <w:rPr>
                <w:rFonts w:hint="eastAsia" w:ascii="宋体" w:hAnsi="宋体" w:cs="宋体"/>
                <w:kern w:val="0"/>
                <w:sz w:val="20"/>
                <w:szCs w:val="20"/>
              </w:rPr>
              <w:br w:type="textWrapping"/>
            </w:r>
            <w:r>
              <w:rPr>
                <w:rFonts w:hint="eastAsia" w:ascii="宋体" w:hAnsi="宋体" w:cs="宋体"/>
                <w:kern w:val="0"/>
                <w:sz w:val="20"/>
                <w:szCs w:val="20"/>
              </w:rPr>
              <w:t>▲28.统一管理平台：确保分体空调、多联机及人体传感器等设备在同一软件平台中展示、操控，并可联动运行，提升管理效率与系统整体可控性。</w:t>
            </w:r>
          </w:p>
        </w:tc>
        <w:tc>
          <w:tcPr>
            <w:tcW w:w="328" w:type="pct"/>
            <w:tcBorders>
              <w:top w:val="nil"/>
              <w:left w:val="nil"/>
              <w:bottom w:val="single" w:color="000000" w:sz="4" w:space="0"/>
              <w:right w:val="single" w:color="000000" w:sz="4" w:space="0"/>
            </w:tcBorders>
            <w:vAlign w:val="center"/>
          </w:tcPr>
          <w:p w14:paraId="5F33B572">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694" w:type="pct"/>
            <w:tcBorders>
              <w:top w:val="nil"/>
              <w:left w:val="nil"/>
              <w:bottom w:val="single" w:color="000000" w:sz="4" w:space="0"/>
              <w:right w:val="single" w:color="000000" w:sz="4" w:space="0"/>
            </w:tcBorders>
            <w:vAlign w:val="center"/>
          </w:tcPr>
          <w:p w14:paraId="5DC4C2E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1650</w:t>
            </w:r>
          </w:p>
        </w:tc>
        <w:tc>
          <w:tcPr>
            <w:tcW w:w="480" w:type="pct"/>
            <w:tcBorders>
              <w:top w:val="nil"/>
              <w:left w:val="nil"/>
              <w:bottom w:val="single" w:color="000000" w:sz="4" w:space="0"/>
              <w:right w:val="single" w:color="000000" w:sz="4" w:space="0"/>
            </w:tcBorders>
            <w:vAlign w:val="center"/>
          </w:tcPr>
          <w:p w14:paraId="6075E312">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7F886EED">
        <w:tblPrEx>
          <w:tblCellMar>
            <w:top w:w="0" w:type="dxa"/>
            <w:left w:w="108" w:type="dxa"/>
            <w:bottom w:w="0" w:type="dxa"/>
            <w:right w:w="108" w:type="dxa"/>
          </w:tblCellMar>
        </w:tblPrEx>
        <w:trPr>
          <w:trHeight w:val="3462" w:hRule="atLeast"/>
        </w:trPr>
        <w:tc>
          <w:tcPr>
            <w:tcW w:w="374" w:type="pct"/>
            <w:tcBorders>
              <w:top w:val="nil"/>
              <w:left w:val="single" w:color="000000" w:sz="4" w:space="0"/>
              <w:bottom w:val="single" w:color="000000" w:sz="4" w:space="0"/>
              <w:right w:val="single" w:color="000000" w:sz="4" w:space="0"/>
            </w:tcBorders>
            <w:vAlign w:val="center"/>
          </w:tcPr>
          <w:p w14:paraId="61C0859F">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3</w:t>
            </w:r>
          </w:p>
        </w:tc>
        <w:tc>
          <w:tcPr>
            <w:tcW w:w="685" w:type="pct"/>
            <w:tcBorders>
              <w:top w:val="nil"/>
              <w:left w:val="nil"/>
              <w:bottom w:val="single" w:color="000000" w:sz="4" w:space="0"/>
              <w:right w:val="single" w:color="000000" w:sz="4" w:space="0"/>
            </w:tcBorders>
            <w:vAlign w:val="center"/>
          </w:tcPr>
          <w:p w14:paraId="31D31CA6">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2匹及以上智能控制器</w:t>
            </w:r>
          </w:p>
        </w:tc>
        <w:tc>
          <w:tcPr>
            <w:tcW w:w="2439" w:type="pct"/>
            <w:tcBorders>
              <w:top w:val="nil"/>
              <w:left w:val="nil"/>
              <w:bottom w:val="single" w:color="000000" w:sz="4" w:space="0"/>
              <w:right w:val="single" w:color="000000" w:sz="4" w:space="0"/>
            </w:tcBorders>
            <w:vAlign w:val="center"/>
          </w:tcPr>
          <w:p w14:paraId="0AFED7C3">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基础功能：</w:t>
            </w:r>
            <w:r>
              <w:rPr>
                <w:rFonts w:hint="eastAsia" w:ascii="宋体" w:hAnsi="宋体" w:cs="宋体"/>
                <w:kern w:val="0"/>
                <w:sz w:val="20"/>
                <w:szCs w:val="20"/>
              </w:rPr>
              <w:br w:type="textWrapping"/>
            </w:r>
            <w:r>
              <w:rPr>
                <w:rFonts w:hint="eastAsia" w:ascii="宋体" w:hAnsi="宋体" w:cs="宋体"/>
                <w:kern w:val="0"/>
                <w:sz w:val="20"/>
                <w:szCs w:val="20"/>
              </w:rPr>
              <w:t>1.红外控制：可红外控制空调运行，通过云端的码库、设备自学习红外指令，使用管理遥控器或者后台运用软件/app控制空调的各种运行模式。</w:t>
            </w:r>
            <w:r>
              <w:rPr>
                <w:rFonts w:hint="eastAsia" w:ascii="宋体" w:hAnsi="宋体" w:cs="宋体"/>
                <w:kern w:val="0"/>
                <w:sz w:val="20"/>
                <w:szCs w:val="20"/>
              </w:rPr>
              <w:br w:type="textWrapping"/>
            </w:r>
            <w:r>
              <w:rPr>
                <w:rFonts w:hint="eastAsia" w:ascii="宋体" w:hAnsi="宋体" w:cs="宋体"/>
                <w:kern w:val="0"/>
                <w:sz w:val="20"/>
                <w:szCs w:val="20"/>
              </w:rPr>
              <w:t>2.通断电强制控制：可在达到设定条件时，控制空调电源通断电对空调运行状态进行控制。</w:t>
            </w:r>
            <w:r>
              <w:rPr>
                <w:rFonts w:hint="eastAsia" w:ascii="宋体" w:hAnsi="宋体" w:cs="宋体"/>
                <w:kern w:val="0"/>
                <w:sz w:val="20"/>
                <w:szCs w:val="20"/>
              </w:rPr>
              <w:br w:type="textWrapping"/>
            </w:r>
            <w:r>
              <w:rPr>
                <w:rFonts w:hint="eastAsia" w:ascii="宋体" w:hAnsi="宋体" w:cs="宋体"/>
                <w:kern w:val="0"/>
                <w:sz w:val="20"/>
                <w:szCs w:val="20"/>
              </w:rPr>
              <w:t>3.温度接口：可对环境温度进行监测。</w:t>
            </w:r>
            <w:r>
              <w:rPr>
                <w:rFonts w:hint="eastAsia" w:ascii="宋体" w:hAnsi="宋体" w:cs="宋体"/>
                <w:kern w:val="0"/>
                <w:sz w:val="20"/>
                <w:szCs w:val="20"/>
              </w:rPr>
              <w:br w:type="textWrapping"/>
            </w:r>
            <w:r>
              <w:rPr>
                <w:rFonts w:hint="eastAsia" w:ascii="宋体" w:hAnsi="宋体" w:cs="宋体"/>
                <w:kern w:val="0"/>
                <w:sz w:val="20"/>
                <w:szCs w:val="20"/>
              </w:rPr>
              <w:t>4.电压、电流、功率信息采集：可接入的空调的电压、电流、功率信息。</w:t>
            </w:r>
            <w:r>
              <w:rPr>
                <w:rFonts w:hint="eastAsia" w:ascii="宋体" w:hAnsi="宋体" w:cs="宋体"/>
                <w:kern w:val="0"/>
                <w:sz w:val="20"/>
                <w:szCs w:val="20"/>
              </w:rPr>
              <w:br w:type="textWrapping"/>
            </w:r>
            <w:r>
              <w:rPr>
                <w:rFonts w:hint="eastAsia" w:ascii="宋体" w:hAnsi="宋体" w:cs="宋体"/>
                <w:kern w:val="0"/>
                <w:sz w:val="20"/>
                <w:szCs w:val="20"/>
              </w:rPr>
              <w:t>5.电量、空调运行时长统计：可自动统计空调消耗的累计电量信息，运行时长信息。</w:t>
            </w:r>
            <w:r>
              <w:rPr>
                <w:rFonts w:hint="eastAsia" w:ascii="宋体" w:hAnsi="宋体" w:cs="宋体"/>
                <w:kern w:val="0"/>
                <w:sz w:val="20"/>
                <w:szCs w:val="20"/>
              </w:rPr>
              <w:br w:type="textWrapping"/>
            </w:r>
            <w:r>
              <w:rPr>
                <w:rFonts w:hint="eastAsia" w:ascii="宋体" w:hAnsi="宋体" w:cs="宋体"/>
                <w:kern w:val="0"/>
                <w:sz w:val="20"/>
                <w:szCs w:val="20"/>
              </w:rPr>
              <w:t>6.实时时钟功能：可通过实时时钟进行时间自动控制、时长统计功能。</w:t>
            </w:r>
            <w:r>
              <w:rPr>
                <w:rFonts w:hint="eastAsia" w:ascii="宋体" w:hAnsi="宋体" w:cs="宋体"/>
                <w:kern w:val="0"/>
                <w:sz w:val="20"/>
                <w:szCs w:val="20"/>
              </w:rPr>
              <w:br w:type="textWrapping"/>
            </w:r>
            <w:r>
              <w:rPr>
                <w:rFonts w:hint="eastAsia" w:ascii="宋体" w:hAnsi="宋体" w:cs="宋体"/>
                <w:kern w:val="0"/>
                <w:sz w:val="20"/>
                <w:szCs w:val="20"/>
              </w:rPr>
              <w:t>7.实时采集环境信息功能：支持采集环境温度、房间有无人状态.</w:t>
            </w:r>
            <w:r>
              <w:rPr>
                <w:rFonts w:hint="eastAsia" w:ascii="宋体" w:hAnsi="宋体" w:cs="宋体"/>
                <w:kern w:val="0"/>
                <w:sz w:val="20"/>
                <w:szCs w:val="20"/>
              </w:rPr>
              <w:br w:type="textWrapping"/>
            </w:r>
            <w:r>
              <w:rPr>
                <w:rFonts w:hint="eastAsia" w:ascii="宋体" w:hAnsi="宋体" w:cs="宋体"/>
                <w:kern w:val="0"/>
                <w:sz w:val="20"/>
                <w:szCs w:val="20"/>
              </w:rPr>
              <w:t>8.红外学习：可学习红外控制空调的码值信息，并通过学习的码值对空调控制。</w:t>
            </w:r>
            <w:r>
              <w:rPr>
                <w:rFonts w:hint="eastAsia" w:ascii="宋体" w:hAnsi="宋体" w:cs="宋体"/>
                <w:kern w:val="0"/>
                <w:sz w:val="20"/>
                <w:szCs w:val="20"/>
              </w:rPr>
              <w:br w:type="textWrapping"/>
            </w:r>
            <w:r>
              <w:rPr>
                <w:rFonts w:hint="eastAsia" w:ascii="宋体" w:hAnsi="宋体" w:cs="宋体"/>
                <w:kern w:val="0"/>
                <w:sz w:val="20"/>
                <w:szCs w:val="20"/>
              </w:rPr>
              <w:t>9.红外、通断电控制空调运行：可通过红外、通断电控制空调运行状态。</w:t>
            </w:r>
            <w:r>
              <w:rPr>
                <w:rFonts w:hint="eastAsia" w:ascii="宋体" w:hAnsi="宋体" w:cs="宋体"/>
                <w:kern w:val="0"/>
                <w:sz w:val="20"/>
                <w:szCs w:val="20"/>
              </w:rPr>
              <w:br w:type="textWrapping"/>
            </w:r>
            <w:r>
              <w:rPr>
                <w:rFonts w:hint="eastAsia" w:ascii="宋体" w:hAnsi="宋体" w:cs="宋体"/>
                <w:kern w:val="0"/>
                <w:sz w:val="20"/>
                <w:szCs w:val="20"/>
              </w:rPr>
              <w:t>10.数码管、指示灯显示信息：支持设备上数码管实时显示设备采集的温度、可用电量信息，指示灯提示设备运行状态。</w:t>
            </w:r>
            <w:r>
              <w:rPr>
                <w:rFonts w:hint="eastAsia" w:ascii="宋体" w:hAnsi="宋体" w:cs="宋体"/>
                <w:kern w:val="0"/>
                <w:sz w:val="20"/>
                <w:szCs w:val="20"/>
              </w:rPr>
              <w:br w:type="textWrapping"/>
            </w:r>
            <w:r>
              <w:rPr>
                <w:rFonts w:hint="eastAsia" w:ascii="宋体" w:hAnsi="宋体" w:cs="宋体"/>
                <w:kern w:val="0"/>
                <w:sz w:val="20"/>
                <w:szCs w:val="20"/>
              </w:rPr>
              <w:t>11.蜂鸣器功能：设备上具有蜂鸣器提示功能，用于操作响应及报警辅助。</w:t>
            </w:r>
            <w:r>
              <w:rPr>
                <w:rFonts w:hint="eastAsia" w:ascii="宋体" w:hAnsi="宋体" w:cs="宋体"/>
                <w:kern w:val="0"/>
                <w:sz w:val="20"/>
                <w:szCs w:val="20"/>
              </w:rPr>
              <w:br w:type="textWrapping"/>
            </w:r>
            <w:r>
              <w:rPr>
                <w:rFonts w:hint="eastAsia" w:ascii="宋体" w:hAnsi="宋体" w:cs="宋体"/>
                <w:kern w:val="0"/>
                <w:sz w:val="20"/>
                <w:szCs w:val="20"/>
              </w:rPr>
              <w:t>12.多种通信格式兼容：可通过RS485、LORA、4G等多种接口连接局域网并可通过MQTT连接云平台。</w:t>
            </w:r>
            <w:r>
              <w:rPr>
                <w:rFonts w:hint="eastAsia" w:ascii="宋体" w:hAnsi="宋体" w:cs="宋体"/>
                <w:kern w:val="0"/>
                <w:sz w:val="20"/>
                <w:szCs w:val="20"/>
              </w:rPr>
              <w:br w:type="textWrapping"/>
            </w:r>
            <w:r>
              <w:rPr>
                <w:rFonts w:hint="eastAsia" w:ascii="宋体" w:hAnsi="宋体" w:cs="宋体"/>
                <w:kern w:val="0"/>
                <w:sz w:val="20"/>
                <w:szCs w:val="20"/>
              </w:rPr>
              <w:t>▲13.确保无网环境下，无需学习红外码值，设备仍能应用自带的红外码库自动或手动匹配空调，实现精准控制，满足全天候使用需求。</w:t>
            </w:r>
            <w:r>
              <w:rPr>
                <w:rFonts w:hint="eastAsia" w:ascii="宋体" w:hAnsi="宋体" w:cs="宋体"/>
                <w:kern w:val="0"/>
                <w:sz w:val="20"/>
                <w:szCs w:val="20"/>
              </w:rPr>
              <w:br w:type="textWrapping"/>
            </w:r>
            <w:r>
              <w:rPr>
                <w:rFonts w:hint="eastAsia" w:ascii="宋体" w:hAnsi="宋体" w:cs="宋体"/>
                <w:kern w:val="0"/>
                <w:sz w:val="20"/>
                <w:szCs w:val="20"/>
              </w:rPr>
              <w:t>14.用电参数可查询：支持电压、电流、功率、电量、运行时长、可用电量、剩余电量、每月固定额度等信息存储在设备上，并可通过接口读取、设置。</w:t>
            </w:r>
            <w:r>
              <w:rPr>
                <w:rFonts w:hint="eastAsia" w:ascii="宋体" w:hAnsi="宋体" w:cs="宋体"/>
                <w:kern w:val="0"/>
                <w:sz w:val="20"/>
                <w:szCs w:val="20"/>
              </w:rPr>
              <w:br w:type="textWrapping"/>
            </w:r>
            <w:r>
              <w:rPr>
                <w:rFonts w:hint="eastAsia" w:ascii="宋体" w:hAnsi="宋体" w:cs="宋体"/>
                <w:kern w:val="0"/>
                <w:sz w:val="20"/>
                <w:szCs w:val="20"/>
              </w:rPr>
              <w:t>15.外延式温度传感器：为保证采集的环境温度的精准性采用外延式温度传感器。</w:t>
            </w:r>
            <w:r>
              <w:rPr>
                <w:rFonts w:hint="eastAsia" w:ascii="宋体" w:hAnsi="宋体" w:cs="宋体"/>
                <w:kern w:val="0"/>
                <w:sz w:val="20"/>
                <w:szCs w:val="20"/>
              </w:rPr>
              <w:br w:type="textWrapping"/>
            </w:r>
            <w:r>
              <w:rPr>
                <w:rFonts w:hint="eastAsia" w:ascii="宋体" w:hAnsi="宋体" w:cs="宋体"/>
                <w:kern w:val="0"/>
                <w:sz w:val="20"/>
                <w:szCs w:val="20"/>
              </w:rPr>
              <w:t>16.红外发射头：可根据现场环境情况采用内置大功率红外发射头或外延式红外发射头。</w:t>
            </w:r>
            <w:r>
              <w:rPr>
                <w:rFonts w:hint="eastAsia" w:ascii="宋体" w:hAnsi="宋体" w:cs="宋体"/>
                <w:kern w:val="0"/>
                <w:sz w:val="20"/>
                <w:szCs w:val="20"/>
              </w:rPr>
              <w:br w:type="textWrapping"/>
            </w:r>
            <w:r>
              <w:rPr>
                <w:rFonts w:hint="eastAsia" w:ascii="宋体" w:hAnsi="宋体" w:cs="宋体"/>
                <w:kern w:val="0"/>
                <w:sz w:val="20"/>
                <w:szCs w:val="20"/>
              </w:rPr>
              <w:t>17.手机端控制：可远程手动开关空调、远程调节空调温度、等等。</w:t>
            </w:r>
            <w:r>
              <w:rPr>
                <w:rFonts w:hint="eastAsia" w:ascii="宋体" w:hAnsi="宋体" w:cs="宋体"/>
                <w:kern w:val="0"/>
                <w:sz w:val="20"/>
                <w:szCs w:val="20"/>
              </w:rPr>
              <w:br w:type="textWrapping"/>
            </w:r>
            <w:r>
              <w:rPr>
                <w:rFonts w:hint="eastAsia" w:ascii="宋体" w:hAnsi="宋体" w:cs="宋体"/>
                <w:kern w:val="0"/>
                <w:sz w:val="20"/>
                <w:szCs w:val="20"/>
              </w:rPr>
              <w:t>智能节能功能：</w:t>
            </w:r>
            <w:r>
              <w:rPr>
                <w:rFonts w:hint="eastAsia" w:ascii="宋体" w:hAnsi="宋体" w:cs="宋体"/>
                <w:kern w:val="0"/>
                <w:sz w:val="20"/>
                <w:szCs w:val="20"/>
              </w:rPr>
              <w:br w:type="textWrapping"/>
            </w:r>
            <w:r>
              <w:rPr>
                <w:rFonts w:hint="eastAsia" w:ascii="宋体" w:hAnsi="宋体" w:cs="宋体"/>
                <w:kern w:val="0"/>
                <w:sz w:val="20"/>
                <w:szCs w:val="20"/>
              </w:rPr>
              <w:t>1.智能光感控制：可检测光照度情况，并在光照较低时自动关闭数码管指示灯。</w:t>
            </w:r>
            <w:r>
              <w:rPr>
                <w:rFonts w:hint="eastAsia" w:ascii="宋体" w:hAnsi="宋体" w:cs="宋体"/>
                <w:kern w:val="0"/>
                <w:sz w:val="20"/>
                <w:szCs w:val="20"/>
              </w:rPr>
              <w:br w:type="textWrapping"/>
            </w:r>
            <w:r>
              <w:rPr>
                <w:rFonts w:hint="eastAsia" w:ascii="宋体" w:hAnsi="宋体" w:cs="宋体"/>
                <w:kern w:val="0"/>
                <w:sz w:val="20"/>
                <w:szCs w:val="20"/>
              </w:rPr>
              <w:t>2.智能时间控制：可设置一周7天、一天10个时间段（总共70个时间段）的差异化智能控制，可设置限制空调开启使用、空调使用条件、以及限制温度点等信息。</w:t>
            </w:r>
            <w:r>
              <w:rPr>
                <w:rFonts w:hint="eastAsia" w:ascii="宋体" w:hAnsi="宋体" w:cs="宋体"/>
                <w:kern w:val="0"/>
                <w:sz w:val="20"/>
                <w:szCs w:val="20"/>
              </w:rPr>
              <w:br w:type="textWrapping"/>
            </w:r>
            <w:r>
              <w:rPr>
                <w:rFonts w:hint="eastAsia" w:ascii="宋体" w:hAnsi="宋体" w:cs="宋体"/>
                <w:kern w:val="0"/>
                <w:sz w:val="20"/>
                <w:szCs w:val="20"/>
              </w:rPr>
              <w:t>3.智能温度控制：可预设温度上限值，下限值。</w:t>
            </w:r>
            <w:r>
              <w:rPr>
                <w:rFonts w:hint="eastAsia" w:ascii="宋体" w:hAnsi="宋体" w:cs="宋体"/>
                <w:kern w:val="0"/>
                <w:sz w:val="20"/>
                <w:szCs w:val="20"/>
              </w:rPr>
              <w:br w:type="textWrapping"/>
            </w:r>
            <w:r>
              <w:rPr>
                <w:rFonts w:hint="eastAsia" w:ascii="宋体" w:hAnsi="宋体" w:cs="宋体"/>
                <w:kern w:val="0"/>
                <w:sz w:val="20"/>
                <w:szCs w:val="20"/>
              </w:rPr>
              <w:t>4.智能冬夏季模式切换：可手动或者自动切换夏冬季模式；</w:t>
            </w:r>
            <w:r>
              <w:rPr>
                <w:rFonts w:hint="eastAsia" w:ascii="宋体" w:hAnsi="宋体" w:cs="宋体"/>
                <w:kern w:val="0"/>
                <w:sz w:val="20"/>
                <w:szCs w:val="20"/>
              </w:rPr>
              <w:br w:type="textWrapping"/>
            </w:r>
            <w:r>
              <w:rPr>
                <w:rFonts w:hint="eastAsia" w:ascii="宋体" w:hAnsi="宋体" w:cs="宋体"/>
                <w:kern w:val="0"/>
                <w:sz w:val="20"/>
                <w:szCs w:val="20"/>
              </w:rPr>
              <w:t>5.智能二级限控联合控制：支持控制器自动发送红外指令控制空调（一级限控功能），控制器启动强制控制功能（二级限控）强制切断空调电源。</w:t>
            </w:r>
            <w:r>
              <w:rPr>
                <w:rFonts w:hint="eastAsia" w:ascii="宋体" w:hAnsi="宋体" w:cs="宋体"/>
                <w:kern w:val="0"/>
                <w:sz w:val="20"/>
                <w:szCs w:val="20"/>
              </w:rPr>
              <w:br w:type="textWrapping"/>
            </w:r>
            <w:r>
              <w:rPr>
                <w:rFonts w:hint="eastAsia" w:ascii="宋体" w:hAnsi="宋体" w:cs="宋体"/>
                <w:kern w:val="0"/>
                <w:sz w:val="20"/>
                <w:szCs w:val="20"/>
              </w:rPr>
              <w:t>6.智能节能控制：可对空调的应用条件（时间条件、温度条件）进行控制，并智能监督管理空调使用。</w:t>
            </w:r>
            <w:r>
              <w:rPr>
                <w:rFonts w:hint="eastAsia" w:ascii="宋体" w:hAnsi="宋体" w:cs="宋体"/>
                <w:kern w:val="0"/>
                <w:sz w:val="20"/>
                <w:szCs w:val="20"/>
              </w:rPr>
              <w:br w:type="textWrapping"/>
            </w:r>
            <w:r>
              <w:rPr>
                <w:rFonts w:hint="eastAsia" w:ascii="宋体" w:hAnsi="宋体" w:cs="宋体"/>
                <w:kern w:val="0"/>
                <w:sz w:val="20"/>
                <w:szCs w:val="20"/>
              </w:rPr>
              <w:t>7.智能破坏报警：支持温度传感器被破坏后，设备发出蜂鸣声报警，并通过通信告诉上位机。</w:t>
            </w:r>
            <w:r>
              <w:rPr>
                <w:rFonts w:hint="eastAsia" w:ascii="宋体" w:hAnsi="宋体" w:cs="宋体"/>
                <w:kern w:val="0"/>
                <w:sz w:val="20"/>
                <w:szCs w:val="20"/>
              </w:rPr>
              <w:br w:type="textWrapping"/>
            </w:r>
            <w:r>
              <w:rPr>
                <w:rFonts w:hint="eastAsia" w:ascii="宋体" w:hAnsi="宋体" w:cs="宋体"/>
                <w:kern w:val="0"/>
                <w:sz w:val="20"/>
                <w:szCs w:val="20"/>
              </w:rPr>
              <w:t>8.红外/强制断电联动功能：支持强制电源控制及红外控制的联动控制，在切断空调电源时，需要先发送红外指令关闭空调，在一定时长（时长可设置）后切断空调电源。</w:t>
            </w:r>
            <w:r>
              <w:rPr>
                <w:rFonts w:hint="eastAsia" w:ascii="宋体" w:hAnsi="宋体" w:cs="宋体"/>
                <w:kern w:val="0"/>
                <w:sz w:val="20"/>
                <w:szCs w:val="20"/>
              </w:rPr>
              <w:br w:type="textWrapping"/>
            </w:r>
            <w:r>
              <w:rPr>
                <w:rFonts w:hint="eastAsia" w:ascii="宋体" w:hAnsi="宋体" w:cs="宋体"/>
                <w:kern w:val="0"/>
                <w:sz w:val="20"/>
                <w:szCs w:val="20"/>
              </w:rPr>
              <w:t>9.自动控制功能离线运行：支持智能控制参数均写入设备上的EEPROM上，设备离线状态时可以根据设定的自控参数，智能执行。</w:t>
            </w:r>
            <w:r>
              <w:rPr>
                <w:rFonts w:hint="eastAsia" w:ascii="宋体" w:hAnsi="宋体" w:cs="宋体"/>
                <w:kern w:val="0"/>
                <w:sz w:val="20"/>
                <w:szCs w:val="20"/>
              </w:rPr>
              <w:br w:type="textWrapping"/>
            </w:r>
            <w:r>
              <w:rPr>
                <w:rFonts w:hint="eastAsia" w:ascii="宋体" w:hAnsi="宋体" w:cs="宋体"/>
                <w:kern w:val="0"/>
                <w:sz w:val="20"/>
                <w:szCs w:val="20"/>
              </w:rPr>
              <w:t>实用性：</w:t>
            </w:r>
            <w:r>
              <w:rPr>
                <w:rFonts w:hint="eastAsia" w:ascii="宋体" w:hAnsi="宋体" w:cs="宋体"/>
                <w:kern w:val="0"/>
                <w:sz w:val="20"/>
                <w:szCs w:val="20"/>
              </w:rPr>
              <w:br w:type="textWrapping"/>
            </w:r>
            <w:r>
              <w:rPr>
                <w:rFonts w:hint="eastAsia" w:ascii="宋体" w:hAnsi="宋体" w:cs="宋体"/>
                <w:kern w:val="0"/>
                <w:sz w:val="20"/>
                <w:szCs w:val="20"/>
              </w:rPr>
              <w:t>1. 用电管理功能：支持设备用电管理功能，主要包括：1.可设定每月自动固定充值额度电量；2.可对设备进行可用电量充值及撤销充值操作；3.电量用完自动限制空调使用；4.用电管理功能可开关。</w:t>
            </w:r>
            <w:r>
              <w:rPr>
                <w:rFonts w:hint="eastAsia" w:ascii="宋体" w:hAnsi="宋体" w:cs="宋体"/>
                <w:kern w:val="0"/>
                <w:sz w:val="20"/>
                <w:szCs w:val="20"/>
              </w:rPr>
              <w:br w:type="textWrapping"/>
            </w:r>
            <w:r>
              <w:rPr>
                <w:rFonts w:hint="eastAsia" w:ascii="宋体" w:hAnsi="宋体" w:cs="宋体"/>
                <w:kern w:val="0"/>
                <w:sz w:val="20"/>
                <w:szCs w:val="20"/>
              </w:rPr>
              <w:t>2.剩余电量显示：可为设备进行用电量的预充值，设备数码管显示剩余电量，用户可以实时查看剩余可用电量。</w:t>
            </w:r>
            <w:r>
              <w:rPr>
                <w:rFonts w:hint="eastAsia" w:ascii="宋体" w:hAnsi="宋体" w:cs="宋体"/>
                <w:kern w:val="0"/>
                <w:sz w:val="20"/>
                <w:szCs w:val="20"/>
              </w:rPr>
              <w:br w:type="textWrapping"/>
            </w:r>
            <w:r>
              <w:rPr>
                <w:rFonts w:hint="eastAsia" w:ascii="宋体" w:hAnsi="宋体" w:cs="宋体"/>
                <w:kern w:val="0"/>
                <w:sz w:val="20"/>
                <w:szCs w:val="20"/>
              </w:rPr>
              <w:t>▲3.管理员遥控功能：可通过遥控器对设备进行现场配置，并控制设备运行。</w:t>
            </w:r>
            <w:r>
              <w:rPr>
                <w:rFonts w:hint="eastAsia" w:ascii="宋体" w:hAnsi="宋体" w:cs="宋体"/>
                <w:kern w:val="0"/>
                <w:sz w:val="20"/>
                <w:szCs w:val="20"/>
              </w:rPr>
              <w:br w:type="textWrapping"/>
            </w:r>
            <w:r>
              <w:rPr>
                <w:rFonts w:hint="eastAsia" w:ascii="宋体" w:hAnsi="宋体" w:cs="宋体"/>
                <w:kern w:val="0"/>
                <w:sz w:val="20"/>
                <w:szCs w:val="20"/>
              </w:rPr>
              <w:t>▲4.远程固件升级：可通过远程通信接口对设备进行批量升级。</w:t>
            </w:r>
            <w:r>
              <w:rPr>
                <w:rFonts w:hint="eastAsia" w:ascii="宋体" w:hAnsi="宋体" w:cs="宋体"/>
                <w:kern w:val="0"/>
                <w:sz w:val="20"/>
                <w:szCs w:val="20"/>
              </w:rPr>
              <w:br w:type="textWrapping"/>
            </w:r>
            <w:r>
              <w:rPr>
                <w:rFonts w:hint="eastAsia" w:ascii="宋体" w:hAnsi="宋体" w:cs="宋体"/>
                <w:kern w:val="0"/>
                <w:sz w:val="20"/>
                <w:szCs w:val="20"/>
              </w:rPr>
              <w:t>▲5.无负载报警功能：当控制器插头被拔掉时，控制器可把当前负载状态实时反馈到上位机。</w:t>
            </w:r>
            <w:r>
              <w:rPr>
                <w:rFonts w:hint="eastAsia" w:ascii="宋体" w:hAnsi="宋体" w:cs="宋体"/>
                <w:kern w:val="0"/>
                <w:sz w:val="20"/>
                <w:szCs w:val="20"/>
              </w:rPr>
              <w:br w:type="textWrapping"/>
            </w:r>
            <w:r>
              <w:rPr>
                <w:rFonts w:hint="eastAsia" w:ascii="宋体" w:hAnsi="宋体" w:cs="宋体"/>
                <w:kern w:val="0"/>
                <w:sz w:val="20"/>
                <w:szCs w:val="20"/>
              </w:rPr>
              <w:t>拓展性：</w:t>
            </w:r>
            <w:r>
              <w:rPr>
                <w:rFonts w:hint="eastAsia" w:ascii="宋体" w:hAnsi="宋体" w:cs="宋体"/>
                <w:kern w:val="0"/>
                <w:sz w:val="20"/>
                <w:szCs w:val="20"/>
              </w:rPr>
              <w:br w:type="textWrapping"/>
            </w:r>
            <w:r>
              <w:rPr>
                <w:rFonts w:hint="eastAsia" w:ascii="宋体" w:hAnsi="宋体" w:cs="宋体"/>
                <w:kern w:val="0"/>
                <w:sz w:val="20"/>
                <w:szCs w:val="20"/>
              </w:rPr>
              <w:t>1.可预留门磁或红外接口（二选一）方便后期做功能扩展。</w:t>
            </w:r>
            <w:r>
              <w:rPr>
                <w:rFonts w:hint="eastAsia" w:ascii="宋体" w:hAnsi="宋体" w:cs="宋体"/>
                <w:kern w:val="0"/>
                <w:sz w:val="20"/>
                <w:szCs w:val="20"/>
              </w:rPr>
              <w:br w:type="textWrapping"/>
            </w:r>
            <w:r>
              <w:rPr>
                <w:rFonts w:hint="eastAsia" w:ascii="宋体" w:hAnsi="宋体" w:cs="宋体"/>
                <w:kern w:val="0"/>
                <w:sz w:val="20"/>
                <w:szCs w:val="20"/>
              </w:rPr>
              <w:t>2.预留性能监测模块接口方便后期做功能扩展。</w:t>
            </w:r>
            <w:r>
              <w:rPr>
                <w:rFonts w:hint="eastAsia" w:ascii="宋体" w:hAnsi="宋体" w:cs="宋体"/>
                <w:kern w:val="0"/>
                <w:sz w:val="20"/>
                <w:szCs w:val="20"/>
              </w:rPr>
              <w:br w:type="textWrapping"/>
            </w:r>
            <w:r>
              <w:rPr>
                <w:rFonts w:hint="eastAsia" w:ascii="宋体" w:hAnsi="宋体" w:cs="宋体"/>
                <w:kern w:val="0"/>
                <w:sz w:val="20"/>
                <w:szCs w:val="20"/>
              </w:rPr>
              <w:t>安全性：</w:t>
            </w:r>
            <w:r>
              <w:rPr>
                <w:rFonts w:hint="eastAsia" w:ascii="宋体" w:hAnsi="宋体" w:cs="宋体"/>
                <w:kern w:val="0"/>
                <w:sz w:val="20"/>
                <w:szCs w:val="20"/>
              </w:rPr>
              <w:br w:type="textWrapping"/>
            </w:r>
            <w:r>
              <w:rPr>
                <w:rFonts w:hint="eastAsia" w:ascii="宋体" w:hAnsi="宋体" w:cs="宋体"/>
                <w:kern w:val="0"/>
                <w:sz w:val="20"/>
                <w:szCs w:val="20"/>
              </w:rPr>
              <w:t>1.电器电机负载（感性负载）控制能力可达5HP。</w:t>
            </w:r>
            <w:r>
              <w:rPr>
                <w:rFonts w:hint="eastAsia" w:ascii="宋体" w:hAnsi="宋体" w:cs="宋体"/>
                <w:kern w:val="0"/>
                <w:sz w:val="20"/>
                <w:szCs w:val="20"/>
              </w:rPr>
              <w:br w:type="textWrapping"/>
            </w:r>
            <w:r>
              <w:rPr>
                <w:rFonts w:hint="eastAsia" w:ascii="宋体" w:hAnsi="宋体" w:cs="宋体"/>
                <w:kern w:val="0"/>
                <w:sz w:val="20"/>
                <w:szCs w:val="20"/>
              </w:rPr>
              <w:t>产品资质：</w:t>
            </w:r>
            <w:r>
              <w:rPr>
                <w:rFonts w:hint="eastAsia" w:ascii="宋体" w:hAnsi="宋体" w:cs="宋体"/>
                <w:kern w:val="0"/>
                <w:sz w:val="20"/>
                <w:szCs w:val="20"/>
              </w:rPr>
              <w:br w:type="textWrapping"/>
            </w:r>
            <w:r>
              <w:rPr>
                <w:rFonts w:hint="eastAsia" w:ascii="宋体" w:hAnsi="宋体" w:cs="宋体"/>
                <w:kern w:val="0"/>
                <w:sz w:val="20"/>
                <w:szCs w:val="20"/>
              </w:rPr>
              <w:t>▲1.设备抗干扰等级：3级（IEC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2.产品质量检测报告</w:t>
            </w:r>
            <w:r>
              <w:rPr>
                <w:rFonts w:hint="eastAsia" w:ascii="宋体" w:hAnsi="宋体" w:cs="宋体"/>
                <w:kern w:val="0"/>
                <w:sz w:val="20"/>
                <w:szCs w:val="20"/>
              </w:rPr>
              <w:br w:type="textWrapping"/>
            </w:r>
            <w:r>
              <w:rPr>
                <w:rFonts w:hint="eastAsia" w:ascii="宋体" w:hAnsi="宋体" w:cs="宋体"/>
                <w:kern w:val="0"/>
                <w:sz w:val="20"/>
                <w:szCs w:val="20"/>
              </w:rPr>
              <w:t>基本参数：</w:t>
            </w:r>
            <w:r>
              <w:rPr>
                <w:rFonts w:hint="eastAsia" w:ascii="宋体" w:hAnsi="宋体" w:cs="宋体"/>
                <w:kern w:val="0"/>
                <w:sz w:val="20"/>
                <w:szCs w:val="20"/>
              </w:rPr>
              <w:br w:type="textWrapping"/>
            </w:r>
            <w:r>
              <w:rPr>
                <w:rFonts w:hint="eastAsia" w:ascii="宋体" w:hAnsi="宋体" w:cs="宋体"/>
                <w:kern w:val="0"/>
                <w:sz w:val="20"/>
                <w:szCs w:val="20"/>
              </w:rPr>
              <w:t>1.安装方式：线式。</w:t>
            </w:r>
            <w:r>
              <w:rPr>
                <w:rFonts w:hint="eastAsia" w:ascii="宋体" w:hAnsi="宋体" w:cs="宋体"/>
                <w:kern w:val="0"/>
                <w:sz w:val="20"/>
                <w:szCs w:val="20"/>
              </w:rPr>
              <w:br w:type="textWrapping"/>
            </w:r>
            <w:r>
              <w:rPr>
                <w:rFonts w:hint="eastAsia" w:ascii="宋体" w:hAnsi="宋体" w:cs="宋体"/>
                <w:kern w:val="0"/>
                <w:sz w:val="20"/>
                <w:szCs w:val="20"/>
              </w:rPr>
              <w:t>2.工作温度：-15℃~60℃。</w:t>
            </w:r>
            <w:r>
              <w:rPr>
                <w:rFonts w:hint="eastAsia" w:ascii="宋体" w:hAnsi="宋体" w:cs="宋体"/>
                <w:kern w:val="0"/>
                <w:sz w:val="20"/>
                <w:szCs w:val="20"/>
              </w:rPr>
              <w:br w:type="textWrapping"/>
            </w:r>
            <w:r>
              <w:rPr>
                <w:rFonts w:hint="eastAsia" w:ascii="宋体" w:hAnsi="宋体" w:cs="宋体"/>
                <w:kern w:val="0"/>
                <w:sz w:val="20"/>
                <w:szCs w:val="20"/>
              </w:rPr>
              <w:t>3.工作湿度：10％到95％(无凝露)。</w:t>
            </w:r>
            <w:r>
              <w:rPr>
                <w:rFonts w:hint="eastAsia" w:ascii="宋体" w:hAnsi="宋体" w:cs="宋体"/>
                <w:kern w:val="0"/>
                <w:sz w:val="20"/>
                <w:szCs w:val="20"/>
              </w:rPr>
              <w:br w:type="textWrapping"/>
            </w:r>
            <w:r>
              <w:rPr>
                <w:rFonts w:hint="eastAsia" w:ascii="宋体" w:hAnsi="宋体" w:cs="宋体"/>
                <w:kern w:val="0"/>
                <w:sz w:val="20"/>
                <w:szCs w:val="20"/>
              </w:rPr>
              <w:t>4.红外载波频率：38KHZ。</w:t>
            </w:r>
            <w:r>
              <w:rPr>
                <w:rFonts w:hint="eastAsia" w:ascii="宋体" w:hAnsi="宋体" w:cs="宋体"/>
                <w:kern w:val="0"/>
                <w:sz w:val="20"/>
                <w:szCs w:val="20"/>
              </w:rPr>
              <w:br w:type="textWrapping"/>
            </w:r>
            <w:r>
              <w:rPr>
                <w:rFonts w:hint="eastAsia" w:ascii="宋体" w:hAnsi="宋体" w:cs="宋体"/>
                <w:kern w:val="0"/>
                <w:sz w:val="20"/>
                <w:szCs w:val="20"/>
              </w:rPr>
              <w:t>5.继电器额定电流：24A。</w:t>
            </w:r>
            <w:r>
              <w:rPr>
                <w:rFonts w:hint="eastAsia" w:ascii="宋体" w:hAnsi="宋体" w:cs="宋体"/>
                <w:kern w:val="0"/>
                <w:sz w:val="20"/>
                <w:szCs w:val="20"/>
              </w:rPr>
              <w:br w:type="textWrapping"/>
            </w:r>
            <w:r>
              <w:rPr>
                <w:rFonts w:hint="eastAsia" w:ascii="宋体" w:hAnsi="宋体" w:cs="宋体"/>
                <w:kern w:val="0"/>
                <w:sz w:val="20"/>
                <w:szCs w:val="20"/>
              </w:rPr>
              <w:t>6.继电器额定电压：220V。</w:t>
            </w:r>
            <w:r>
              <w:rPr>
                <w:rFonts w:hint="eastAsia" w:ascii="宋体" w:hAnsi="宋体" w:cs="宋体"/>
                <w:kern w:val="0"/>
                <w:sz w:val="20"/>
                <w:szCs w:val="20"/>
              </w:rPr>
              <w:br w:type="textWrapping"/>
            </w:r>
            <w:r>
              <w:rPr>
                <w:rFonts w:hint="eastAsia" w:ascii="宋体" w:hAnsi="宋体" w:cs="宋体"/>
                <w:kern w:val="0"/>
                <w:sz w:val="20"/>
                <w:szCs w:val="20"/>
              </w:rPr>
              <w:t>7.通讯方式：无线4G通讯。</w:t>
            </w:r>
            <w:r>
              <w:rPr>
                <w:rFonts w:hint="eastAsia" w:ascii="宋体" w:hAnsi="宋体" w:cs="宋体"/>
                <w:kern w:val="0"/>
                <w:sz w:val="20"/>
                <w:szCs w:val="20"/>
              </w:rPr>
              <w:br w:type="textWrapping"/>
            </w:r>
            <w:r>
              <w:rPr>
                <w:rFonts w:hint="eastAsia" w:ascii="宋体" w:hAnsi="宋体" w:cs="宋体"/>
                <w:kern w:val="0"/>
                <w:sz w:val="20"/>
                <w:szCs w:val="20"/>
              </w:rPr>
              <w:t>8.控制方式：继电器通断输出控制，红外遥控码值发射控制。</w:t>
            </w:r>
            <w:r>
              <w:rPr>
                <w:rFonts w:hint="eastAsia" w:ascii="宋体" w:hAnsi="宋体" w:cs="宋体"/>
                <w:kern w:val="0"/>
                <w:sz w:val="20"/>
                <w:szCs w:val="20"/>
              </w:rPr>
              <w:br w:type="textWrapping"/>
            </w:r>
            <w:r>
              <w:rPr>
                <w:rFonts w:hint="eastAsia" w:ascii="宋体" w:hAnsi="宋体" w:cs="宋体"/>
                <w:kern w:val="0"/>
                <w:sz w:val="20"/>
                <w:szCs w:val="20"/>
              </w:rPr>
              <w:t>9.设备抗干扰等级：3级（IEC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10.显示：LED数码显示。</w:t>
            </w:r>
            <w:r>
              <w:rPr>
                <w:rFonts w:hint="eastAsia" w:ascii="宋体" w:hAnsi="宋体" w:cs="宋体"/>
                <w:kern w:val="0"/>
                <w:sz w:val="20"/>
                <w:szCs w:val="20"/>
              </w:rPr>
              <w:br w:type="textWrapping"/>
            </w:r>
            <w:r>
              <w:rPr>
                <w:rFonts w:hint="eastAsia" w:ascii="宋体" w:hAnsi="宋体" w:cs="宋体"/>
                <w:kern w:val="0"/>
                <w:sz w:val="20"/>
                <w:szCs w:val="20"/>
              </w:rPr>
              <w:t>管理平台：</w:t>
            </w:r>
            <w:r>
              <w:rPr>
                <w:rFonts w:hint="eastAsia" w:ascii="宋体" w:hAnsi="宋体" w:cs="宋体"/>
                <w:kern w:val="0"/>
                <w:sz w:val="20"/>
                <w:szCs w:val="20"/>
              </w:rPr>
              <w:br w:type="textWrapping"/>
            </w:r>
            <w:r>
              <w:rPr>
                <w:rFonts w:hint="eastAsia" w:ascii="宋体" w:hAnsi="宋体" w:cs="宋体"/>
                <w:kern w:val="0"/>
                <w:sz w:val="20"/>
                <w:szCs w:val="20"/>
              </w:rPr>
              <w:t>1.MQTT服务：可设置mqtt服务器地址、账号、登录密码信息；可设置主题格式、超时时间、心跳时间的通信规则。</w:t>
            </w:r>
            <w:r>
              <w:rPr>
                <w:rFonts w:hint="eastAsia" w:ascii="宋体" w:hAnsi="宋体" w:cs="宋体"/>
                <w:kern w:val="0"/>
                <w:sz w:val="20"/>
                <w:szCs w:val="20"/>
              </w:rPr>
              <w:br w:type="textWrapping"/>
            </w:r>
            <w:r>
              <w:rPr>
                <w:rFonts w:hint="eastAsia" w:ascii="宋体" w:hAnsi="宋体" w:cs="宋体"/>
                <w:kern w:val="0"/>
                <w:sz w:val="20"/>
                <w:szCs w:val="20"/>
              </w:rPr>
              <w:t>2.多种通讯格式兼容：支持设备联网方式可采用无线局域网、有线485网络、GPRS、wifi、以太网。</w:t>
            </w:r>
            <w:r>
              <w:rPr>
                <w:rFonts w:hint="eastAsia" w:ascii="宋体" w:hAnsi="宋体" w:cs="宋体"/>
                <w:kern w:val="0"/>
                <w:sz w:val="20"/>
                <w:szCs w:val="20"/>
              </w:rPr>
              <w:br w:type="textWrapping"/>
            </w:r>
            <w:r>
              <w:rPr>
                <w:rFonts w:hint="eastAsia" w:ascii="宋体" w:hAnsi="宋体" w:cs="宋体"/>
                <w:kern w:val="0"/>
                <w:sz w:val="20"/>
                <w:szCs w:val="20"/>
              </w:rPr>
              <w:t>3.图形化实时状态显示：支持每台空调对应一个状态块，状态块里包含空调名称、所在地的当前温度、光照度、空调当前的瞬时电流、电压、功率、空调累计用电量、空调累计用电时长。应用图标及颜色描述空调当前的状态，当前状态有运行状态、待机状态、断电状态。应用图标及颜色描述空调应用环境是否有人状态、AC360蜂鸣器开关状态、自控系统是否打开状态、当前自控系统应用的季节状态（夏季/冬季），应用颜色描述空调控制器的异常状态。</w:t>
            </w:r>
            <w:r>
              <w:rPr>
                <w:rFonts w:hint="eastAsia" w:ascii="宋体" w:hAnsi="宋体" w:cs="宋体"/>
                <w:kern w:val="0"/>
                <w:sz w:val="20"/>
                <w:szCs w:val="20"/>
              </w:rPr>
              <w:br w:type="textWrapping"/>
            </w:r>
            <w:r>
              <w:rPr>
                <w:rFonts w:hint="eastAsia" w:ascii="宋体" w:hAnsi="宋体" w:cs="宋体"/>
                <w:kern w:val="0"/>
                <w:sz w:val="20"/>
                <w:szCs w:val="20"/>
              </w:rPr>
              <w:t>4.图形化控制界面：可通过点击图形界面控制AC360的状态开关：继电器开关（接通或断开空调电源），自控系统功能开关，蜂鸣器开关、光敏传感器功能开关。</w:t>
            </w:r>
            <w:r>
              <w:rPr>
                <w:rFonts w:hint="eastAsia" w:ascii="宋体" w:hAnsi="宋体" w:cs="宋体"/>
                <w:kern w:val="0"/>
                <w:sz w:val="20"/>
                <w:szCs w:val="20"/>
              </w:rPr>
              <w:br w:type="textWrapping"/>
            </w:r>
            <w:r>
              <w:rPr>
                <w:rFonts w:hint="eastAsia" w:ascii="宋体" w:hAnsi="宋体" w:cs="宋体"/>
                <w:kern w:val="0"/>
                <w:sz w:val="20"/>
                <w:szCs w:val="20"/>
              </w:rPr>
              <w:t>5.可视报警视图：可分时、分组、分设备、分故障类型查询设备报警信息，包括温度传感器异常报警，设备通讯异常报警。</w:t>
            </w:r>
            <w:r>
              <w:rPr>
                <w:rFonts w:hint="eastAsia" w:ascii="宋体" w:hAnsi="宋体" w:cs="宋体"/>
                <w:kern w:val="0"/>
                <w:sz w:val="20"/>
                <w:szCs w:val="20"/>
              </w:rPr>
              <w:br w:type="textWrapping"/>
            </w:r>
            <w:r>
              <w:rPr>
                <w:rFonts w:hint="eastAsia" w:ascii="宋体" w:hAnsi="宋体" w:cs="宋体"/>
                <w:kern w:val="0"/>
                <w:sz w:val="20"/>
                <w:szCs w:val="20"/>
              </w:rPr>
              <w:t>6.远程定时控制：可通过定时控制界面，控制系统在设定的时间定时空调开关机、空调送电或断电，以各分组设备为设置对象，每条定时开关独立执行。</w:t>
            </w:r>
            <w:r>
              <w:rPr>
                <w:rFonts w:hint="eastAsia" w:ascii="宋体" w:hAnsi="宋体" w:cs="宋体"/>
                <w:kern w:val="0"/>
                <w:sz w:val="20"/>
                <w:szCs w:val="20"/>
              </w:rPr>
              <w:br w:type="textWrapping"/>
            </w:r>
            <w:r>
              <w:rPr>
                <w:rFonts w:hint="eastAsia" w:ascii="宋体" w:hAnsi="宋体" w:cs="宋体"/>
                <w:kern w:val="0"/>
                <w:sz w:val="20"/>
                <w:szCs w:val="20"/>
              </w:rPr>
              <w:t>7.远程手动控制：可通过PC端对空调进行分组或单个设备远程红外及电源控控制，红外控制包括开关空调、调节空调运行模式、调节空调温度。</w:t>
            </w:r>
            <w:r>
              <w:rPr>
                <w:rFonts w:hint="eastAsia" w:ascii="宋体" w:hAnsi="宋体" w:cs="宋体"/>
                <w:kern w:val="0"/>
                <w:sz w:val="20"/>
                <w:szCs w:val="20"/>
              </w:rPr>
              <w:br w:type="textWrapping"/>
            </w:r>
            <w:r>
              <w:rPr>
                <w:rFonts w:hint="eastAsia" w:ascii="宋体" w:hAnsi="宋体" w:cs="宋体"/>
                <w:kern w:val="0"/>
                <w:sz w:val="20"/>
                <w:szCs w:val="20"/>
              </w:rPr>
              <w:t>▲8.红外码库：可配置红外码库；选择品牌空调编码、空调品牌、遥控器型号、设备型号；支持一键匹配空调，通过分析学习接收的红外码值，自动匹配出相应的遥控器型号，并通过码库中的参数可控制空调的开关、模式、温度设置、风向、风速信息；可在线设置所连接码库服务器的地址、密匙、解析方式。</w:t>
            </w:r>
            <w:r>
              <w:rPr>
                <w:rFonts w:hint="eastAsia" w:ascii="宋体" w:hAnsi="宋体" w:cs="宋体"/>
                <w:kern w:val="0"/>
                <w:sz w:val="20"/>
                <w:szCs w:val="20"/>
              </w:rPr>
              <w:br w:type="textWrapping"/>
            </w:r>
            <w:r>
              <w:rPr>
                <w:rFonts w:hint="eastAsia" w:ascii="宋体" w:hAnsi="宋体" w:cs="宋体"/>
                <w:kern w:val="0"/>
                <w:sz w:val="20"/>
                <w:szCs w:val="20"/>
              </w:rPr>
              <w:t>▲9.红外码库自动匹配功能：可根据设备上报的红外码值自动匹配红外码库内适用的红外码值，并通过匹配到的红外码值控制空调。</w:t>
            </w:r>
            <w:r>
              <w:rPr>
                <w:rFonts w:hint="eastAsia" w:ascii="宋体" w:hAnsi="宋体" w:cs="宋体"/>
                <w:kern w:val="0"/>
                <w:sz w:val="20"/>
                <w:szCs w:val="20"/>
              </w:rPr>
              <w:br w:type="textWrapping"/>
            </w:r>
            <w:r>
              <w:rPr>
                <w:rFonts w:hint="eastAsia" w:ascii="宋体" w:hAnsi="宋体" w:cs="宋体"/>
                <w:kern w:val="0"/>
                <w:sz w:val="20"/>
                <w:szCs w:val="20"/>
              </w:rPr>
              <w:t>▲10.码库注册：可管理添加码库、码库链接地址。</w:t>
            </w:r>
            <w:r>
              <w:rPr>
                <w:rFonts w:hint="eastAsia" w:ascii="宋体" w:hAnsi="宋体" w:cs="宋体"/>
                <w:kern w:val="0"/>
                <w:sz w:val="20"/>
                <w:szCs w:val="20"/>
              </w:rPr>
              <w:br w:type="textWrapping"/>
            </w:r>
            <w:r>
              <w:rPr>
                <w:rFonts w:hint="eastAsia" w:ascii="宋体" w:hAnsi="宋体" w:cs="宋体"/>
                <w:kern w:val="0"/>
                <w:sz w:val="20"/>
                <w:szCs w:val="20"/>
              </w:rPr>
              <w:t>11.用电管理开关：可对设备电量管理功能的开启、关闭，开启功能后空调使用受可用电量的限制。</w:t>
            </w:r>
            <w:r>
              <w:rPr>
                <w:rFonts w:hint="eastAsia" w:ascii="宋体" w:hAnsi="宋体" w:cs="宋体"/>
                <w:kern w:val="0"/>
                <w:sz w:val="20"/>
                <w:szCs w:val="20"/>
              </w:rPr>
              <w:br w:type="textWrapping"/>
            </w:r>
            <w:r>
              <w:rPr>
                <w:rFonts w:hint="eastAsia" w:ascii="宋体" w:hAnsi="宋体" w:cs="宋体"/>
                <w:kern w:val="0"/>
                <w:sz w:val="20"/>
                <w:szCs w:val="20"/>
              </w:rPr>
              <w:t>12.电量充值：可对设备可用电量进行充值、撤销充值以及充值记录查询。</w:t>
            </w:r>
            <w:r>
              <w:rPr>
                <w:rFonts w:hint="eastAsia" w:ascii="宋体" w:hAnsi="宋体" w:cs="宋体"/>
                <w:kern w:val="0"/>
                <w:sz w:val="20"/>
                <w:szCs w:val="20"/>
              </w:rPr>
              <w:br w:type="textWrapping"/>
            </w:r>
            <w:r>
              <w:rPr>
                <w:rFonts w:hint="eastAsia" w:ascii="宋体" w:hAnsi="宋体" w:cs="宋体"/>
                <w:kern w:val="0"/>
                <w:sz w:val="20"/>
                <w:szCs w:val="20"/>
              </w:rPr>
              <w:t>13.红外学习功能：支持当码库中没有匹配到红外码值时，可以学习空调原配遥控器的红外码值，并且可以利用学习到的红外码值控制空调的开关，调整温度、模式。</w:t>
            </w:r>
            <w:r>
              <w:rPr>
                <w:rFonts w:hint="eastAsia" w:ascii="宋体" w:hAnsi="宋体" w:cs="宋体"/>
                <w:kern w:val="0"/>
                <w:sz w:val="20"/>
                <w:szCs w:val="20"/>
              </w:rPr>
              <w:br w:type="textWrapping"/>
            </w:r>
            <w:r>
              <w:rPr>
                <w:rFonts w:hint="eastAsia" w:ascii="宋体" w:hAnsi="宋体" w:cs="宋体"/>
                <w:kern w:val="0"/>
                <w:sz w:val="20"/>
                <w:szCs w:val="20"/>
              </w:rPr>
              <w:t>14.设备多级分组管理：可设置一到五级分组管理，操作时可对特定组的设备统一管理。</w:t>
            </w:r>
            <w:r>
              <w:rPr>
                <w:rFonts w:hint="eastAsia" w:ascii="宋体" w:hAnsi="宋体" w:cs="宋体"/>
                <w:kern w:val="0"/>
                <w:sz w:val="20"/>
                <w:szCs w:val="20"/>
              </w:rPr>
              <w:br w:type="textWrapping"/>
            </w:r>
            <w:r>
              <w:rPr>
                <w:rFonts w:hint="eastAsia" w:ascii="宋体" w:hAnsi="宋体" w:cs="宋体"/>
                <w:kern w:val="0"/>
                <w:sz w:val="20"/>
                <w:szCs w:val="20"/>
              </w:rPr>
              <w:t>▲15.固件升级：可远程批量升级设备固件程序。</w:t>
            </w:r>
            <w:r>
              <w:rPr>
                <w:rFonts w:hint="eastAsia" w:ascii="宋体" w:hAnsi="宋体" w:cs="宋体"/>
                <w:kern w:val="0"/>
                <w:sz w:val="20"/>
                <w:szCs w:val="20"/>
              </w:rPr>
              <w:br w:type="textWrapping"/>
            </w:r>
            <w:r>
              <w:rPr>
                <w:rFonts w:hint="eastAsia" w:ascii="宋体" w:hAnsi="宋体" w:cs="宋体"/>
                <w:kern w:val="0"/>
                <w:sz w:val="20"/>
                <w:szCs w:val="20"/>
              </w:rPr>
              <w:t>16.采集数据查询：可查询各空调数据定时、手动采集到的数据，以列表形式显示，可选择时间段、分组筛选。后台自动屏蔽连续多次采集到一样的数据，只保留一条。</w:t>
            </w:r>
            <w:r>
              <w:rPr>
                <w:rFonts w:hint="eastAsia" w:ascii="宋体" w:hAnsi="宋体" w:cs="宋体"/>
                <w:kern w:val="0"/>
                <w:sz w:val="20"/>
                <w:szCs w:val="20"/>
              </w:rPr>
              <w:br w:type="textWrapping"/>
            </w:r>
            <w:r>
              <w:rPr>
                <w:rFonts w:hint="eastAsia" w:ascii="宋体" w:hAnsi="宋体" w:cs="宋体"/>
                <w:kern w:val="0"/>
                <w:sz w:val="20"/>
                <w:szCs w:val="20"/>
              </w:rPr>
              <w:t>17.图形化能源报表：可统计总体、各个分组、各个设备的用电情况，包括用电量以用电时长、瞬时功率、能源分析，并进行节电率分析。</w:t>
            </w:r>
            <w:r>
              <w:rPr>
                <w:rFonts w:hint="eastAsia" w:ascii="宋体" w:hAnsi="宋体" w:cs="宋体"/>
                <w:kern w:val="0"/>
                <w:sz w:val="20"/>
                <w:szCs w:val="20"/>
              </w:rPr>
              <w:br w:type="textWrapping"/>
            </w:r>
            <w:r>
              <w:rPr>
                <w:rFonts w:hint="eastAsia" w:ascii="宋体" w:hAnsi="宋体" w:cs="宋体"/>
                <w:kern w:val="0"/>
                <w:sz w:val="20"/>
                <w:szCs w:val="20"/>
              </w:rPr>
              <w:t>18.设备管理：可添加、删除设备，设置设备的名称、连接的网关、通信地址、设备类型、分组的信息。</w:t>
            </w:r>
            <w:r>
              <w:rPr>
                <w:rFonts w:hint="eastAsia" w:ascii="宋体" w:hAnsi="宋体" w:cs="宋体"/>
                <w:kern w:val="0"/>
                <w:sz w:val="20"/>
                <w:szCs w:val="20"/>
              </w:rPr>
              <w:br w:type="textWrapping"/>
            </w:r>
            <w:r>
              <w:rPr>
                <w:rFonts w:hint="eastAsia" w:ascii="宋体" w:hAnsi="宋体" w:cs="宋体"/>
                <w:kern w:val="0"/>
                <w:sz w:val="20"/>
                <w:szCs w:val="20"/>
              </w:rPr>
              <w:t>19.产品管理：可设置、添加产品，可设置产品信息，包括产品类型、品牌、对应遥控器型号（自动匹配到码库）。</w:t>
            </w:r>
            <w:r>
              <w:rPr>
                <w:rFonts w:hint="eastAsia" w:ascii="宋体" w:hAnsi="宋体" w:cs="宋体"/>
                <w:kern w:val="0"/>
                <w:sz w:val="20"/>
                <w:szCs w:val="20"/>
              </w:rPr>
              <w:br w:type="textWrapping"/>
            </w:r>
            <w:r>
              <w:rPr>
                <w:rFonts w:hint="eastAsia" w:ascii="宋体" w:hAnsi="宋体" w:cs="宋体"/>
                <w:kern w:val="0"/>
                <w:sz w:val="20"/>
                <w:szCs w:val="20"/>
              </w:rPr>
              <w:t>20.网关管理：可添加、删除、批量导入RS485、MQTT网关，网关中可设置通信规则、红外发射延迟时间、红外验证时间（发送红外后智能验证是否发送成功）、判断超时时间、通信失败重发次数、分包大小的信息。</w:t>
            </w:r>
            <w:r>
              <w:rPr>
                <w:rFonts w:hint="eastAsia" w:ascii="宋体" w:hAnsi="宋体" w:cs="宋体"/>
                <w:kern w:val="0"/>
                <w:sz w:val="20"/>
                <w:szCs w:val="20"/>
              </w:rPr>
              <w:br w:type="textWrapping"/>
            </w:r>
            <w:r>
              <w:rPr>
                <w:rFonts w:hint="eastAsia" w:ascii="宋体" w:hAnsi="宋体" w:cs="宋体"/>
                <w:kern w:val="0"/>
                <w:sz w:val="20"/>
                <w:szCs w:val="20"/>
              </w:rPr>
              <w:t>21.设置无人关机与继电器断开时间间隔设置：支持设备断开继电器时，先判断空调启停状态，若开启，发送红外关机指令，延时“红外关机与继电器断开时间间隔”所设置的时间后，再断开继电器。</w:t>
            </w:r>
            <w:r>
              <w:rPr>
                <w:rFonts w:hint="eastAsia" w:ascii="宋体" w:hAnsi="宋体" w:cs="宋体"/>
                <w:kern w:val="0"/>
                <w:sz w:val="20"/>
                <w:szCs w:val="20"/>
              </w:rPr>
              <w:br w:type="textWrapping"/>
            </w:r>
            <w:r>
              <w:rPr>
                <w:rFonts w:hint="eastAsia" w:ascii="宋体" w:hAnsi="宋体" w:cs="宋体"/>
                <w:kern w:val="0"/>
                <w:sz w:val="20"/>
                <w:szCs w:val="20"/>
              </w:rPr>
              <w:t>22.冬夏季温度阀值、启停探测阀值设置：支持设备上电后进行冬夏季判断，大于设置的阈值时，判断为夏季，小于设置的阈值时，判断为冬季。设备通过检测负载的电流，并与设置的阈值作比较，判断所接负载是启动还是关闭；检测的电流大于设置的阈值，判断为启动；检测的电流小于设置的阈值，判断为关闭。</w:t>
            </w:r>
            <w:r>
              <w:rPr>
                <w:rFonts w:hint="eastAsia" w:ascii="宋体" w:hAnsi="宋体" w:cs="宋体"/>
                <w:kern w:val="0"/>
                <w:sz w:val="20"/>
                <w:szCs w:val="20"/>
              </w:rPr>
              <w:br w:type="textWrapping"/>
            </w:r>
            <w:r>
              <w:rPr>
                <w:rFonts w:hint="eastAsia" w:ascii="宋体" w:hAnsi="宋体" w:cs="宋体"/>
                <w:kern w:val="0"/>
                <w:sz w:val="20"/>
                <w:szCs w:val="20"/>
              </w:rPr>
              <w:t>23.自控采集间隔时间设置：支持开启自控模式时，采集一次温度，温度将持续保持“自控采集间隔时间”所设置的时间，之后再次采集温度，再持续保持所设置的时间。</w:t>
            </w:r>
            <w:r>
              <w:rPr>
                <w:rFonts w:hint="eastAsia" w:ascii="宋体" w:hAnsi="宋体" w:cs="宋体"/>
                <w:kern w:val="0"/>
                <w:sz w:val="20"/>
                <w:szCs w:val="20"/>
              </w:rPr>
              <w:br w:type="textWrapping"/>
            </w:r>
            <w:r>
              <w:rPr>
                <w:rFonts w:hint="eastAsia" w:ascii="宋体" w:hAnsi="宋体" w:cs="宋体"/>
                <w:kern w:val="0"/>
                <w:sz w:val="20"/>
                <w:szCs w:val="20"/>
              </w:rPr>
              <w:t>24.遥控密码设置：管理员通过密码激活遥控器，并进行使用时，并可更改设备的遥控器密码。</w:t>
            </w:r>
            <w:r>
              <w:rPr>
                <w:rFonts w:hint="eastAsia" w:ascii="宋体" w:hAnsi="宋体" w:cs="宋体"/>
                <w:kern w:val="0"/>
                <w:sz w:val="20"/>
                <w:szCs w:val="20"/>
              </w:rPr>
              <w:br w:type="textWrapping"/>
            </w:r>
            <w:r>
              <w:rPr>
                <w:rFonts w:hint="eastAsia" w:ascii="宋体" w:hAnsi="宋体" w:cs="宋体"/>
                <w:kern w:val="0"/>
                <w:sz w:val="20"/>
                <w:szCs w:val="20"/>
              </w:rPr>
              <w:t>25.自控参数设置：可开启自控模式，设备会按照所设置的自控参数进行运作；自控参数可以设置运行时段、冬夏季上下限、控制模式。</w:t>
            </w:r>
            <w:r>
              <w:rPr>
                <w:rFonts w:hint="eastAsia" w:ascii="宋体" w:hAnsi="宋体" w:cs="宋体"/>
                <w:kern w:val="0"/>
                <w:sz w:val="20"/>
                <w:szCs w:val="20"/>
              </w:rPr>
              <w:br w:type="textWrapping"/>
            </w:r>
            <w:r>
              <w:rPr>
                <w:rFonts w:hint="eastAsia" w:ascii="宋体" w:hAnsi="宋体" w:cs="宋体"/>
                <w:kern w:val="0"/>
                <w:sz w:val="20"/>
                <w:szCs w:val="20"/>
              </w:rPr>
              <w:t>26.全局设置：可设置空调温度、电压、电流报警数值，冬夏季时间段设置以及软件对设备自动信息的采集时间间隔进行设置值。</w:t>
            </w:r>
            <w:r>
              <w:rPr>
                <w:rFonts w:hint="eastAsia" w:ascii="宋体" w:hAnsi="宋体" w:cs="宋体"/>
                <w:kern w:val="0"/>
                <w:sz w:val="20"/>
                <w:szCs w:val="20"/>
              </w:rPr>
              <w:br w:type="textWrapping"/>
            </w:r>
            <w:r>
              <w:rPr>
                <w:rFonts w:hint="eastAsia" w:ascii="宋体" w:hAnsi="宋体" w:cs="宋体"/>
                <w:kern w:val="0"/>
                <w:sz w:val="20"/>
                <w:szCs w:val="20"/>
              </w:rPr>
              <w:t>27.定时/策略控制：可填写控制策略（远程根据分组、时间、温度来管理空调的开关）。可在固定时间段内、对所选固定区域空调设置温度控制策略，控制空调运行温度。</w:t>
            </w:r>
            <w:r>
              <w:rPr>
                <w:rFonts w:hint="eastAsia" w:ascii="宋体" w:hAnsi="宋体" w:cs="宋体"/>
                <w:kern w:val="0"/>
                <w:sz w:val="20"/>
                <w:szCs w:val="20"/>
              </w:rPr>
              <w:br w:type="textWrapping"/>
            </w:r>
            <w:r>
              <w:rPr>
                <w:rFonts w:hint="eastAsia" w:ascii="宋体" w:hAnsi="宋体" w:cs="宋体"/>
                <w:kern w:val="0"/>
                <w:sz w:val="20"/>
                <w:szCs w:val="20"/>
              </w:rPr>
              <w:t>▲28.统一管理平台：确保分体空调、多联机及人体传感器等设备在同一软件平台中展示、操控，并可联动运行，提升管理效率与系统整体可控性。</w:t>
            </w:r>
          </w:p>
        </w:tc>
        <w:tc>
          <w:tcPr>
            <w:tcW w:w="328" w:type="pct"/>
            <w:tcBorders>
              <w:top w:val="nil"/>
              <w:left w:val="nil"/>
              <w:bottom w:val="single" w:color="000000" w:sz="4" w:space="0"/>
              <w:right w:val="single" w:color="000000" w:sz="4" w:space="0"/>
            </w:tcBorders>
            <w:vAlign w:val="center"/>
          </w:tcPr>
          <w:p w14:paraId="6DA803F1">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694" w:type="pct"/>
            <w:tcBorders>
              <w:top w:val="nil"/>
              <w:left w:val="nil"/>
              <w:bottom w:val="single" w:color="000000" w:sz="4" w:space="0"/>
              <w:right w:val="single" w:color="000000" w:sz="4" w:space="0"/>
            </w:tcBorders>
            <w:vAlign w:val="center"/>
          </w:tcPr>
          <w:p w14:paraId="61AC25E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762.000</w:t>
            </w:r>
          </w:p>
        </w:tc>
        <w:tc>
          <w:tcPr>
            <w:tcW w:w="480" w:type="pct"/>
            <w:tcBorders>
              <w:top w:val="nil"/>
              <w:left w:val="nil"/>
              <w:bottom w:val="single" w:color="000000" w:sz="4" w:space="0"/>
              <w:right w:val="single" w:color="000000" w:sz="4" w:space="0"/>
            </w:tcBorders>
            <w:vAlign w:val="center"/>
          </w:tcPr>
          <w:p w14:paraId="24377B78">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1154B17E">
        <w:tblPrEx>
          <w:tblCellMar>
            <w:top w:w="0" w:type="dxa"/>
            <w:left w:w="108" w:type="dxa"/>
            <w:bottom w:w="0" w:type="dxa"/>
            <w:right w:w="108" w:type="dxa"/>
          </w:tblCellMar>
        </w:tblPrEx>
        <w:trPr>
          <w:trHeight w:val="3480" w:hRule="atLeast"/>
        </w:trPr>
        <w:tc>
          <w:tcPr>
            <w:tcW w:w="374" w:type="pct"/>
            <w:tcBorders>
              <w:top w:val="nil"/>
              <w:left w:val="single" w:color="000000" w:sz="4" w:space="0"/>
              <w:bottom w:val="single" w:color="000000" w:sz="4" w:space="0"/>
              <w:right w:val="single" w:color="000000" w:sz="4" w:space="0"/>
            </w:tcBorders>
            <w:vAlign w:val="center"/>
          </w:tcPr>
          <w:p w14:paraId="30146D1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4</w:t>
            </w:r>
          </w:p>
        </w:tc>
        <w:tc>
          <w:tcPr>
            <w:tcW w:w="685" w:type="pct"/>
            <w:tcBorders>
              <w:top w:val="nil"/>
              <w:left w:val="nil"/>
              <w:bottom w:val="single" w:color="000000" w:sz="4" w:space="0"/>
              <w:right w:val="single" w:color="000000" w:sz="4" w:space="0"/>
            </w:tcBorders>
            <w:vAlign w:val="center"/>
          </w:tcPr>
          <w:p w14:paraId="1AAAC47C">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5匹智能控制器（380V）</w:t>
            </w:r>
          </w:p>
        </w:tc>
        <w:tc>
          <w:tcPr>
            <w:tcW w:w="2439" w:type="pct"/>
            <w:tcBorders>
              <w:top w:val="nil"/>
              <w:left w:val="nil"/>
              <w:bottom w:val="single" w:color="000000" w:sz="4" w:space="0"/>
              <w:right w:val="single" w:color="000000" w:sz="4" w:space="0"/>
            </w:tcBorders>
            <w:vAlign w:val="center"/>
          </w:tcPr>
          <w:p w14:paraId="24407F72">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基础功能：</w:t>
            </w:r>
            <w:r>
              <w:rPr>
                <w:rFonts w:hint="eastAsia" w:ascii="宋体" w:hAnsi="宋体" w:cs="宋体"/>
                <w:kern w:val="0"/>
                <w:sz w:val="20"/>
                <w:szCs w:val="20"/>
              </w:rPr>
              <w:br w:type="textWrapping"/>
            </w:r>
            <w:r>
              <w:rPr>
                <w:rFonts w:hint="eastAsia" w:ascii="宋体" w:hAnsi="宋体" w:cs="宋体"/>
                <w:kern w:val="0"/>
                <w:sz w:val="20"/>
                <w:szCs w:val="20"/>
              </w:rPr>
              <w:t>1.红外控制：可红外控制空调运行，通过云端的码库、设备自学习红外指令，使用管理遥控器或者后台运用软件/app控制空调的各种运行模式。</w:t>
            </w:r>
            <w:r>
              <w:rPr>
                <w:rFonts w:hint="eastAsia" w:ascii="宋体" w:hAnsi="宋体" w:cs="宋体"/>
                <w:kern w:val="0"/>
                <w:sz w:val="20"/>
                <w:szCs w:val="20"/>
              </w:rPr>
              <w:br w:type="textWrapping"/>
            </w:r>
            <w:r>
              <w:rPr>
                <w:rFonts w:hint="eastAsia" w:ascii="宋体" w:hAnsi="宋体" w:cs="宋体"/>
                <w:kern w:val="0"/>
                <w:sz w:val="20"/>
                <w:szCs w:val="20"/>
              </w:rPr>
              <w:t>2.通断电强制控制：可在达到设定条件时，控制空调电源通断电对空调运行状态进行控制。</w:t>
            </w:r>
            <w:r>
              <w:rPr>
                <w:rFonts w:hint="eastAsia" w:ascii="宋体" w:hAnsi="宋体" w:cs="宋体"/>
                <w:kern w:val="0"/>
                <w:sz w:val="20"/>
                <w:szCs w:val="20"/>
              </w:rPr>
              <w:br w:type="textWrapping"/>
            </w:r>
            <w:r>
              <w:rPr>
                <w:rFonts w:hint="eastAsia" w:ascii="宋体" w:hAnsi="宋体" w:cs="宋体"/>
                <w:kern w:val="0"/>
                <w:sz w:val="20"/>
                <w:szCs w:val="20"/>
              </w:rPr>
              <w:t>3.温度接口：可对环境温度进行监测。</w:t>
            </w:r>
            <w:r>
              <w:rPr>
                <w:rFonts w:hint="eastAsia" w:ascii="宋体" w:hAnsi="宋体" w:cs="宋体"/>
                <w:kern w:val="0"/>
                <w:sz w:val="20"/>
                <w:szCs w:val="20"/>
              </w:rPr>
              <w:br w:type="textWrapping"/>
            </w:r>
            <w:r>
              <w:rPr>
                <w:rFonts w:hint="eastAsia" w:ascii="宋体" w:hAnsi="宋体" w:cs="宋体"/>
                <w:kern w:val="0"/>
                <w:sz w:val="20"/>
                <w:szCs w:val="20"/>
              </w:rPr>
              <w:t>4.电压、电流、功率信息采集：可接入的空调的电压、电流、功率信息。</w:t>
            </w:r>
            <w:r>
              <w:rPr>
                <w:rFonts w:hint="eastAsia" w:ascii="宋体" w:hAnsi="宋体" w:cs="宋体"/>
                <w:kern w:val="0"/>
                <w:sz w:val="20"/>
                <w:szCs w:val="20"/>
              </w:rPr>
              <w:br w:type="textWrapping"/>
            </w:r>
            <w:r>
              <w:rPr>
                <w:rFonts w:hint="eastAsia" w:ascii="宋体" w:hAnsi="宋体" w:cs="宋体"/>
                <w:kern w:val="0"/>
                <w:sz w:val="20"/>
                <w:szCs w:val="20"/>
              </w:rPr>
              <w:t>5.电量、空调运行时长统计：可自动统计空调消耗的累计电量信息，运行时长信息。</w:t>
            </w:r>
            <w:r>
              <w:rPr>
                <w:rFonts w:hint="eastAsia" w:ascii="宋体" w:hAnsi="宋体" w:cs="宋体"/>
                <w:kern w:val="0"/>
                <w:sz w:val="20"/>
                <w:szCs w:val="20"/>
              </w:rPr>
              <w:br w:type="textWrapping"/>
            </w:r>
            <w:r>
              <w:rPr>
                <w:rFonts w:hint="eastAsia" w:ascii="宋体" w:hAnsi="宋体" w:cs="宋体"/>
                <w:kern w:val="0"/>
                <w:sz w:val="20"/>
                <w:szCs w:val="20"/>
              </w:rPr>
              <w:t>6.实时时钟功能：可通过实时时钟进行时间自动控制、时长统计功能。</w:t>
            </w:r>
            <w:r>
              <w:rPr>
                <w:rFonts w:hint="eastAsia" w:ascii="宋体" w:hAnsi="宋体" w:cs="宋体"/>
                <w:kern w:val="0"/>
                <w:sz w:val="20"/>
                <w:szCs w:val="20"/>
              </w:rPr>
              <w:br w:type="textWrapping"/>
            </w:r>
            <w:r>
              <w:rPr>
                <w:rFonts w:hint="eastAsia" w:ascii="宋体" w:hAnsi="宋体" w:cs="宋体"/>
                <w:kern w:val="0"/>
                <w:sz w:val="20"/>
                <w:szCs w:val="20"/>
              </w:rPr>
              <w:t>7.实时采集环境信息功能：支持采集环境温度、房间有无人状态.</w:t>
            </w:r>
            <w:r>
              <w:rPr>
                <w:rFonts w:hint="eastAsia" w:ascii="宋体" w:hAnsi="宋体" w:cs="宋体"/>
                <w:kern w:val="0"/>
                <w:sz w:val="20"/>
                <w:szCs w:val="20"/>
              </w:rPr>
              <w:br w:type="textWrapping"/>
            </w:r>
            <w:r>
              <w:rPr>
                <w:rFonts w:hint="eastAsia" w:ascii="宋体" w:hAnsi="宋体" w:cs="宋体"/>
                <w:kern w:val="0"/>
                <w:sz w:val="20"/>
                <w:szCs w:val="20"/>
              </w:rPr>
              <w:t>8.红外学习：可学习红外控制空调的码值信息，并通过学习的码值对空调控制。</w:t>
            </w:r>
            <w:r>
              <w:rPr>
                <w:rFonts w:hint="eastAsia" w:ascii="宋体" w:hAnsi="宋体" w:cs="宋体"/>
                <w:kern w:val="0"/>
                <w:sz w:val="20"/>
                <w:szCs w:val="20"/>
              </w:rPr>
              <w:br w:type="textWrapping"/>
            </w:r>
            <w:r>
              <w:rPr>
                <w:rFonts w:hint="eastAsia" w:ascii="宋体" w:hAnsi="宋体" w:cs="宋体"/>
                <w:kern w:val="0"/>
                <w:sz w:val="20"/>
                <w:szCs w:val="20"/>
              </w:rPr>
              <w:t>9.红外、通断电控制空调运行：可通过红外、通断电控制空调运行状态。</w:t>
            </w:r>
            <w:r>
              <w:rPr>
                <w:rFonts w:hint="eastAsia" w:ascii="宋体" w:hAnsi="宋体" w:cs="宋体"/>
                <w:kern w:val="0"/>
                <w:sz w:val="20"/>
                <w:szCs w:val="20"/>
              </w:rPr>
              <w:br w:type="textWrapping"/>
            </w:r>
            <w:r>
              <w:rPr>
                <w:rFonts w:hint="eastAsia" w:ascii="宋体" w:hAnsi="宋体" w:cs="宋体"/>
                <w:kern w:val="0"/>
                <w:sz w:val="20"/>
                <w:szCs w:val="20"/>
              </w:rPr>
              <w:t>10.数码管、指示灯显示信息：支持设备上数码管实时显示设备采集的温度、可用电量信息，指示灯提示设备运行状态。</w:t>
            </w:r>
            <w:r>
              <w:rPr>
                <w:rFonts w:hint="eastAsia" w:ascii="宋体" w:hAnsi="宋体" w:cs="宋体"/>
                <w:kern w:val="0"/>
                <w:sz w:val="20"/>
                <w:szCs w:val="20"/>
              </w:rPr>
              <w:br w:type="textWrapping"/>
            </w:r>
            <w:r>
              <w:rPr>
                <w:rFonts w:hint="eastAsia" w:ascii="宋体" w:hAnsi="宋体" w:cs="宋体"/>
                <w:kern w:val="0"/>
                <w:sz w:val="20"/>
                <w:szCs w:val="20"/>
              </w:rPr>
              <w:t>11.蜂鸣器功能：设备上具有蜂鸣器提示功能，用于操作响应及报警辅助。</w:t>
            </w:r>
            <w:r>
              <w:rPr>
                <w:rFonts w:hint="eastAsia" w:ascii="宋体" w:hAnsi="宋体" w:cs="宋体"/>
                <w:kern w:val="0"/>
                <w:sz w:val="20"/>
                <w:szCs w:val="20"/>
              </w:rPr>
              <w:br w:type="textWrapping"/>
            </w:r>
            <w:r>
              <w:rPr>
                <w:rFonts w:hint="eastAsia" w:ascii="宋体" w:hAnsi="宋体" w:cs="宋体"/>
                <w:kern w:val="0"/>
                <w:sz w:val="20"/>
                <w:szCs w:val="20"/>
              </w:rPr>
              <w:t>12.多种通信格式兼容：可通过RS485、LORA、4G等多种接口连接局域网并可通过MQTT连接云平台。</w:t>
            </w:r>
            <w:r>
              <w:rPr>
                <w:rFonts w:hint="eastAsia" w:ascii="宋体" w:hAnsi="宋体" w:cs="宋体"/>
                <w:kern w:val="0"/>
                <w:sz w:val="20"/>
                <w:szCs w:val="20"/>
              </w:rPr>
              <w:br w:type="textWrapping"/>
            </w:r>
            <w:r>
              <w:rPr>
                <w:rFonts w:hint="eastAsia" w:ascii="宋体" w:hAnsi="宋体" w:cs="宋体"/>
                <w:kern w:val="0"/>
                <w:sz w:val="20"/>
                <w:szCs w:val="20"/>
              </w:rPr>
              <w:t>▲13.确保无网环境下，无需学习红外码值，设备仍能应用自带的红外码库自动或手动匹配空调，实现精准控制，满足全天候使用需求。</w:t>
            </w:r>
            <w:r>
              <w:rPr>
                <w:rFonts w:hint="eastAsia" w:ascii="宋体" w:hAnsi="宋体" w:cs="宋体"/>
                <w:kern w:val="0"/>
                <w:sz w:val="20"/>
                <w:szCs w:val="20"/>
              </w:rPr>
              <w:br w:type="textWrapping"/>
            </w:r>
            <w:r>
              <w:rPr>
                <w:rFonts w:hint="eastAsia" w:ascii="宋体" w:hAnsi="宋体" w:cs="宋体"/>
                <w:kern w:val="0"/>
                <w:sz w:val="20"/>
                <w:szCs w:val="20"/>
              </w:rPr>
              <w:t>14.用电参数可查询：支持电压、电流、功率、电量、运行时长、可用电量、剩余电量、每月固定额度等信息存储在设备上，并可通过接口读取、设置。</w:t>
            </w:r>
            <w:r>
              <w:rPr>
                <w:rFonts w:hint="eastAsia" w:ascii="宋体" w:hAnsi="宋体" w:cs="宋体"/>
                <w:kern w:val="0"/>
                <w:sz w:val="20"/>
                <w:szCs w:val="20"/>
              </w:rPr>
              <w:br w:type="textWrapping"/>
            </w:r>
            <w:r>
              <w:rPr>
                <w:rFonts w:hint="eastAsia" w:ascii="宋体" w:hAnsi="宋体" w:cs="宋体"/>
                <w:kern w:val="0"/>
                <w:sz w:val="20"/>
                <w:szCs w:val="20"/>
              </w:rPr>
              <w:t>15.外延式温度传感器：为保证采集的环境温度的精准性采用外延式温度传感器。</w:t>
            </w:r>
            <w:r>
              <w:rPr>
                <w:rFonts w:hint="eastAsia" w:ascii="宋体" w:hAnsi="宋体" w:cs="宋体"/>
                <w:kern w:val="0"/>
                <w:sz w:val="20"/>
                <w:szCs w:val="20"/>
              </w:rPr>
              <w:br w:type="textWrapping"/>
            </w:r>
            <w:r>
              <w:rPr>
                <w:rFonts w:hint="eastAsia" w:ascii="宋体" w:hAnsi="宋体" w:cs="宋体"/>
                <w:kern w:val="0"/>
                <w:sz w:val="20"/>
                <w:szCs w:val="20"/>
              </w:rPr>
              <w:t>16.红外发射头：可根据现场环境情况采用内置大功率红外发射头或外延式红外发射头。</w:t>
            </w:r>
            <w:r>
              <w:rPr>
                <w:rFonts w:hint="eastAsia" w:ascii="宋体" w:hAnsi="宋体" w:cs="宋体"/>
                <w:kern w:val="0"/>
                <w:sz w:val="20"/>
                <w:szCs w:val="20"/>
              </w:rPr>
              <w:br w:type="textWrapping"/>
            </w:r>
            <w:r>
              <w:rPr>
                <w:rFonts w:hint="eastAsia" w:ascii="宋体" w:hAnsi="宋体" w:cs="宋体"/>
                <w:kern w:val="0"/>
                <w:sz w:val="20"/>
                <w:szCs w:val="20"/>
              </w:rPr>
              <w:t>17.手机端控制：可远程手动开关空调、远程调节空调温度、等等。</w:t>
            </w:r>
            <w:r>
              <w:rPr>
                <w:rFonts w:hint="eastAsia" w:ascii="宋体" w:hAnsi="宋体" w:cs="宋体"/>
                <w:kern w:val="0"/>
                <w:sz w:val="20"/>
                <w:szCs w:val="20"/>
              </w:rPr>
              <w:br w:type="textWrapping"/>
            </w:r>
            <w:r>
              <w:rPr>
                <w:rFonts w:hint="eastAsia" w:ascii="宋体" w:hAnsi="宋体" w:cs="宋体"/>
                <w:kern w:val="0"/>
                <w:sz w:val="20"/>
                <w:szCs w:val="20"/>
              </w:rPr>
              <w:t>智能节能功能：</w:t>
            </w:r>
            <w:r>
              <w:rPr>
                <w:rFonts w:hint="eastAsia" w:ascii="宋体" w:hAnsi="宋体" w:cs="宋体"/>
                <w:kern w:val="0"/>
                <w:sz w:val="20"/>
                <w:szCs w:val="20"/>
              </w:rPr>
              <w:br w:type="textWrapping"/>
            </w:r>
            <w:r>
              <w:rPr>
                <w:rFonts w:hint="eastAsia" w:ascii="宋体" w:hAnsi="宋体" w:cs="宋体"/>
                <w:kern w:val="0"/>
                <w:sz w:val="20"/>
                <w:szCs w:val="20"/>
              </w:rPr>
              <w:t>1.智能光感控制：可检测光照度情况，并在光照较低时自动关闭数码管指示灯。</w:t>
            </w:r>
            <w:r>
              <w:rPr>
                <w:rFonts w:hint="eastAsia" w:ascii="宋体" w:hAnsi="宋体" w:cs="宋体"/>
                <w:kern w:val="0"/>
                <w:sz w:val="20"/>
                <w:szCs w:val="20"/>
              </w:rPr>
              <w:br w:type="textWrapping"/>
            </w:r>
            <w:r>
              <w:rPr>
                <w:rFonts w:hint="eastAsia" w:ascii="宋体" w:hAnsi="宋体" w:cs="宋体"/>
                <w:kern w:val="0"/>
                <w:sz w:val="20"/>
                <w:szCs w:val="20"/>
              </w:rPr>
              <w:t>2.智能时间控制：可设置一周7天、一天10个时间段（总共70个时间段）的差异化智能控制，可设置限制空调开启使用、空调使用条件、以及限制温度点等信息。</w:t>
            </w:r>
            <w:r>
              <w:rPr>
                <w:rFonts w:hint="eastAsia" w:ascii="宋体" w:hAnsi="宋体" w:cs="宋体"/>
                <w:kern w:val="0"/>
                <w:sz w:val="20"/>
                <w:szCs w:val="20"/>
              </w:rPr>
              <w:br w:type="textWrapping"/>
            </w:r>
            <w:r>
              <w:rPr>
                <w:rFonts w:hint="eastAsia" w:ascii="宋体" w:hAnsi="宋体" w:cs="宋体"/>
                <w:kern w:val="0"/>
                <w:sz w:val="20"/>
                <w:szCs w:val="20"/>
              </w:rPr>
              <w:t>3.智能温度控制：可预设温度上限值，下限值。</w:t>
            </w:r>
            <w:r>
              <w:rPr>
                <w:rFonts w:hint="eastAsia" w:ascii="宋体" w:hAnsi="宋体" w:cs="宋体"/>
                <w:kern w:val="0"/>
                <w:sz w:val="20"/>
                <w:szCs w:val="20"/>
              </w:rPr>
              <w:br w:type="textWrapping"/>
            </w:r>
            <w:r>
              <w:rPr>
                <w:rFonts w:hint="eastAsia" w:ascii="宋体" w:hAnsi="宋体" w:cs="宋体"/>
                <w:kern w:val="0"/>
                <w:sz w:val="20"/>
                <w:szCs w:val="20"/>
              </w:rPr>
              <w:t>4.智能冬夏季模式切换：可手动或者自动切换夏冬季模式；</w:t>
            </w:r>
            <w:r>
              <w:rPr>
                <w:rFonts w:hint="eastAsia" w:ascii="宋体" w:hAnsi="宋体" w:cs="宋体"/>
                <w:kern w:val="0"/>
                <w:sz w:val="20"/>
                <w:szCs w:val="20"/>
              </w:rPr>
              <w:br w:type="textWrapping"/>
            </w:r>
            <w:r>
              <w:rPr>
                <w:rFonts w:hint="eastAsia" w:ascii="宋体" w:hAnsi="宋体" w:cs="宋体"/>
                <w:kern w:val="0"/>
                <w:sz w:val="20"/>
                <w:szCs w:val="20"/>
              </w:rPr>
              <w:t>5.智能二级限控联合控制：支持控制器自动发送红外指令控制空调（一级限控功能），控制器启动强制控制功能（二级限控）强制切断空调电源。</w:t>
            </w:r>
            <w:r>
              <w:rPr>
                <w:rFonts w:hint="eastAsia" w:ascii="宋体" w:hAnsi="宋体" w:cs="宋体"/>
                <w:kern w:val="0"/>
                <w:sz w:val="20"/>
                <w:szCs w:val="20"/>
              </w:rPr>
              <w:br w:type="textWrapping"/>
            </w:r>
            <w:r>
              <w:rPr>
                <w:rFonts w:hint="eastAsia" w:ascii="宋体" w:hAnsi="宋体" w:cs="宋体"/>
                <w:kern w:val="0"/>
                <w:sz w:val="20"/>
                <w:szCs w:val="20"/>
              </w:rPr>
              <w:t>6.智能节能控制：可对空调的应用条件（时间条件、温度条件）进行控制，并智能监督管理空调使用。</w:t>
            </w:r>
            <w:r>
              <w:rPr>
                <w:rFonts w:hint="eastAsia" w:ascii="宋体" w:hAnsi="宋体" w:cs="宋体"/>
                <w:kern w:val="0"/>
                <w:sz w:val="20"/>
                <w:szCs w:val="20"/>
              </w:rPr>
              <w:br w:type="textWrapping"/>
            </w:r>
            <w:r>
              <w:rPr>
                <w:rFonts w:hint="eastAsia" w:ascii="宋体" w:hAnsi="宋体" w:cs="宋体"/>
                <w:kern w:val="0"/>
                <w:sz w:val="20"/>
                <w:szCs w:val="20"/>
              </w:rPr>
              <w:t>7.智能破坏报警：支持温度传感器被破坏后，设备发出蜂鸣声报警，并通过通信告诉上位机。</w:t>
            </w:r>
            <w:r>
              <w:rPr>
                <w:rFonts w:hint="eastAsia" w:ascii="宋体" w:hAnsi="宋体" w:cs="宋体"/>
                <w:kern w:val="0"/>
                <w:sz w:val="20"/>
                <w:szCs w:val="20"/>
              </w:rPr>
              <w:br w:type="textWrapping"/>
            </w:r>
            <w:r>
              <w:rPr>
                <w:rFonts w:hint="eastAsia" w:ascii="宋体" w:hAnsi="宋体" w:cs="宋体"/>
                <w:kern w:val="0"/>
                <w:sz w:val="20"/>
                <w:szCs w:val="20"/>
              </w:rPr>
              <w:t>8.红外/强制断电联动功能：支持强制电源控制及红外控制的联动控制，在切断空调电源时，需要先发送红外指令关闭空调，在一定时长（时长可设置）后切断空调电源。</w:t>
            </w:r>
            <w:r>
              <w:rPr>
                <w:rFonts w:hint="eastAsia" w:ascii="宋体" w:hAnsi="宋体" w:cs="宋体"/>
                <w:kern w:val="0"/>
                <w:sz w:val="20"/>
                <w:szCs w:val="20"/>
              </w:rPr>
              <w:br w:type="textWrapping"/>
            </w:r>
            <w:r>
              <w:rPr>
                <w:rFonts w:hint="eastAsia" w:ascii="宋体" w:hAnsi="宋体" w:cs="宋体"/>
                <w:kern w:val="0"/>
                <w:sz w:val="20"/>
                <w:szCs w:val="20"/>
              </w:rPr>
              <w:t>9.自动控制功能离线运行：支持智能控制参数均写入设备上的EEPROM上，设备离线状态时可以根据设定的自控参数，智能执行。</w:t>
            </w:r>
            <w:r>
              <w:rPr>
                <w:rFonts w:hint="eastAsia" w:ascii="宋体" w:hAnsi="宋体" w:cs="宋体"/>
                <w:kern w:val="0"/>
                <w:sz w:val="20"/>
                <w:szCs w:val="20"/>
              </w:rPr>
              <w:br w:type="textWrapping"/>
            </w:r>
            <w:r>
              <w:rPr>
                <w:rFonts w:hint="eastAsia" w:ascii="宋体" w:hAnsi="宋体" w:cs="宋体"/>
                <w:kern w:val="0"/>
                <w:sz w:val="20"/>
                <w:szCs w:val="20"/>
              </w:rPr>
              <w:t>实用性：</w:t>
            </w:r>
            <w:r>
              <w:rPr>
                <w:rFonts w:hint="eastAsia" w:ascii="宋体" w:hAnsi="宋体" w:cs="宋体"/>
                <w:kern w:val="0"/>
                <w:sz w:val="20"/>
                <w:szCs w:val="20"/>
              </w:rPr>
              <w:br w:type="textWrapping"/>
            </w:r>
            <w:r>
              <w:rPr>
                <w:rFonts w:hint="eastAsia" w:ascii="宋体" w:hAnsi="宋体" w:cs="宋体"/>
                <w:kern w:val="0"/>
                <w:sz w:val="20"/>
                <w:szCs w:val="20"/>
              </w:rPr>
              <w:t>1. 用电管理功能：支持设备用电管理功能，主要包括：1.可设定每月自动固定充值额度电量；2.可对设备进行可用电量充值及撤销充值操作；3.电量用完自动限制空调使用；4.用电管理功能可开关。</w:t>
            </w:r>
            <w:r>
              <w:rPr>
                <w:rFonts w:hint="eastAsia" w:ascii="宋体" w:hAnsi="宋体" w:cs="宋体"/>
                <w:kern w:val="0"/>
                <w:sz w:val="20"/>
                <w:szCs w:val="20"/>
              </w:rPr>
              <w:br w:type="textWrapping"/>
            </w:r>
            <w:r>
              <w:rPr>
                <w:rFonts w:hint="eastAsia" w:ascii="宋体" w:hAnsi="宋体" w:cs="宋体"/>
                <w:kern w:val="0"/>
                <w:sz w:val="20"/>
                <w:szCs w:val="20"/>
              </w:rPr>
              <w:t>2.剩余电量显示：可为设备进行用电量的预充值，设备数码管显示剩余电量，用户可以实时查看剩余可用电量。</w:t>
            </w:r>
            <w:r>
              <w:rPr>
                <w:rFonts w:hint="eastAsia" w:ascii="宋体" w:hAnsi="宋体" w:cs="宋体"/>
                <w:kern w:val="0"/>
                <w:sz w:val="20"/>
                <w:szCs w:val="20"/>
              </w:rPr>
              <w:br w:type="textWrapping"/>
            </w:r>
            <w:r>
              <w:rPr>
                <w:rFonts w:hint="eastAsia" w:ascii="宋体" w:hAnsi="宋体" w:cs="宋体"/>
                <w:kern w:val="0"/>
                <w:sz w:val="20"/>
                <w:szCs w:val="20"/>
              </w:rPr>
              <w:t>▲3.管理员遥控功能：可通过遥控器对设备进行现场配置，并控制设备运行。</w:t>
            </w:r>
            <w:r>
              <w:rPr>
                <w:rFonts w:hint="eastAsia" w:ascii="宋体" w:hAnsi="宋体" w:cs="宋体"/>
                <w:kern w:val="0"/>
                <w:sz w:val="20"/>
                <w:szCs w:val="20"/>
              </w:rPr>
              <w:br w:type="textWrapping"/>
            </w:r>
            <w:r>
              <w:rPr>
                <w:rFonts w:hint="eastAsia" w:ascii="宋体" w:hAnsi="宋体" w:cs="宋体"/>
                <w:kern w:val="0"/>
                <w:sz w:val="20"/>
                <w:szCs w:val="20"/>
              </w:rPr>
              <w:t>▲4.远程固件升级：可通过远程通信接口对设备进行批量升级。</w:t>
            </w:r>
            <w:r>
              <w:rPr>
                <w:rFonts w:hint="eastAsia" w:ascii="宋体" w:hAnsi="宋体" w:cs="宋体"/>
                <w:kern w:val="0"/>
                <w:sz w:val="20"/>
                <w:szCs w:val="20"/>
              </w:rPr>
              <w:br w:type="textWrapping"/>
            </w:r>
            <w:r>
              <w:rPr>
                <w:rFonts w:hint="eastAsia" w:ascii="宋体" w:hAnsi="宋体" w:cs="宋体"/>
                <w:kern w:val="0"/>
                <w:sz w:val="20"/>
                <w:szCs w:val="20"/>
              </w:rPr>
              <w:t>▲5.无负载报警功能：当控制器插头被拔掉时，控制器可把当前负载状态实时反馈到上位机。</w:t>
            </w:r>
            <w:r>
              <w:rPr>
                <w:rFonts w:hint="eastAsia" w:ascii="宋体" w:hAnsi="宋体" w:cs="宋体"/>
                <w:kern w:val="0"/>
                <w:sz w:val="20"/>
                <w:szCs w:val="20"/>
              </w:rPr>
              <w:br w:type="textWrapping"/>
            </w:r>
            <w:r>
              <w:rPr>
                <w:rFonts w:hint="eastAsia" w:ascii="宋体" w:hAnsi="宋体" w:cs="宋体"/>
                <w:kern w:val="0"/>
                <w:sz w:val="20"/>
                <w:szCs w:val="20"/>
              </w:rPr>
              <w:t>拓展性：</w:t>
            </w:r>
            <w:r>
              <w:rPr>
                <w:rFonts w:hint="eastAsia" w:ascii="宋体" w:hAnsi="宋体" w:cs="宋体"/>
                <w:kern w:val="0"/>
                <w:sz w:val="20"/>
                <w:szCs w:val="20"/>
              </w:rPr>
              <w:br w:type="textWrapping"/>
            </w:r>
            <w:r>
              <w:rPr>
                <w:rFonts w:hint="eastAsia" w:ascii="宋体" w:hAnsi="宋体" w:cs="宋体"/>
                <w:kern w:val="0"/>
                <w:sz w:val="20"/>
                <w:szCs w:val="20"/>
              </w:rPr>
              <w:t>1.可预留门磁或红外接口（二选一）方便后期做功能扩展。</w:t>
            </w:r>
            <w:r>
              <w:rPr>
                <w:rFonts w:hint="eastAsia" w:ascii="宋体" w:hAnsi="宋体" w:cs="宋体"/>
                <w:kern w:val="0"/>
                <w:sz w:val="20"/>
                <w:szCs w:val="20"/>
              </w:rPr>
              <w:br w:type="textWrapping"/>
            </w:r>
            <w:r>
              <w:rPr>
                <w:rFonts w:hint="eastAsia" w:ascii="宋体" w:hAnsi="宋体" w:cs="宋体"/>
                <w:kern w:val="0"/>
                <w:sz w:val="20"/>
                <w:szCs w:val="20"/>
              </w:rPr>
              <w:t>2.预留性能监测模块接口方便后期做功能扩展。</w:t>
            </w:r>
            <w:r>
              <w:rPr>
                <w:rFonts w:hint="eastAsia" w:ascii="宋体" w:hAnsi="宋体" w:cs="宋体"/>
                <w:kern w:val="0"/>
                <w:sz w:val="20"/>
                <w:szCs w:val="20"/>
              </w:rPr>
              <w:br w:type="textWrapping"/>
            </w:r>
            <w:r>
              <w:rPr>
                <w:rFonts w:hint="eastAsia" w:ascii="宋体" w:hAnsi="宋体" w:cs="宋体"/>
                <w:kern w:val="0"/>
                <w:sz w:val="20"/>
                <w:szCs w:val="20"/>
              </w:rPr>
              <w:t>安全性：</w:t>
            </w:r>
            <w:r>
              <w:rPr>
                <w:rFonts w:hint="eastAsia" w:ascii="宋体" w:hAnsi="宋体" w:cs="宋体"/>
                <w:kern w:val="0"/>
                <w:sz w:val="20"/>
                <w:szCs w:val="20"/>
              </w:rPr>
              <w:br w:type="textWrapping"/>
            </w:r>
            <w:r>
              <w:rPr>
                <w:rFonts w:hint="eastAsia" w:ascii="宋体" w:hAnsi="宋体" w:cs="宋体"/>
                <w:kern w:val="0"/>
                <w:sz w:val="20"/>
                <w:szCs w:val="20"/>
              </w:rPr>
              <w:t>1.380V空调的智能节能远程强电控制需要内置应用交流接触器，整机一体式设计，无需外挂；</w:t>
            </w:r>
            <w:r>
              <w:rPr>
                <w:rFonts w:hint="eastAsia" w:ascii="宋体" w:hAnsi="宋体" w:cs="宋体"/>
                <w:kern w:val="0"/>
                <w:sz w:val="20"/>
                <w:szCs w:val="20"/>
              </w:rPr>
              <w:br w:type="textWrapping"/>
            </w:r>
            <w:r>
              <w:rPr>
                <w:rFonts w:hint="eastAsia" w:ascii="宋体" w:hAnsi="宋体" w:cs="宋体"/>
                <w:kern w:val="0"/>
                <w:sz w:val="20"/>
                <w:szCs w:val="20"/>
              </w:rPr>
              <w:t>产品资质：</w:t>
            </w:r>
            <w:r>
              <w:rPr>
                <w:rFonts w:hint="eastAsia" w:ascii="宋体" w:hAnsi="宋体" w:cs="宋体"/>
                <w:kern w:val="0"/>
                <w:sz w:val="20"/>
                <w:szCs w:val="20"/>
              </w:rPr>
              <w:br w:type="textWrapping"/>
            </w:r>
            <w:r>
              <w:rPr>
                <w:rFonts w:hint="eastAsia" w:ascii="宋体" w:hAnsi="宋体" w:cs="宋体"/>
                <w:kern w:val="0"/>
                <w:sz w:val="20"/>
                <w:szCs w:val="20"/>
              </w:rPr>
              <w:t>▲1.设备抗干扰等级：3级（IEC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2.产品质量检测报告</w:t>
            </w:r>
            <w:r>
              <w:rPr>
                <w:rFonts w:hint="eastAsia" w:ascii="宋体" w:hAnsi="宋体" w:cs="宋体"/>
                <w:kern w:val="0"/>
                <w:sz w:val="20"/>
                <w:szCs w:val="20"/>
              </w:rPr>
              <w:br w:type="textWrapping"/>
            </w:r>
            <w:r>
              <w:rPr>
                <w:rFonts w:hint="eastAsia" w:ascii="宋体" w:hAnsi="宋体" w:cs="宋体"/>
                <w:kern w:val="0"/>
                <w:sz w:val="20"/>
                <w:szCs w:val="20"/>
              </w:rPr>
              <w:t>基本参数：</w:t>
            </w:r>
            <w:r>
              <w:rPr>
                <w:rFonts w:hint="eastAsia" w:ascii="宋体" w:hAnsi="宋体" w:cs="宋体"/>
                <w:kern w:val="0"/>
                <w:sz w:val="20"/>
                <w:szCs w:val="20"/>
              </w:rPr>
              <w:br w:type="textWrapping"/>
            </w:r>
            <w:r>
              <w:rPr>
                <w:rFonts w:hint="eastAsia" w:ascii="宋体" w:hAnsi="宋体" w:cs="宋体"/>
                <w:kern w:val="0"/>
                <w:sz w:val="20"/>
                <w:szCs w:val="20"/>
              </w:rPr>
              <w:t>1.安装方式：线式。</w:t>
            </w:r>
            <w:r>
              <w:rPr>
                <w:rFonts w:hint="eastAsia" w:ascii="宋体" w:hAnsi="宋体" w:cs="宋体"/>
                <w:kern w:val="0"/>
                <w:sz w:val="20"/>
                <w:szCs w:val="20"/>
              </w:rPr>
              <w:br w:type="textWrapping"/>
            </w:r>
            <w:r>
              <w:rPr>
                <w:rFonts w:hint="eastAsia" w:ascii="宋体" w:hAnsi="宋体" w:cs="宋体"/>
                <w:kern w:val="0"/>
                <w:sz w:val="20"/>
                <w:szCs w:val="20"/>
              </w:rPr>
              <w:t>2.工作温度：-15℃~60℃。</w:t>
            </w:r>
            <w:r>
              <w:rPr>
                <w:rFonts w:hint="eastAsia" w:ascii="宋体" w:hAnsi="宋体" w:cs="宋体"/>
                <w:kern w:val="0"/>
                <w:sz w:val="20"/>
                <w:szCs w:val="20"/>
              </w:rPr>
              <w:br w:type="textWrapping"/>
            </w:r>
            <w:r>
              <w:rPr>
                <w:rFonts w:hint="eastAsia" w:ascii="宋体" w:hAnsi="宋体" w:cs="宋体"/>
                <w:kern w:val="0"/>
                <w:sz w:val="20"/>
                <w:szCs w:val="20"/>
              </w:rPr>
              <w:t>3.工作湿度：10％到95％(无凝露)。</w:t>
            </w:r>
            <w:r>
              <w:rPr>
                <w:rFonts w:hint="eastAsia" w:ascii="宋体" w:hAnsi="宋体" w:cs="宋体"/>
                <w:kern w:val="0"/>
                <w:sz w:val="20"/>
                <w:szCs w:val="20"/>
              </w:rPr>
              <w:br w:type="textWrapping"/>
            </w:r>
            <w:r>
              <w:rPr>
                <w:rFonts w:hint="eastAsia" w:ascii="宋体" w:hAnsi="宋体" w:cs="宋体"/>
                <w:kern w:val="0"/>
                <w:sz w:val="20"/>
                <w:szCs w:val="20"/>
              </w:rPr>
              <w:t>4.红外载波频率：38KHZ。</w:t>
            </w:r>
            <w:r>
              <w:rPr>
                <w:rFonts w:hint="eastAsia" w:ascii="宋体" w:hAnsi="宋体" w:cs="宋体"/>
                <w:kern w:val="0"/>
                <w:sz w:val="20"/>
                <w:szCs w:val="20"/>
              </w:rPr>
              <w:br w:type="textWrapping"/>
            </w:r>
            <w:r>
              <w:rPr>
                <w:rFonts w:hint="eastAsia" w:ascii="宋体" w:hAnsi="宋体" w:cs="宋体"/>
                <w:kern w:val="0"/>
                <w:sz w:val="20"/>
                <w:szCs w:val="20"/>
              </w:rPr>
              <w:t>5.继电器额定电流：24A。</w:t>
            </w:r>
            <w:r>
              <w:rPr>
                <w:rFonts w:hint="eastAsia" w:ascii="宋体" w:hAnsi="宋体" w:cs="宋体"/>
                <w:kern w:val="0"/>
                <w:sz w:val="20"/>
                <w:szCs w:val="20"/>
              </w:rPr>
              <w:br w:type="textWrapping"/>
            </w:r>
            <w:r>
              <w:rPr>
                <w:rFonts w:hint="eastAsia" w:ascii="宋体" w:hAnsi="宋体" w:cs="宋体"/>
                <w:kern w:val="0"/>
                <w:sz w:val="20"/>
                <w:szCs w:val="20"/>
              </w:rPr>
              <w:t>6.继电器额定电压：380V。</w:t>
            </w:r>
            <w:r>
              <w:rPr>
                <w:rFonts w:hint="eastAsia" w:ascii="宋体" w:hAnsi="宋体" w:cs="宋体"/>
                <w:kern w:val="0"/>
                <w:sz w:val="20"/>
                <w:szCs w:val="20"/>
              </w:rPr>
              <w:br w:type="textWrapping"/>
            </w:r>
            <w:r>
              <w:rPr>
                <w:rFonts w:hint="eastAsia" w:ascii="宋体" w:hAnsi="宋体" w:cs="宋体"/>
                <w:kern w:val="0"/>
                <w:sz w:val="20"/>
                <w:szCs w:val="20"/>
              </w:rPr>
              <w:t>7.通讯方式：无线4G通讯。</w:t>
            </w:r>
            <w:r>
              <w:rPr>
                <w:rFonts w:hint="eastAsia" w:ascii="宋体" w:hAnsi="宋体" w:cs="宋体"/>
                <w:kern w:val="0"/>
                <w:sz w:val="20"/>
                <w:szCs w:val="20"/>
              </w:rPr>
              <w:br w:type="textWrapping"/>
            </w:r>
            <w:r>
              <w:rPr>
                <w:rFonts w:hint="eastAsia" w:ascii="宋体" w:hAnsi="宋体" w:cs="宋体"/>
                <w:kern w:val="0"/>
                <w:sz w:val="20"/>
                <w:szCs w:val="20"/>
              </w:rPr>
              <w:t>8.控制方式：继电器通断输出控制，红外遥控码值发射控制。</w:t>
            </w:r>
            <w:r>
              <w:rPr>
                <w:rFonts w:hint="eastAsia" w:ascii="宋体" w:hAnsi="宋体" w:cs="宋体"/>
                <w:kern w:val="0"/>
                <w:sz w:val="20"/>
                <w:szCs w:val="20"/>
              </w:rPr>
              <w:br w:type="textWrapping"/>
            </w:r>
            <w:r>
              <w:rPr>
                <w:rFonts w:hint="eastAsia" w:ascii="宋体" w:hAnsi="宋体" w:cs="宋体"/>
                <w:kern w:val="0"/>
                <w:sz w:val="20"/>
                <w:szCs w:val="20"/>
              </w:rPr>
              <w:t>9.设备抗干扰等级：3级（IEC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10.显示：LED数码显示。</w:t>
            </w:r>
            <w:r>
              <w:rPr>
                <w:rFonts w:hint="eastAsia" w:ascii="宋体" w:hAnsi="宋体" w:cs="宋体"/>
                <w:kern w:val="0"/>
                <w:sz w:val="20"/>
                <w:szCs w:val="20"/>
              </w:rPr>
              <w:br w:type="textWrapping"/>
            </w:r>
            <w:r>
              <w:rPr>
                <w:rFonts w:hint="eastAsia" w:ascii="宋体" w:hAnsi="宋体" w:cs="宋体"/>
                <w:kern w:val="0"/>
                <w:sz w:val="20"/>
                <w:szCs w:val="20"/>
              </w:rPr>
              <w:t>管理平台：</w:t>
            </w:r>
            <w:r>
              <w:rPr>
                <w:rFonts w:hint="eastAsia" w:ascii="宋体" w:hAnsi="宋体" w:cs="宋体"/>
                <w:kern w:val="0"/>
                <w:sz w:val="20"/>
                <w:szCs w:val="20"/>
              </w:rPr>
              <w:br w:type="textWrapping"/>
            </w:r>
            <w:r>
              <w:rPr>
                <w:rFonts w:hint="eastAsia" w:ascii="宋体" w:hAnsi="宋体" w:cs="宋体"/>
                <w:kern w:val="0"/>
                <w:sz w:val="20"/>
                <w:szCs w:val="20"/>
              </w:rPr>
              <w:t>1.MQTT服务：可设置mqtt服务器地址、账号、登录密码信息；可设置主题格式、超时时间、心跳时间的通信规则。</w:t>
            </w:r>
            <w:r>
              <w:rPr>
                <w:rFonts w:hint="eastAsia" w:ascii="宋体" w:hAnsi="宋体" w:cs="宋体"/>
                <w:kern w:val="0"/>
                <w:sz w:val="20"/>
                <w:szCs w:val="20"/>
              </w:rPr>
              <w:br w:type="textWrapping"/>
            </w:r>
            <w:r>
              <w:rPr>
                <w:rFonts w:hint="eastAsia" w:ascii="宋体" w:hAnsi="宋体" w:cs="宋体"/>
                <w:kern w:val="0"/>
                <w:sz w:val="20"/>
                <w:szCs w:val="20"/>
              </w:rPr>
              <w:t>2.多种通讯格式兼容：支持设备联网方式可采用无线局域网、有线485网络、GPRS、wifi、以太网。</w:t>
            </w:r>
            <w:r>
              <w:rPr>
                <w:rFonts w:hint="eastAsia" w:ascii="宋体" w:hAnsi="宋体" w:cs="宋体"/>
                <w:kern w:val="0"/>
                <w:sz w:val="20"/>
                <w:szCs w:val="20"/>
              </w:rPr>
              <w:br w:type="textWrapping"/>
            </w:r>
            <w:r>
              <w:rPr>
                <w:rFonts w:hint="eastAsia" w:ascii="宋体" w:hAnsi="宋体" w:cs="宋体"/>
                <w:kern w:val="0"/>
                <w:sz w:val="20"/>
                <w:szCs w:val="20"/>
              </w:rPr>
              <w:t>3.图形化实时状态显示：支持每台空调对应一个状态块，状态块里包含空调名称、所在地的当前温度、光照度、空调当前的瞬时电流、电压、功率、空调累计用电量、空调累计用电时长。应用图标及颜色描述空调当前的状态，当前状态有运行状态、待机状态、断电状态。应用图标及颜色描述空调应用环境是否有人状态、AC360蜂鸣器开关状态、自控系统是否打开状态、当前自控系统应用的季节状态（夏季/冬季），应用颜色描述空调控制器的异常状态。</w:t>
            </w:r>
            <w:r>
              <w:rPr>
                <w:rFonts w:hint="eastAsia" w:ascii="宋体" w:hAnsi="宋体" w:cs="宋体"/>
                <w:kern w:val="0"/>
                <w:sz w:val="20"/>
                <w:szCs w:val="20"/>
              </w:rPr>
              <w:br w:type="textWrapping"/>
            </w:r>
            <w:r>
              <w:rPr>
                <w:rFonts w:hint="eastAsia" w:ascii="宋体" w:hAnsi="宋体" w:cs="宋体"/>
                <w:kern w:val="0"/>
                <w:sz w:val="20"/>
                <w:szCs w:val="20"/>
              </w:rPr>
              <w:t>4.图形化控制界面：可通过点击图形界面控制AC360的状态开关：继电器开关（接通或断开空调电源），自控系统功能开关，蜂鸣器开关、光敏传感器功能开关。</w:t>
            </w:r>
            <w:r>
              <w:rPr>
                <w:rFonts w:hint="eastAsia" w:ascii="宋体" w:hAnsi="宋体" w:cs="宋体"/>
                <w:kern w:val="0"/>
                <w:sz w:val="20"/>
                <w:szCs w:val="20"/>
              </w:rPr>
              <w:br w:type="textWrapping"/>
            </w:r>
            <w:r>
              <w:rPr>
                <w:rFonts w:hint="eastAsia" w:ascii="宋体" w:hAnsi="宋体" w:cs="宋体"/>
                <w:kern w:val="0"/>
                <w:sz w:val="20"/>
                <w:szCs w:val="20"/>
              </w:rPr>
              <w:t>5.可视报警视图：可分时、分组、分设备、分故障类型查询设备报警信息，包括温度传感器异常报警，设备通讯异常报警。</w:t>
            </w:r>
            <w:r>
              <w:rPr>
                <w:rFonts w:hint="eastAsia" w:ascii="宋体" w:hAnsi="宋体" w:cs="宋体"/>
                <w:kern w:val="0"/>
                <w:sz w:val="20"/>
                <w:szCs w:val="20"/>
              </w:rPr>
              <w:br w:type="textWrapping"/>
            </w:r>
            <w:r>
              <w:rPr>
                <w:rFonts w:hint="eastAsia" w:ascii="宋体" w:hAnsi="宋体" w:cs="宋体"/>
                <w:kern w:val="0"/>
                <w:sz w:val="20"/>
                <w:szCs w:val="20"/>
              </w:rPr>
              <w:t>6.远程定时控制：可通过定时控制界面，控制系统在设定的时间定时空调开关机、空调送电或断电，以各分组设备为设置对象，每条定时开关独立执行。</w:t>
            </w:r>
            <w:r>
              <w:rPr>
                <w:rFonts w:hint="eastAsia" w:ascii="宋体" w:hAnsi="宋体" w:cs="宋体"/>
                <w:kern w:val="0"/>
                <w:sz w:val="20"/>
                <w:szCs w:val="20"/>
              </w:rPr>
              <w:br w:type="textWrapping"/>
            </w:r>
            <w:r>
              <w:rPr>
                <w:rFonts w:hint="eastAsia" w:ascii="宋体" w:hAnsi="宋体" w:cs="宋体"/>
                <w:kern w:val="0"/>
                <w:sz w:val="20"/>
                <w:szCs w:val="20"/>
              </w:rPr>
              <w:t>7.远程手动控制：可通过PC端对空调进行分组或单个设备远程红外及电源控控制，红外控制包括开关空调、调节空调运行模式、调节空调温度。</w:t>
            </w:r>
            <w:r>
              <w:rPr>
                <w:rFonts w:hint="eastAsia" w:ascii="宋体" w:hAnsi="宋体" w:cs="宋体"/>
                <w:kern w:val="0"/>
                <w:sz w:val="20"/>
                <w:szCs w:val="20"/>
              </w:rPr>
              <w:br w:type="textWrapping"/>
            </w:r>
            <w:r>
              <w:rPr>
                <w:rFonts w:hint="eastAsia" w:ascii="宋体" w:hAnsi="宋体" w:cs="宋体"/>
                <w:kern w:val="0"/>
                <w:sz w:val="20"/>
                <w:szCs w:val="20"/>
              </w:rPr>
              <w:t>▲8.红外码库：可配置红外码库；选择品牌空调编码、空调品牌、遥控器型号、设备型号；支持一键匹配空调，通过分析学习接收的红外码值，自动匹配出相应的遥控器型号，并通过码库中的参数可控制空调的开关、模式、温度设置、风向、风速信息；可在线设置所连接码库服务器的地址、密匙、解析方式。</w:t>
            </w:r>
            <w:r>
              <w:rPr>
                <w:rFonts w:hint="eastAsia" w:ascii="宋体" w:hAnsi="宋体" w:cs="宋体"/>
                <w:kern w:val="0"/>
                <w:sz w:val="20"/>
                <w:szCs w:val="20"/>
              </w:rPr>
              <w:br w:type="textWrapping"/>
            </w:r>
            <w:r>
              <w:rPr>
                <w:rFonts w:hint="eastAsia" w:ascii="宋体" w:hAnsi="宋体" w:cs="宋体"/>
                <w:kern w:val="0"/>
                <w:sz w:val="20"/>
                <w:szCs w:val="20"/>
              </w:rPr>
              <w:t>▲9.红外码库自动匹配功能：可根据设备上报的红外码值自动匹配红外码库内适用的红外码值，并通过匹配到的红外码值控制空调。</w:t>
            </w:r>
            <w:r>
              <w:rPr>
                <w:rFonts w:hint="eastAsia" w:ascii="宋体" w:hAnsi="宋体" w:cs="宋体"/>
                <w:kern w:val="0"/>
                <w:sz w:val="20"/>
                <w:szCs w:val="20"/>
              </w:rPr>
              <w:br w:type="textWrapping"/>
            </w:r>
            <w:r>
              <w:rPr>
                <w:rFonts w:hint="eastAsia" w:ascii="宋体" w:hAnsi="宋体" w:cs="宋体"/>
                <w:kern w:val="0"/>
                <w:sz w:val="20"/>
                <w:szCs w:val="20"/>
              </w:rPr>
              <w:t>▲10.码库注册：可管理添加码库、码库链接地址。</w:t>
            </w:r>
            <w:r>
              <w:rPr>
                <w:rFonts w:hint="eastAsia" w:ascii="宋体" w:hAnsi="宋体" w:cs="宋体"/>
                <w:kern w:val="0"/>
                <w:sz w:val="20"/>
                <w:szCs w:val="20"/>
              </w:rPr>
              <w:br w:type="textWrapping"/>
            </w:r>
            <w:r>
              <w:rPr>
                <w:rFonts w:hint="eastAsia" w:ascii="宋体" w:hAnsi="宋体" w:cs="宋体"/>
                <w:kern w:val="0"/>
                <w:sz w:val="20"/>
                <w:szCs w:val="20"/>
              </w:rPr>
              <w:t>11.用电管理开关：可对设备电量管理功能的开启、关闭，开启功能后空调使用受可用电量的限制。</w:t>
            </w:r>
            <w:r>
              <w:rPr>
                <w:rFonts w:hint="eastAsia" w:ascii="宋体" w:hAnsi="宋体" w:cs="宋体"/>
                <w:kern w:val="0"/>
                <w:sz w:val="20"/>
                <w:szCs w:val="20"/>
              </w:rPr>
              <w:br w:type="textWrapping"/>
            </w:r>
            <w:r>
              <w:rPr>
                <w:rFonts w:hint="eastAsia" w:ascii="宋体" w:hAnsi="宋体" w:cs="宋体"/>
                <w:kern w:val="0"/>
                <w:sz w:val="20"/>
                <w:szCs w:val="20"/>
              </w:rPr>
              <w:t>12.电量充值：可对设备可用电量进行充值、撤销充值以及充值记录查询。</w:t>
            </w:r>
            <w:r>
              <w:rPr>
                <w:rFonts w:hint="eastAsia" w:ascii="宋体" w:hAnsi="宋体" w:cs="宋体"/>
                <w:kern w:val="0"/>
                <w:sz w:val="20"/>
                <w:szCs w:val="20"/>
              </w:rPr>
              <w:br w:type="textWrapping"/>
            </w:r>
            <w:r>
              <w:rPr>
                <w:rFonts w:hint="eastAsia" w:ascii="宋体" w:hAnsi="宋体" w:cs="宋体"/>
                <w:kern w:val="0"/>
                <w:sz w:val="20"/>
                <w:szCs w:val="20"/>
              </w:rPr>
              <w:t>13.红外学习功能：支持当码库中没有匹配到红外码值时，可以学习空调原配遥控器的红外码值，并且可以利用学习到的红外码值控制空调的开关，调整温度、模式。</w:t>
            </w:r>
            <w:r>
              <w:rPr>
                <w:rFonts w:hint="eastAsia" w:ascii="宋体" w:hAnsi="宋体" w:cs="宋体"/>
                <w:kern w:val="0"/>
                <w:sz w:val="20"/>
                <w:szCs w:val="20"/>
              </w:rPr>
              <w:br w:type="textWrapping"/>
            </w:r>
            <w:r>
              <w:rPr>
                <w:rFonts w:hint="eastAsia" w:ascii="宋体" w:hAnsi="宋体" w:cs="宋体"/>
                <w:kern w:val="0"/>
                <w:sz w:val="20"/>
                <w:szCs w:val="20"/>
              </w:rPr>
              <w:t>14.设备多级分组管理：可设置一到五级分组管理，操作时可对特定组的设备统一管理。</w:t>
            </w:r>
            <w:r>
              <w:rPr>
                <w:rFonts w:hint="eastAsia" w:ascii="宋体" w:hAnsi="宋体" w:cs="宋体"/>
                <w:kern w:val="0"/>
                <w:sz w:val="20"/>
                <w:szCs w:val="20"/>
              </w:rPr>
              <w:br w:type="textWrapping"/>
            </w:r>
            <w:r>
              <w:rPr>
                <w:rFonts w:hint="eastAsia" w:ascii="宋体" w:hAnsi="宋体" w:cs="宋体"/>
                <w:kern w:val="0"/>
                <w:sz w:val="20"/>
                <w:szCs w:val="20"/>
              </w:rPr>
              <w:t>▲15.固件升级：可远程批量升级设备固件程序。</w:t>
            </w:r>
            <w:r>
              <w:rPr>
                <w:rFonts w:hint="eastAsia" w:ascii="宋体" w:hAnsi="宋体" w:cs="宋体"/>
                <w:kern w:val="0"/>
                <w:sz w:val="20"/>
                <w:szCs w:val="20"/>
              </w:rPr>
              <w:br w:type="textWrapping"/>
            </w:r>
            <w:r>
              <w:rPr>
                <w:rFonts w:hint="eastAsia" w:ascii="宋体" w:hAnsi="宋体" w:cs="宋体"/>
                <w:kern w:val="0"/>
                <w:sz w:val="20"/>
                <w:szCs w:val="20"/>
              </w:rPr>
              <w:t>16.采集数据查询：可查询各空调数据定时、手动采集到的数据，以列表形式显示，可选择时间段、分组筛选。后台自动屏蔽连续多次采集到一样的数据，只保留一条。</w:t>
            </w:r>
            <w:r>
              <w:rPr>
                <w:rFonts w:hint="eastAsia" w:ascii="宋体" w:hAnsi="宋体" w:cs="宋体"/>
                <w:kern w:val="0"/>
                <w:sz w:val="20"/>
                <w:szCs w:val="20"/>
              </w:rPr>
              <w:br w:type="textWrapping"/>
            </w:r>
            <w:r>
              <w:rPr>
                <w:rFonts w:hint="eastAsia" w:ascii="宋体" w:hAnsi="宋体" w:cs="宋体"/>
                <w:kern w:val="0"/>
                <w:sz w:val="20"/>
                <w:szCs w:val="20"/>
              </w:rPr>
              <w:t>17.图形化能源报表：可统计总体、各个分组、各个设备的用电情况，包括用电量以用电时长、瞬时功率、能源分析，并进行节电率分析。</w:t>
            </w:r>
            <w:r>
              <w:rPr>
                <w:rFonts w:hint="eastAsia" w:ascii="宋体" w:hAnsi="宋体" w:cs="宋体"/>
                <w:kern w:val="0"/>
                <w:sz w:val="20"/>
                <w:szCs w:val="20"/>
              </w:rPr>
              <w:br w:type="textWrapping"/>
            </w:r>
            <w:r>
              <w:rPr>
                <w:rFonts w:hint="eastAsia" w:ascii="宋体" w:hAnsi="宋体" w:cs="宋体"/>
                <w:kern w:val="0"/>
                <w:sz w:val="20"/>
                <w:szCs w:val="20"/>
              </w:rPr>
              <w:t>18.设备管理：可添加、删除设备，设置设备的名称、连接的网关、通信地址、设备类型、分组的信息。</w:t>
            </w:r>
            <w:r>
              <w:rPr>
                <w:rFonts w:hint="eastAsia" w:ascii="宋体" w:hAnsi="宋体" w:cs="宋体"/>
                <w:kern w:val="0"/>
                <w:sz w:val="20"/>
                <w:szCs w:val="20"/>
              </w:rPr>
              <w:br w:type="textWrapping"/>
            </w:r>
            <w:r>
              <w:rPr>
                <w:rFonts w:hint="eastAsia" w:ascii="宋体" w:hAnsi="宋体" w:cs="宋体"/>
                <w:kern w:val="0"/>
                <w:sz w:val="20"/>
                <w:szCs w:val="20"/>
              </w:rPr>
              <w:t>19.产品管理：可设置、添加产品，可设置产品信息，包括产品类型、品牌、对应遥控器型号（自动匹配到码库）。</w:t>
            </w:r>
            <w:r>
              <w:rPr>
                <w:rFonts w:hint="eastAsia" w:ascii="宋体" w:hAnsi="宋体" w:cs="宋体"/>
                <w:kern w:val="0"/>
                <w:sz w:val="20"/>
                <w:szCs w:val="20"/>
              </w:rPr>
              <w:br w:type="textWrapping"/>
            </w:r>
            <w:r>
              <w:rPr>
                <w:rFonts w:hint="eastAsia" w:ascii="宋体" w:hAnsi="宋体" w:cs="宋体"/>
                <w:kern w:val="0"/>
                <w:sz w:val="20"/>
                <w:szCs w:val="20"/>
              </w:rPr>
              <w:t>20.网关管理：可添加、删除、批量导入RS485、MQTT网关，网关中可设置通信规则、红外发射延迟时间、红外验证时间（发送红外后智能验证是否发送成功）、判断超时时间、通信失败重发次数、分包大小的信息。</w:t>
            </w:r>
            <w:r>
              <w:rPr>
                <w:rFonts w:hint="eastAsia" w:ascii="宋体" w:hAnsi="宋体" w:cs="宋体"/>
                <w:kern w:val="0"/>
                <w:sz w:val="20"/>
                <w:szCs w:val="20"/>
              </w:rPr>
              <w:br w:type="textWrapping"/>
            </w:r>
            <w:r>
              <w:rPr>
                <w:rFonts w:hint="eastAsia" w:ascii="宋体" w:hAnsi="宋体" w:cs="宋体"/>
                <w:kern w:val="0"/>
                <w:sz w:val="20"/>
                <w:szCs w:val="20"/>
              </w:rPr>
              <w:t>21.设置无人关机与继电器断开时间间隔设置：支持设备断开继电器时，先判断空调启停状态，若开启，发送红外关机指令，延时“红外关机与继电器断开时间间隔”所设置的时间后，再断开继电器。</w:t>
            </w:r>
            <w:r>
              <w:rPr>
                <w:rFonts w:hint="eastAsia" w:ascii="宋体" w:hAnsi="宋体" w:cs="宋体"/>
                <w:kern w:val="0"/>
                <w:sz w:val="20"/>
                <w:szCs w:val="20"/>
              </w:rPr>
              <w:br w:type="textWrapping"/>
            </w:r>
            <w:r>
              <w:rPr>
                <w:rFonts w:hint="eastAsia" w:ascii="宋体" w:hAnsi="宋体" w:cs="宋体"/>
                <w:kern w:val="0"/>
                <w:sz w:val="20"/>
                <w:szCs w:val="20"/>
              </w:rPr>
              <w:t>22.冬夏季温度阀值、启停探测阀值设置：支持设备上电后进行冬夏季判断，大于设置的阈值时，判断为夏季，小于设置的阈值时，判断为冬季。设备通过检测负载的电流，并与设置的阈值作比较，判断所接负载是启动还是关闭；检测的电流大于设置的阈值，判断为启动；检测的电流小于设置的阈值，判断为关闭。</w:t>
            </w:r>
            <w:r>
              <w:rPr>
                <w:rFonts w:hint="eastAsia" w:ascii="宋体" w:hAnsi="宋体" w:cs="宋体"/>
                <w:kern w:val="0"/>
                <w:sz w:val="20"/>
                <w:szCs w:val="20"/>
              </w:rPr>
              <w:br w:type="textWrapping"/>
            </w:r>
            <w:r>
              <w:rPr>
                <w:rFonts w:hint="eastAsia" w:ascii="宋体" w:hAnsi="宋体" w:cs="宋体"/>
                <w:kern w:val="0"/>
                <w:sz w:val="20"/>
                <w:szCs w:val="20"/>
              </w:rPr>
              <w:t>23.自控采集间隔时间设置：支持开启自控模式时，采集一次温度，温度将持续保持“自控采集间隔时间”所设置的时间，之后再次采集温度，再持续保持所设置的时间。</w:t>
            </w:r>
            <w:r>
              <w:rPr>
                <w:rFonts w:hint="eastAsia" w:ascii="宋体" w:hAnsi="宋体" w:cs="宋体"/>
                <w:kern w:val="0"/>
                <w:sz w:val="20"/>
                <w:szCs w:val="20"/>
              </w:rPr>
              <w:br w:type="textWrapping"/>
            </w:r>
            <w:r>
              <w:rPr>
                <w:rFonts w:hint="eastAsia" w:ascii="宋体" w:hAnsi="宋体" w:cs="宋体"/>
                <w:kern w:val="0"/>
                <w:sz w:val="20"/>
                <w:szCs w:val="20"/>
              </w:rPr>
              <w:t>24.遥控密码设置：管理员通过密码激活遥控器，并进行使用时，并可更改设备的遥控器密码。</w:t>
            </w:r>
            <w:r>
              <w:rPr>
                <w:rFonts w:hint="eastAsia" w:ascii="宋体" w:hAnsi="宋体" w:cs="宋体"/>
                <w:kern w:val="0"/>
                <w:sz w:val="20"/>
                <w:szCs w:val="20"/>
              </w:rPr>
              <w:br w:type="textWrapping"/>
            </w:r>
            <w:r>
              <w:rPr>
                <w:rFonts w:hint="eastAsia" w:ascii="宋体" w:hAnsi="宋体" w:cs="宋体"/>
                <w:kern w:val="0"/>
                <w:sz w:val="20"/>
                <w:szCs w:val="20"/>
              </w:rPr>
              <w:t>25.自控参数设置：可开启自控模式，设备会按照所设置的自控参数进行运作；自控参数可以设置运行时段、冬夏季上下限、控制模式。</w:t>
            </w:r>
            <w:r>
              <w:rPr>
                <w:rFonts w:hint="eastAsia" w:ascii="宋体" w:hAnsi="宋体" w:cs="宋体"/>
                <w:kern w:val="0"/>
                <w:sz w:val="20"/>
                <w:szCs w:val="20"/>
              </w:rPr>
              <w:br w:type="textWrapping"/>
            </w:r>
            <w:r>
              <w:rPr>
                <w:rFonts w:hint="eastAsia" w:ascii="宋体" w:hAnsi="宋体" w:cs="宋体"/>
                <w:kern w:val="0"/>
                <w:sz w:val="20"/>
                <w:szCs w:val="20"/>
              </w:rPr>
              <w:t>26.全局设置：可设置空调温度、电压、电流报警数值，冬夏季时间段设置以及软件对设备自动信息的采集时间间隔进行设置值。</w:t>
            </w:r>
            <w:r>
              <w:rPr>
                <w:rFonts w:hint="eastAsia" w:ascii="宋体" w:hAnsi="宋体" w:cs="宋体"/>
                <w:kern w:val="0"/>
                <w:sz w:val="20"/>
                <w:szCs w:val="20"/>
              </w:rPr>
              <w:br w:type="textWrapping"/>
            </w:r>
            <w:r>
              <w:rPr>
                <w:rFonts w:hint="eastAsia" w:ascii="宋体" w:hAnsi="宋体" w:cs="宋体"/>
                <w:kern w:val="0"/>
                <w:sz w:val="20"/>
                <w:szCs w:val="20"/>
              </w:rPr>
              <w:t>27.定时/策略控制：可填写控制策略（远程根据分组、时间、温度来管理空调的开关）。可在固定时间段内、对所选固定区域空调设置温度控制策略，控制空调运行温度。</w:t>
            </w:r>
            <w:r>
              <w:rPr>
                <w:rFonts w:hint="eastAsia" w:ascii="宋体" w:hAnsi="宋体" w:cs="宋体"/>
                <w:kern w:val="0"/>
                <w:sz w:val="20"/>
                <w:szCs w:val="20"/>
              </w:rPr>
              <w:br w:type="textWrapping"/>
            </w:r>
            <w:r>
              <w:rPr>
                <w:rFonts w:hint="eastAsia" w:ascii="宋体" w:hAnsi="宋体" w:cs="宋体"/>
                <w:kern w:val="0"/>
                <w:sz w:val="20"/>
                <w:szCs w:val="20"/>
              </w:rPr>
              <w:t>▲28.统一管理平台：确保分体空调、多联机及人体传感器等设备在同一软件平台中展示、操控，并可联动运行，提升管理效率与系统整体可控性。</w:t>
            </w:r>
          </w:p>
        </w:tc>
        <w:tc>
          <w:tcPr>
            <w:tcW w:w="328" w:type="pct"/>
            <w:tcBorders>
              <w:top w:val="nil"/>
              <w:left w:val="nil"/>
              <w:bottom w:val="single" w:color="000000" w:sz="4" w:space="0"/>
              <w:right w:val="single" w:color="000000" w:sz="4" w:space="0"/>
            </w:tcBorders>
            <w:vAlign w:val="center"/>
          </w:tcPr>
          <w:p w14:paraId="59660D4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694" w:type="pct"/>
            <w:tcBorders>
              <w:top w:val="nil"/>
              <w:left w:val="nil"/>
              <w:bottom w:val="single" w:color="000000" w:sz="4" w:space="0"/>
              <w:right w:val="single" w:color="000000" w:sz="4" w:space="0"/>
            </w:tcBorders>
            <w:vAlign w:val="center"/>
          </w:tcPr>
          <w:p w14:paraId="3B1961D2">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172</w:t>
            </w:r>
          </w:p>
        </w:tc>
        <w:tc>
          <w:tcPr>
            <w:tcW w:w="480" w:type="pct"/>
            <w:tcBorders>
              <w:top w:val="nil"/>
              <w:left w:val="nil"/>
              <w:bottom w:val="single" w:color="000000" w:sz="4" w:space="0"/>
              <w:right w:val="single" w:color="000000" w:sz="4" w:space="0"/>
            </w:tcBorders>
            <w:vAlign w:val="center"/>
          </w:tcPr>
          <w:p w14:paraId="57CA922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1D2F8818">
        <w:tblPrEx>
          <w:tblCellMar>
            <w:top w:w="0" w:type="dxa"/>
            <w:left w:w="108" w:type="dxa"/>
            <w:bottom w:w="0" w:type="dxa"/>
            <w:right w:w="108" w:type="dxa"/>
          </w:tblCellMar>
        </w:tblPrEx>
        <w:trPr>
          <w:trHeight w:val="1800" w:hRule="atLeast"/>
        </w:trPr>
        <w:tc>
          <w:tcPr>
            <w:tcW w:w="374" w:type="pct"/>
            <w:tcBorders>
              <w:top w:val="nil"/>
              <w:left w:val="single" w:color="000000" w:sz="4" w:space="0"/>
              <w:bottom w:val="single" w:color="000000" w:sz="4" w:space="0"/>
              <w:right w:val="single" w:color="000000" w:sz="4" w:space="0"/>
            </w:tcBorders>
            <w:vAlign w:val="center"/>
          </w:tcPr>
          <w:p w14:paraId="7929D668">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w:t>
            </w:r>
          </w:p>
        </w:tc>
        <w:tc>
          <w:tcPr>
            <w:tcW w:w="685" w:type="pct"/>
            <w:tcBorders>
              <w:top w:val="nil"/>
              <w:left w:val="nil"/>
              <w:bottom w:val="single" w:color="000000" w:sz="4" w:space="0"/>
              <w:right w:val="single" w:color="000000" w:sz="4" w:space="0"/>
            </w:tcBorders>
            <w:vAlign w:val="center"/>
          </w:tcPr>
          <w:p w14:paraId="5513575B">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末端空调温控器</w:t>
            </w:r>
          </w:p>
        </w:tc>
        <w:tc>
          <w:tcPr>
            <w:tcW w:w="2439" w:type="pct"/>
            <w:tcBorders>
              <w:top w:val="nil"/>
              <w:left w:val="nil"/>
              <w:bottom w:val="single" w:color="000000" w:sz="4" w:space="0"/>
              <w:right w:val="single" w:color="000000" w:sz="4" w:space="0"/>
            </w:tcBorders>
            <w:vAlign w:val="center"/>
          </w:tcPr>
          <w:p w14:paraId="620B1666">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基本参数：</w:t>
            </w:r>
            <w:r>
              <w:rPr>
                <w:rFonts w:hint="eastAsia" w:ascii="宋体" w:hAnsi="宋体" w:cs="宋体"/>
                <w:kern w:val="0"/>
                <w:sz w:val="20"/>
                <w:szCs w:val="20"/>
              </w:rPr>
              <w:br w:type="textWrapping"/>
            </w:r>
            <w:r>
              <w:rPr>
                <w:rFonts w:hint="eastAsia" w:ascii="宋体" w:hAnsi="宋体" w:cs="宋体"/>
                <w:kern w:val="0"/>
                <w:sz w:val="20"/>
                <w:szCs w:val="20"/>
              </w:rPr>
              <w:t>1.适用：二管制水系统末端的风机盘管、电动门阀或球阀的工作状态控制</w:t>
            </w:r>
            <w:r>
              <w:rPr>
                <w:rFonts w:hint="eastAsia" w:ascii="宋体" w:hAnsi="宋体" w:cs="宋体"/>
                <w:kern w:val="0"/>
                <w:sz w:val="20"/>
                <w:szCs w:val="20"/>
              </w:rPr>
              <w:br w:type="textWrapping"/>
            </w:r>
            <w:r>
              <w:rPr>
                <w:rFonts w:hint="eastAsia" w:ascii="宋体" w:hAnsi="宋体" w:cs="宋体"/>
                <w:kern w:val="0"/>
                <w:sz w:val="20"/>
                <w:szCs w:val="20"/>
              </w:rPr>
              <w:t>2.额定电压：220V</w:t>
            </w:r>
            <w:r>
              <w:rPr>
                <w:rFonts w:hint="eastAsia" w:ascii="宋体" w:hAnsi="宋体" w:cs="宋体"/>
                <w:kern w:val="0"/>
                <w:sz w:val="20"/>
                <w:szCs w:val="20"/>
              </w:rPr>
              <w:br w:type="textWrapping"/>
            </w:r>
            <w:r>
              <w:rPr>
                <w:rFonts w:hint="eastAsia" w:ascii="宋体" w:hAnsi="宋体" w:cs="宋体"/>
                <w:kern w:val="0"/>
                <w:sz w:val="20"/>
                <w:szCs w:val="20"/>
              </w:rPr>
              <w:t>3.待机功耗：≤1W</w:t>
            </w:r>
            <w:r>
              <w:rPr>
                <w:rFonts w:hint="eastAsia" w:ascii="宋体" w:hAnsi="宋体" w:cs="宋体"/>
                <w:kern w:val="0"/>
                <w:sz w:val="20"/>
                <w:szCs w:val="20"/>
              </w:rPr>
              <w:br w:type="textWrapping"/>
            </w:r>
            <w:r>
              <w:rPr>
                <w:rFonts w:hint="eastAsia" w:ascii="宋体" w:hAnsi="宋体" w:cs="宋体"/>
                <w:kern w:val="0"/>
                <w:sz w:val="20"/>
                <w:szCs w:val="20"/>
              </w:rPr>
              <w:t>4.重量：约 0.2kg</w:t>
            </w:r>
            <w:r>
              <w:rPr>
                <w:rFonts w:hint="eastAsia" w:ascii="宋体" w:hAnsi="宋体" w:cs="宋体"/>
                <w:kern w:val="0"/>
                <w:sz w:val="20"/>
                <w:szCs w:val="20"/>
              </w:rPr>
              <w:br w:type="textWrapping"/>
            </w:r>
            <w:r>
              <w:rPr>
                <w:rFonts w:hint="eastAsia" w:ascii="宋体" w:hAnsi="宋体" w:cs="宋体"/>
                <w:kern w:val="0"/>
                <w:sz w:val="20"/>
                <w:szCs w:val="20"/>
              </w:rPr>
              <w:t>5.工作环境：温度-15℃-+65℃；湿度 10%～95%（无凝露）</w:t>
            </w:r>
            <w:r>
              <w:rPr>
                <w:rFonts w:hint="eastAsia" w:ascii="宋体" w:hAnsi="宋体" w:cs="宋体"/>
                <w:kern w:val="0"/>
                <w:sz w:val="20"/>
                <w:szCs w:val="20"/>
              </w:rPr>
              <w:br w:type="textWrapping"/>
            </w:r>
            <w:r>
              <w:rPr>
                <w:rFonts w:hint="eastAsia" w:ascii="宋体" w:hAnsi="宋体" w:cs="宋体"/>
                <w:kern w:val="0"/>
                <w:sz w:val="20"/>
                <w:szCs w:val="20"/>
              </w:rPr>
              <w:t>6.通讯接口：4G</w:t>
            </w:r>
            <w:r>
              <w:rPr>
                <w:rFonts w:hint="eastAsia" w:ascii="宋体" w:hAnsi="宋体" w:cs="宋体"/>
                <w:kern w:val="0"/>
                <w:sz w:val="20"/>
                <w:szCs w:val="20"/>
              </w:rPr>
              <w:br w:type="textWrapping"/>
            </w:r>
            <w:r>
              <w:rPr>
                <w:rFonts w:hint="eastAsia" w:ascii="宋体" w:hAnsi="宋体" w:cs="宋体"/>
                <w:kern w:val="0"/>
                <w:sz w:val="20"/>
                <w:szCs w:val="20"/>
              </w:rPr>
              <w:t>7.继电器的额定负载：风机：5A，水阀：3A</w:t>
            </w:r>
            <w:r>
              <w:rPr>
                <w:rFonts w:hint="eastAsia" w:ascii="宋体" w:hAnsi="宋体" w:cs="宋体"/>
                <w:kern w:val="0"/>
                <w:sz w:val="20"/>
                <w:szCs w:val="20"/>
              </w:rPr>
              <w:br w:type="textWrapping"/>
            </w:r>
            <w:r>
              <w:rPr>
                <w:rFonts w:hint="eastAsia" w:ascii="宋体" w:hAnsi="宋体" w:cs="宋体"/>
                <w:kern w:val="0"/>
                <w:sz w:val="20"/>
                <w:szCs w:val="20"/>
              </w:rPr>
              <w:t>8.显示：液晶显示屏</w:t>
            </w:r>
            <w:r>
              <w:rPr>
                <w:rFonts w:hint="eastAsia" w:ascii="宋体" w:hAnsi="宋体" w:cs="宋体"/>
                <w:kern w:val="0"/>
                <w:sz w:val="20"/>
                <w:szCs w:val="20"/>
              </w:rPr>
              <w:br w:type="textWrapping"/>
            </w:r>
            <w:r>
              <w:rPr>
                <w:rFonts w:hint="eastAsia" w:ascii="宋体" w:hAnsi="宋体" w:cs="宋体"/>
                <w:kern w:val="0"/>
                <w:sz w:val="20"/>
                <w:szCs w:val="20"/>
              </w:rPr>
              <w:t>显示内容：</w:t>
            </w:r>
            <w:r>
              <w:rPr>
                <w:rFonts w:hint="eastAsia" w:ascii="宋体" w:hAnsi="宋体" w:cs="宋体"/>
                <w:kern w:val="0"/>
                <w:sz w:val="20"/>
                <w:szCs w:val="20"/>
              </w:rPr>
              <w:br w:type="textWrapping"/>
            </w:r>
            <w:r>
              <w:rPr>
                <w:rFonts w:hint="eastAsia" w:ascii="宋体" w:hAnsi="宋体" w:cs="宋体"/>
                <w:kern w:val="0"/>
                <w:sz w:val="20"/>
                <w:szCs w:val="20"/>
              </w:rPr>
              <w:t>风机风速（低速、中速、高速或自动） 开机/关机键（ ）</w:t>
            </w:r>
            <w:r>
              <w:rPr>
                <w:rFonts w:hint="eastAsia" w:ascii="宋体" w:hAnsi="宋体" w:cs="宋体"/>
                <w:kern w:val="0"/>
                <w:sz w:val="20"/>
                <w:szCs w:val="20"/>
              </w:rPr>
              <w:br w:type="textWrapping"/>
            </w:r>
            <w:r>
              <w:rPr>
                <w:rFonts w:hint="eastAsia" w:ascii="宋体" w:hAnsi="宋体" w:cs="宋体"/>
                <w:kern w:val="0"/>
                <w:sz w:val="20"/>
                <w:szCs w:val="20"/>
              </w:rPr>
              <w:t>设置温度显示（SET TEMP） 模式转换键（ ）</w:t>
            </w:r>
            <w:r>
              <w:rPr>
                <w:rFonts w:hint="eastAsia" w:ascii="宋体" w:hAnsi="宋体" w:cs="宋体"/>
                <w:kern w:val="0"/>
                <w:sz w:val="20"/>
                <w:szCs w:val="20"/>
              </w:rPr>
              <w:br w:type="textWrapping"/>
            </w:r>
            <w:r>
              <w:rPr>
                <w:rFonts w:hint="eastAsia" w:ascii="宋体" w:hAnsi="宋体" w:cs="宋体"/>
                <w:kern w:val="0"/>
                <w:sz w:val="20"/>
                <w:szCs w:val="20"/>
              </w:rPr>
              <w:t>室内温度显示（ROOM TEMP） 风速选择键（ ）</w:t>
            </w:r>
            <w:r>
              <w:rPr>
                <w:rFonts w:hint="eastAsia" w:ascii="宋体" w:hAnsi="宋体" w:cs="宋体"/>
                <w:kern w:val="0"/>
                <w:sz w:val="20"/>
                <w:szCs w:val="20"/>
              </w:rPr>
              <w:br w:type="textWrapping"/>
            </w:r>
            <w:r>
              <w:rPr>
                <w:rFonts w:hint="eastAsia" w:ascii="宋体" w:hAnsi="宋体" w:cs="宋体"/>
                <w:kern w:val="0"/>
                <w:sz w:val="20"/>
                <w:szCs w:val="20"/>
              </w:rPr>
              <w:t>模式（冷风、暖风、无显示：送风） 温度调整键（▲ ▼）</w:t>
            </w:r>
            <w:r>
              <w:rPr>
                <w:rFonts w:hint="eastAsia" w:ascii="宋体" w:hAnsi="宋体" w:cs="宋体"/>
                <w:kern w:val="0"/>
                <w:sz w:val="20"/>
                <w:szCs w:val="20"/>
              </w:rPr>
              <w:br w:type="textWrapping"/>
            </w:r>
            <w:r>
              <w:rPr>
                <w:rFonts w:hint="eastAsia" w:ascii="宋体" w:hAnsi="宋体" w:cs="宋体"/>
                <w:kern w:val="0"/>
                <w:sz w:val="20"/>
                <w:szCs w:val="20"/>
              </w:rPr>
              <w:t>时间显示</w:t>
            </w:r>
            <w:r>
              <w:rPr>
                <w:rFonts w:hint="eastAsia" w:ascii="宋体" w:hAnsi="宋体" w:cs="宋体"/>
                <w:kern w:val="0"/>
                <w:sz w:val="20"/>
                <w:szCs w:val="20"/>
              </w:rPr>
              <w:br w:type="textWrapping"/>
            </w:r>
            <w:r>
              <w:rPr>
                <w:rFonts w:hint="eastAsia" w:ascii="宋体" w:hAnsi="宋体" w:cs="宋体"/>
                <w:kern w:val="0"/>
                <w:sz w:val="20"/>
                <w:szCs w:val="20"/>
              </w:rPr>
              <w:t>注：关机状态下除开关键外，触摸任意按键显示灯和背光会亮起</w:t>
            </w:r>
          </w:p>
        </w:tc>
        <w:tc>
          <w:tcPr>
            <w:tcW w:w="328" w:type="pct"/>
            <w:tcBorders>
              <w:top w:val="nil"/>
              <w:left w:val="nil"/>
              <w:bottom w:val="single" w:color="000000" w:sz="4" w:space="0"/>
              <w:right w:val="single" w:color="000000" w:sz="4" w:space="0"/>
            </w:tcBorders>
            <w:vAlign w:val="center"/>
          </w:tcPr>
          <w:p w14:paraId="5E6726D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694" w:type="pct"/>
            <w:tcBorders>
              <w:top w:val="nil"/>
              <w:left w:val="nil"/>
              <w:bottom w:val="single" w:color="000000" w:sz="4" w:space="0"/>
              <w:right w:val="single" w:color="000000" w:sz="4" w:space="0"/>
            </w:tcBorders>
            <w:vAlign w:val="center"/>
          </w:tcPr>
          <w:p w14:paraId="3648D8A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264</w:t>
            </w:r>
          </w:p>
        </w:tc>
        <w:tc>
          <w:tcPr>
            <w:tcW w:w="480" w:type="pct"/>
            <w:tcBorders>
              <w:top w:val="nil"/>
              <w:left w:val="nil"/>
              <w:bottom w:val="single" w:color="000000" w:sz="4" w:space="0"/>
              <w:right w:val="single" w:color="000000" w:sz="4" w:space="0"/>
            </w:tcBorders>
            <w:vAlign w:val="center"/>
          </w:tcPr>
          <w:p w14:paraId="23AC1F0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4CF99F52">
        <w:tblPrEx>
          <w:tblCellMar>
            <w:top w:w="0" w:type="dxa"/>
            <w:left w:w="108" w:type="dxa"/>
            <w:bottom w:w="0" w:type="dxa"/>
            <w:right w:w="108" w:type="dxa"/>
          </w:tblCellMar>
        </w:tblPrEx>
        <w:trPr>
          <w:trHeight w:val="1080" w:hRule="atLeast"/>
        </w:trPr>
        <w:tc>
          <w:tcPr>
            <w:tcW w:w="374" w:type="pct"/>
            <w:tcBorders>
              <w:top w:val="nil"/>
              <w:left w:val="single" w:color="000000" w:sz="4" w:space="0"/>
              <w:bottom w:val="single" w:color="000000" w:sz="4" w:space="0"/>
              <w:right w:val="single" w:color="000000" w:sz="4" w:space="0"/>
            </w:tcBorders>
            <w:vAlign w:val="center"/>
          </w:tcPr>
          <w:p w14:paraId="4384C2C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6</w:t>
            </w:r>
          </w:p>
        </w:tc>
        <w:tc>
          <w:tcPr>
            <w:tcW w:w="685" w:type="pct"/>
            <w:tcBorders>
              <w:top w:val="nil"/>
              <w:left w:val="nil"/>
              <w:bottom w:val="single" w:color="000000" w:sz="4" w:space="0"/>
              <w:right w:val="single" w:color="000000" w:sz="4" w:space="0"/>
            </w:tcBorders>
            <w:vAlign w:val="center"/>
          </w:tcPr>
          <w:p w14:paraId="57323A9E">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1.2米 T8高效节能灯管</w:t>
            </w:r>
          </w:p>
        </w:tc>
        <w:tc>
          <w:tcPr>
            <w:tcW w:w="2439" w:type="pct"/>
            <w:tcBorders>
              <w:top w:val="nil"/>
              <w:left w:val="nil"/>
              <w:bottom w:val="single" w:color="000000" w:sz="4" w:space="0"/>
              <w:right w:val="single" w:color="000000" w:sz="4" w:space="0"/>
            </w:tcBorders>
            <w:vAlign w:val="center"/>
          </w:tcPr>
          <w:p w14:paraId="3CFF9AD0">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1.功率：10W±5%</w:t>
            </w:r>
            <w:r>
              <w:rPr>
                <w:rFonts w:hint="eastAsia" w:ascii="宋体" w:hAnsi="宋体" w:cs="宋体"/>
                <w:kern w:val="0"/>
                <w:sz w:val="20"/>
                <w:szCs w:val="20"/>
              </w:rPr>
              <w:br w:type="textWrapping"/>
            </w:r>
            <w:r>
              <w:rPr>
                <w:rFonts w:hint="eastAsia" w:ascii="宋体" w:hAnsi="宋体" w:cs="宋体"/>
                <w:kern w:val="0"/>
                <w:sz w:val="20"/>
                <w:szCs w:val="20"/>
              </w:rPr>
              <w:t>2.光通量:1850lm</w:t>
            </w:r>
            <w:r>
              <w:rPr>
                <w:rFonts w:hint="eastAsia" w:ascii="宋体" w:hAnsi="宋体" w:cs="宋体"/>
                <w:kern w:val="0"/>
                <w:sz w:val="20"/>
                <w:szCs w:val="20"/>
              </w:rPr>
              <w:br w:type="textWrapping"/>
            </w:r>
            <w:r>
              <w:rPr>
                <w:rFonts w:hint="eastAsia" w:ascii="宋体" w:hAnsi="宋体" w:cs="宋体"/>
                <w:kern w:val="0"/>
                <w:sz w:val="20"/>
                <w:szCs w:val="20"/>
              </w:rPr>
              <w:t>3.光效：190lm/w</w:t>
            </w:r>
            <w:r>
              <w:rPr>
                <w:rFonts w:hint="eastAsia" w:ascii="宋体" w:hAnsi="宋体" w:cs="宋体"/>
                <w:kern w:val="0"/>
                <w:sz w:val="20"/>
                <w:szCs w:val="20"/>
              </w:rPr>
              <w:br w:type="textWrapping"/>
            </w:r>
            <w:r>
              <w:rPr>
                <w:rFonts w:hint="eastAsia" w:ascii="宋体" w:hAnsi="宋体" w:cs="宋体"/>
                <w:kern w:val="0"/>
                <w:sz w:val="20"/>
                <w:szCs w:val="20"/>
              </w:rPr>
              <w:t>4.色温：6500K</w:t>
            </w:r>
            <w:r>
              <w:rPr>
                <w:rFonts w:hint="eastAsia" w:ascii="宋体" w:hAnsi="宋体" w:cs="宋体"/>
                <w:kern w:val="0"/>
                <w:sz w:val="20"/>
                <w:szCs w:val="20"/>
              </w:rPr>
              <w:br w:type="textWrapping"/>
            </w:r>
            <w:r>
              <w:rPr>
                <w:rFonts w:hint="eastAsia" w:ascii="宋体" w:hAnsi="宋体" w:cs="宋体"/>
                <w:kern w:val="0"/>
                <w:sz w:val="20"/>
                <w:szCs w:val="20"/>
              </w:rPr>
              <w:t>5.显色指数≧80</w:t>
            </w:r>
            <w:r>
              <w:rPr>
                <w:rFonts w:hint="eastAsia" w:ascii="宋体" w:hAnsi="宋体" w:cs="宋体"/>
                <w:kern w:val="0"/>
                <w:sz w:val="20"/>
                <w:szCs w:val="20"/>
              </w:rPr>
              <w:br w:type="textWrapping"/>
            </w:r>
            <w:r>
              <w:rPr>
                <w:rFonts w:hint="eastAsia" w:ascii="宋体" w:hAnsi="宋体" w:cs="宋体"/>
                <w:kern w:val="0"/>
                <w:sz w:val="20"/>
                <w:szCs w:val="20"/>
              </w:rPr>
              <w:t>6.亮灯模式：ON/OFF</w:t>
            </w:r>
            <w:r>
              <w:rPr>
                <w:rFonts w:hint="eastAsia" w:ascii="宋体" w:hAnsi="宋体" w:cs="宋体"/>
                <w:kern w:val="0"/>
                <w:sz w:val="20"/>
                <w:szCs w:val="20"/>
              </w:rPr>
              <w:br w:type="textWrapping"/>
            </w:r>
            <w:r>
              <w:rPr>
                <w:rFonts w:hint="eastAsia" w:ascii="宋体" w:hAnsi="宋体" w:cs="宋体"/>
                <w:kern w:val="0"/>
                <w:sz w:val="20"/>
                <w:szCs w:val="20"/>
              </w:rPr>
              <w:t>7.国产优质光源</w:t>
            </w:r>
            <w:r>
              <w:rPr>
                <w:rFonts w:hint="eastAsia" w:ascii="宋体" w:hAnsi="宋体" w:cs="宋体"/>
                <w:kern w:val="0"/>
                <w:sz w:val="20"/>
                <w:szCs w:val="20"/>
              </w:rPr>
              <w:br w:type="textWrapping"/>
            </w:r>
            <w:r>
              <w:rPr>
                <w:rFonts w:hint="eastAsia" w:ascii="宋体" w:hAnsi="宋体" w:cs="宋体"/>
                <w:kern w:val="0"/>
                <w:sz w:val="20"/>
                <w:szCs w:val="20"/>
              </w:rPr>
              <w:t>8.质保5年</w:t>
            </w:r>
          </w:p>
        </w:tc>
        <w:tc>
          <w:tcPr>
            <w:tcW w:w="328" w:type="pct"/>
            <w:tcBorders>
              <w:top w:val="nil"/>
              <w:left w:val="nil"/>
              <w:bottom w:val="single" w:color="000000" w:sz="4" w:space="0"/>
              <w:right w:val="single" w:color="000000" w:sz="4" w:space="0"/>
            </w:tcBorders>
            <w:vAlign w:val="center"/>
          </w:tcPr>
          <w:p w14:paraId="34E2E81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694" w:type="pct"/>
            <w:tcBorders>
              <w:top w:val="nil"/>
              <w:left w:val="nil"/>
              <w:bottom w:val="single" w:color="000000" w:sz="4" w:space="0"/>
              <w:right w:val="single" w:color="000000" w:sz="4" w:space="0"/>
            </w:tcBorders>
            <w:vAlign w:val="center"/>
          </w:tcPr>
          <w:p w14:paraId="7FEF9678">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5731</w:t>
            </w:r>
          </w:p>
        </w:tc>
        <w:tc>
          <w:tcPr>
            <w:tcW w:w="480" w:type="pct"/>
            <w:tcBorders>
              <w:top w:val="nil"/>
              <w:left w:val="nil"/>
              <w:bottom w:val="single" w:color="000000" w:sz="4" w:space="0"/>
              <w:right w:val="single" w:color="000000" w:sz="4" w:space="0"/>
            </w:tcBorders>
            <w:vAlign w:val="center"/>
          </w:tcPr>
          <w:p w14:paraId="256C760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w:t>
            </w:r>
          </w:p>
        </w:tc>
      </w:tr>
      <w:tr w14:paraId="12DE48C2">
        <w:tblPrEx>
          <w:tblCellMar>
            <w:top w:w="0" w:type="dxa"/>
            <w:left w:w="108" w:type="dxa"/>
            <w:bottom w:w="0" w:type="dxa"/>
            <w:right w:w="108" w:type="dxa"/>
          </w:tblCellMar>
        </w:tblPrEx>
        <w:trPr>
          <w:trHeight w:val="1080" w:hRule="atLeast"/>
        </w:trPr>
        <w:tc>
          <w:tcPr>
            <w:tcW w:w="374" w:type="pct"/>
            <w:tcBorders>
              <w:top w:val="nil"/>
              <w:left w:val="single" w:color="000000" w:sz="4" w:space="0"/>
              <w:bottom w:val="single" w:color="000000" w:sz="4" w:space="0"/>
              <w:right w:val="single" w:color="000000" w:sz="4" w:space="0"/>
            </w:tcBorders>
            <w:vAlign w:val="center"/>
          </w:tcPr>
          <w:p w14:paraId="1F61FB6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7</w:t>
            </w:r>
          </w:p>
        </w:tc>
        <w:tc>
          <w:tcPr>
            <w:tcW w:w="685" w:type="pct"/>
            <w:tcBorders>
              <w:top w:val="nil"/>
              <w:left w:val="nil"/>
              <w:bottom w:val="single" w:color="000000" w:sz="4" w:space="0"/>
              <w:right w:val="single" w:color="000000" w:sz="4" w:space="0"/>
            </w:tcBorders>
            <w:vAlign w:val="center"/>
          </w:tcPr>
          <w:p w14:paraId="0CF5BC57">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高效节能吸顶灯</w:t>
            </w:r>
          </w:p>
        </w:tc>
        <w:tc>
          <w:tcPr>
            <w:tcW w:w="2439" w:type="pct"/>
            <w:tcBorders>
              <w:top w:val="nil"/>
              <w:left w:val="nil"/>
              <w:bottom w:val="single" w:color="000000" w:sz="4" w:space="0"/>
              <w:right w:val="single" w:color="000000" w:sz="4" w:space="0"/>
            </w:tcBorders>
            <w:vAlign w:val="center"/>
          </w:tcPr>
          <w:p w14:paraId="4A4711FF">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1.功率：6W±5%</w:t>
            </w:r>
            <w:r>
              <w:rPr>
                <w:rFonts w:hint="eastAsia" w:ascii="宋体" w:hAnsi="宋体" w:cs="宋体"/>
                <w:kern w:val="0"/>
                <w:sz w:val="20"/>
                <w:szCs w:val="20"/>
              </w:rPr>
              <w:br w:type="textWrapping"/>
            </w:r>
            <w:r>
              <w:rPr>
                <w:rFonts w:hint="eastAsia" w:ascii="宋体" w:hAnsi="宋体" w:cs="宋体"/>
                <w:kern w:val="0"/>
                <w:sz w:val="20"/>
                <w:szCs w:val="20"/>
              </w:rPr>
              <w:t>2.光通量:1100lm</w:t>
            </w:r>
            <w:r>
              <w:rPr>
                <w:rFonts w:hint="eastAsia" w:ascii="宋体" w:hAnsi="宋体" w:cs="宋体"/>
                <w:kern w:val="0"/>
                <w:sz w:val="20"/>
                <w:szCs w:val="20"/>
              </w:rPr>
              <w:br w:type="textWrapping"/>
            </w:r>
            <w:r>
              <w:rPr>
                <w:rFonts w:hint="eastAsia" w:ascii="宋体" w:hAnsi="宋体" w:cs="宋体"/>
                <w:kern w:val="0"/>
                <w:sz w:val="20"/>
                <w:szCs w:val="20"/>
              </w:rPr>
              <w:t>3.光效：180lm/w</w:t>
            </w:r>
            <w:r>
              <w:rPr>
                <w:rFonts w:hint="eastAsia" w:ascii="宋体" w:hAnsi="宋体" w:cs="宋体"/>
                <w:kern w:val="0"/>
                <w:sz w:val="20"/>
                <w:szCs w:val="20"/>
              </w:rPr>
              <w:br w:type="textWrapping"/>
            </w:r>
            <w:r>
              <w:rPr>
                <w:rFonts w:hint="eastAsia" w:ascii="宋体" w:hAnsi="宋体" w:cs="宋体"/>
                <w:kern w:val="0"/>
                <w:sz w:val="20"/>
                <w:szCs w:val="20"/>
              </w:rPr>
              <w:t>4.色温：6500K</w:t>
            </w:r>
            <w:r>
              <w:rPr>
                <w:rFonts w:hint="eastAsia" w:ascii="宋体" w:hAnsi="宋体" w:cs="宋体"/>
                <w:kern w:val="0"/>
                <w:sz w:val="20"/>
                <w:szCs w:val="20"/>
              </w:rPr>
              <w:br w:type="textWrapping"/>
            </w:r>
            <w:r>
              <w:rPr>
                <w:rFonts w:hint="eastAsia" w:ascii="宋体" w:hAnsi="宋体" w:cs="宋体"/>
                <w:kern w:val="0"/>
                <w:sz w:val="20"/>
                <w:szCs w:val="20"/>
              </w:rPr>
              <w:t>5.显色指数≧80</w:t>
            </w:r>
            <w:r>
              <w:rPr>
                <w:rFonts w:hint="eastAsia" w:ascii="宋体" w:hAnsi="宋体" w:cs="宋体"/>
                <w:kern w:val="0"/>
                <w:sz w:val="20"/>
                <w:szCs w:val="20"/>
              </w:rPr>
              <w:br w:type="textWrapping"/>
            </w:r>
            <w:r>
              <w:rPr>
                <w:rFonts w:hint="eastAsia" w:ascii="宋体" w:hAnsi="宋体" w:cs="宋体"/>
                <w:kern w:val="0"/>
                <w:sz w:val="20"/>
                <w:szCs w:val="20"/>
              </w:rPr>
              <w:t>6.亮灯模式：雷达感应</w:t>
            </w:r>
            <w:r>
              <w:rPr>
                <w:rFonts w:hint="eastAsia" w:ascii="宋体" w:hAnsi="宋体" w:cs="宋体"/>
                <w:kern w:val="0"/>
                <w:sz w:val="20"/>
                <w:szCs w:val="20"/>
              </w:rPr>
              <w:br w:type="textWrapping"/>
            </w:r>
            <w:r>
              <w:rPr>
                <w:rFonts w:hint="eastAsia" w:ascii="宋体" w:hAnsi="宋体" w:cs="宋体"/>
                <w:kern w:val="0"/>
                <w:sz w:val="20"/>
                <w:szCs w:val="20"/>
              </w:rPr>
              <w:t>7.国产优质光源</w:t>
            </w:r>
            <w:r>
              <w:rPr>
                <w:rFonts w:hint="eastAsia" w:ascii="宋体" w:hAnsi="宋体" w:cs="宋体"/>
                <w:kern w:val="0"/>
                <w:sz w:val="20"/>
                <w:szCs w:val="20"/>
              </w:rPr>
              <w:br w:type="textWrapping"/>
            </w:r>
            <w:r>
              <w:rPr>
                <w:rFonts w:hint="eastAsia" w:ascii="宋体" w:hAnsi="宋体" w:cs="宋体"/>
                <w:kern w:val="0"/>
                <w:sz w:val="20"/>
                <w:szCs w:val="20"/>
              </w:rPr>
              <w:t>8.质保5年</w:t>
            </w:r>
          </w:p>
        </w:tc>
        <w:tc>
          <w:tcPr>
            <w:tcW w:w="328" w:type="pct"/>
            <w:tcBorders>
              <w:top w:val="nil"/>
              <w:left w:val="nil"/>
              <w:bottom w:val="single" w:color="000000" w:sz="4" w:space="0"/>
              <w:right w:val="single" w:color="000000" w:sz="4" w:space="0"/>
            </w:tcBorders>
            <w:vAlign w:val="center"/>
          </w:tcPr>
          <w:p w14:paraId="238A4CE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694" w:type="pct"/>
            <w:tcBorders>
              <w:top w:val="nil"/>
              <w:left w:val="nil"/>
              <w:bottom w:val="single" w:color="000000" w:sz="4" w:space="0"/>
              <w:right w:val="single" w:color="000000" w:sz="4" w:space="0"/>
            </w:tcBorders>
            <w:vAlign w:val="center"/>
          </w:tcPr>
          <w:p w14:paraId="0BB5685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2188</w:t>
            </w:r>
          </w:p>
        </w:tc>
        <w:tc>
          <w:tcPr>
            <w:tcW w:w="480" w:type="pct"/>
            <w:tcBorders>
              <w:top w:val="nil"/>
              <w:left w:val="nil"/>
              <w:bottom w:val="single" w:color="000000" w:sz="4" w:space="0"/>
              <w:right w:val="single" w:color="000000" w:sz="4" w:space="0"/>
            </w:tcBorders>
            <w:vAlign w:val="center"/>
          </w:tcPr>
          <w:p w14:paraId="49711924">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w:t>
            </w:r>
          </w:p>
        </w:tc>
      </w:tr>
      <w:tr w14:paraId="6A72EF23">
        <w:tblPrEx>
          <w:tblCellMar>
            <w:top w:w="0" w:type="dxa"/>
            <w:left w:w="108" w:type="dxa"/>
            <w:bottom w:w="0" w:type="dxa"/>
            <w:right w:w="108" w:type="dxa"/>
          </w:tblCellMar>
        </w:tblPrEx>
        <w:trPr>
          <w:trHeight w:val="1080" w:hRule="atLeast"/>
        </w:trPr>
        <w:tc>
          <w:tcPr>
            <w:tcW w:w="374" w:type="pct"/>
            <w:tcBorders>
              <w:top w:val="nil"/>
              <w:left w:val="single" w:color="000000" w:sz="4" w:space="0"/>
              <w:bottom w:val="single" w:color="000000" w:sz="4" w:space="0"/>
              <w:right w:val="single" w:color="000000" w:sz="4" w:space="0"/>
            </w:tcBorders>
            <w:vAlign w:val="center"/>
          </w:tcPr>
          <w:p w14:paraId="7499E34F">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8</w:t>
            </w:r>
          </w:p>
        </w:tc>
        <w:tc>
          <w:tcPr>
            <w:tcW w:w="685" w:type="pct"/>
            <w:tcBorders>
              <w:top w:val="nil"/>
              <w:left w:val="nil"/>
              <w:bottom w:val="single" w:color="000000" w:sz="4" w:space="0"/>
              <w:right w:val="single" w:color="000000" w:sz="4" w:space="0"/>
            </w:tcBorders>
            <w:vAlign w:val="center"/>
          </w:tcPr>
          <w:p w14:paraId="4EB24DAD">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0.6米 T8高效节能灯管</w:t>
            </w:r>
          </w:p>
        </w:tc>
        <w:tc>
          <w:tcPr>
            <w:tcW w:w="2439" w:type="pct"/>
            <w:tcBorders>
              <w:top w:val="nil"/>
              <w:left w:val="nil"/>
              <w:bottom w:val="single" w:color="000000" w:sz="4" w:space="0"/>
              <w:right w:val="single" w:color="000000" w:sz="4" w:space="0"/>
            </w:tcBorders>
            <w:vAlign w:val="center"/>
          </w:tcPr>
          <w:p w14:paraId="295AC8FB">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1.功率：6W±5%</w:t>
            </w:r>
            <w:r>
              <w:rPr>
                <w:rFonts w:hint="eastAsia" w:ascii="宋体" w:hAnsi="宋体" w:cs="宋体"/>
                <w:kern w:val="0"/>
                <w:sz w:val="20"/>
                <w:szCs w:val="20"/>
              </w:rPr>
              <w:br w:type="textWrapping"/>
            </w:r>
            <w:r>
              <w:rPr>
                <w:rFonts w:hint="eastAsia" w:ascii="宋体" w:hAnsi="宋体" w:cs="宋体"/>
                <w:kern w:val="0"/>
                <w:sz w:val="20"/>
                <w:szCs w:val="20"/>
              </w:rPr>
              <w:t>2.光通量:1300lm</w:t>
            </w:r>
            <w:r>
              <w:rPr>
                <w:rFonts w:hint="eastAsia" w:ascii="宋体" w:hAnsi="宋体" w:cs="宋体"/>
                <w:kern w:val="0"/>
                <w:sz w:val="20"/>
                <w:szCs w:val="20"/>
              </w:rPr>
              <w:br w:type="textWrapping"/>
            </w:r>
            <w:r>
              <w:rPr>
                <w:rFonts w:hint="eastAsia" w:ascii="宋体" w:hAnsi="宋体" w:cs="宋体"/>
                <w:kern w:val="0"/>
                <w:sz w:val="20"/>
                <w:szCs w:val="20"/>
              </w:rPr>
              <w:t>3.光效：190lm/w</w:t>
            </w:r>
            <w:r>
              <w:rPr>
                <w:rFonts w:hint="eastAsia" w:ascii="宋体" w:hAnsi="宋体" w:cs="宋体"/>
                <w:kern w:val="0"/>
                <w:sz w:val="20"/>
                <w:szCs w:val="20"/>
              </w:rPr>
              <w:br w:type="textWrapping"/>
            </w:r>
            <w:r>
              <w:rPr>
                <w:rFonts w:hint="eastAsia" w:ascii="宋体" w:hAnsi="宋体" w:cs="宋体"/>
                <w:kern w:val="0"/>
                <w:sz w:val="20"/>
                <w:szCs w:val="20"/>
              </w:rPr>
              <w:t>4.色温：6500K</w:t>
            </w:r>
            <w:r>
              <w:rPr>
                <w:rFonts w:hint="eastAsia" w:ascii="宋体" w:hAnsi="宋体" w:cs="宋体"/>
                <w:kern w:val="0"/>
                <w:sz w:val="20"/>
                <w:szCs w:val="20"/>
              </w:rPr>
              <w:br w:type="textWrapping"/>
            </w:r>
            <w:r>
              <w:rPr>
                <w:rFonts w:hint="eastAsia" w:ascii="宋体" w:hAnsi="宋体" w:cs="宋体"/>
                <w:kern w:val="0"/>
                <w:sz w:val="20"/>
                <w:szCs w:val="20"/>
              </w:rPr>
              <w:t>5.显色指数≧80</w:t>
            </w:r>
            <w:r>
              <w:rPr>
                <w:rFonts w:hint="eastAsia" w:ascii="宋体" w:hAnsi="宋体" w:cs="宋体"/>
                <w:kern w:val="0"/>
                <w:sz w:val="20"/>
                <w:szCs w:val="20"/>
              </w:rPr>
              <w:br w:type="textWrapping"/>
            </w:r>
            <w:r>
              <w:rPr>
                <w:rFonts w:hint="eastAsia" w:ascii="宋体" w:hAnsi="宋体" w:cs="宋体"/>
                <w:kern w:val="0"/>
                <w:sz w:val="20"/>
                <w:szCs w:val="20"/>
              </w:rPr>
              <w:t>6.亮灯模式：ON/OFF</w:t>
            </w:r>
            <w:r>
              <w:rPr>
                <w:rFonts w:hint="eastAsia" w:ascii="宋体" w:hAnsi="宋体" w:cs="宋体"/>
                <w:kern w:val="0"/>
                <w:sz w:val="20"/>
                <w:szCs w:val="20"/>
              </w:rPr>
              <w:br w:type="textWrapping"/>
            </w:r>
            <w:r>
              <w:rPr>
                <w:rFonts w:hint="eastAsia" w:ascii="宋体" w:hAnsi="宋体" w:cs="宋体"/>
                <w:kern w:val="0"/>
                <w:sz w:val="20"/>
                <w:szCs w:val="20"/>
              </w:rPr>
              <w:t>7.国产优质光源</w:t>
            </w:r>
            <w:r>
              <w:rPr>
                <w:rFonts w:hint="eastAsia" w:ascii="宋体" w:hAnsi="宋体" w:cs="宋体"/>
                <w:kern w:val="0"/>
                <w:sz w:val="20"/>
                <w:szCs w:val="20"/>
              </w:rPr>
              <w:br w:type="textWrapping"/>
            </w:r>
            <w:r>
              <w:rPr>
                <w:rFonts w:hint="eastAsia" w:ascii="宋体" w:hAnsi="宋体" w:cs="宋体"/>
                <w:kern w:val="0"/>
                <w:sz w:val="20"/>
                <w:szCs w:val="20"/>
              </w:rPr>
              <w:t>8.质保5年</w:t>
            </w:r>
          </w:p>
        </w:tc>
        <w:tc>
          <w:tcPr>
            <w:tcW w:w="328" w:type="pct"/>
            <w:tcBorders>
              <w:top w:val="nil"/>
              <w:left w:val="nil"/>
              <w:bottom w:val="single" w:color="000000" w:sz="4" w:space="0"/>
              <w:right w:val="single" w:color="000000" w:sz="4" w:space="0"/>
            </w:tcBorders>
            <w:vAlign w:val="center"/>
          </w:tcPr>
          <w:p w14:paraId="1ADD049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694" w:type="pct"/>
            <w:tcBorders>
              <w:top w:val="nil"/>
              <w:left w:val="nil"/>
              <w:bottom w:val="single" w:color="000000" w:sz="4" w:space="0"/>
              <w:right w:val="single" w:color="000000" w:sz="4" w:space="0"/>
            </w:tcBorders>
            <w:vAlign w:val="center"/>
          </w:tcPr>
          <w:p w14:paraId="2C054881">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528</w:t>
            </w:r>
          </w:p>
        </w:tc>
        <w:tc>
          <w:tcPr>
            <w:tcW w:w="480" w:type="pct"/>
            <w:tcBorders>
              <w:top w:val="nil"/>
              <w:left w:val="nil"/>
              <w:bottom w:val="single" w:color="000000" w:sz="4" w:space="0"/>
              <w:right w:val="single" w:color="000000" w:sz="4" w:space="0"/>
            </w:tcBorders>
            <w:vAlign w:val="center"/>
          </w:tcPr>
          <w:p w14:paraId="61BB532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w:t>
            </w:r>
          </w:p>
        </w:tc>
      </w:tr>
      <w:tr w14:paraId="6D89FB21">
        <w:tblPrEx>
          <w:tblCellMar>
            <w:top w:w="0" w:type="dxa"/>
            <w:left w:w="108" w:type="dxa"/>
            <w:bottom w:w="0" w:type="dxa"/>
            <w:right w:w="108" w:type="dxa"/>
          </w:tblCellMar>
        </w:tblPrEx>
        <w:trPr>
          <w:trHeight w:val="840" w:hRule="atLeast"/>
        </w:trPr>
        <w:tc>
          <w:tcPr>
            <w:tcW w:w="374" w:type="pct"/>
            <w:tcBorders>
              <w:top w:val="nil"/>
              <w:left w:val="single" w:color="000000" w:sz="4" w:space="0"/>
              <w:bottom w:val="single" w:color="000000" w:sz="4" w:space="0"/>
              <w:right w:val="single" w:color="000000" w:sz="4" w:space="0"/>
            </w:tcBorders>
            <w:vAlign w:val="center"/>
          </w:tcPr>
          <w:p w14:paraId="564D1357">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9</w:t>
            </w:r>
          </w:p>
        </w:tc>
        <w:tc>
          <w:tcPr>
            <w:tcW w:w="685" w:type="pct"/>
            <w:tcBorders>
              <w:top w:val="nil"/>
              <w:left w:val="nil"/>
              <w:bottom w:val="single" w:color="000000" w:sz="4" w:space="0"/>
              <w:right w:val="single" w:color="000000" w:sz="4" w:space="0"/>
            </w:tcBorders>
            <w:vAlign w:val="center"/>
          </w:tcPr>
          <w:p w14:paraId="65EBD395">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教室中控系统-网络中控</w:t>
            </w:r>
          </w:p>
        </w:tc>
        <w:tc>
          <w:tcPr>
            <w:tcW w:w="2439" w:type="pct"/>
            <w:tcBorders>
              <w:top w:val="single" w:color="auto" w:sz="4" w:space="0"/>
              <w:left w:val="single" w:color="auto" w:sz="4" w:space="0"/>
              <w:bottom w:val="single" w:color="auto" w:sz="4" w:space="0"/>
              <w:right w:val="single" w:color="auto" w:sz="4" w:space="0"/>
            </w:tcBorders>
            <w:vAlign w:val="center"/>
          </w:tcPr>
          <w:p w14:paraId="2320F94F">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1、标准1U高度，机身带把手设计，方便讲桌或机柜内安装；自主开发的嵌入式内核集成IIS服务器，可以在WEB界面直接登录设置网络参数；</w:t>
            </w:r>
            <w:r>
              <w:rPr>
                <w:rFonts w:hint="eastAsia" w:ascii="宋体" w:hAnsi="宋体" w:cs="宋体"/>
                <w:kern w:val="0"/>
                <w:sz w:val="20"/>
                <w:szCs w:val="20"/>
              </w:rPr>
              <w:br w:type="textWrapping"/>
            </w:r>
            <w:r>
              <w:rPr>
                <w:rFonts w:hint="eastAsia" w:ascii="宋体" w:hAnsi="宋体" w:cs="宋体"/>
                <w:kern w:val="0"/>
                <w:sz w:val="20"/>
                <w:szCs w:val="20"/>
              </w:rPr>
              <w:t>2、集成6进7出HDMI\VGA\HDBaseT混合高清切换接口（HDMI输入接口5路(1路内置)，VGAI输入接口1路；HDMI输出接口5路，VGA输出接口1路，可扩展HDBaseT接口1路），核心为4*4的无缝切换矩阵，实现高清混合信号的无缝换（切换不闪烁不黑屏）、异步切换、同屏分割对比显示（2或4分割）、画中画、多屏拼接显示等等，HDMI支持4K信号；</w:t>
            </w:r>
            <w:r>
              <w:rPr>
                <w:rFonts w:hint="eastAsia" w:ascii="宋体" w:hAnsi="宋体" w:cs="宋体"/>
                <w:kern w:val="0"/>
                <w:sz w:val="20"/>
                <w:szCs w:val="20"/>
              </w:rPr>
              <w:br w:type="textWrapping"/>
            </w:r>
            <w:r>
              <w:rPr>
                <w:rFonts w:hint="eastAsia" w:ascii="宋体" w:hAnsi="宋体" w:cs="宋体"/>
                <w:kern w:val="0"/>
                <w:sz w:val="20"/>
                <w:szCs w:val="20"/>
              </w:rPr>
              <w:t>3、1路USB控制和数据编程接口，5路独立RS232（其中一个为DB9接口）和1路RS485控制端口，1路红外接口，1路LBUS总线接口，3路检测输入接口，1路电源管理MODBUS总线；</w:t>
            </w:r>
            <w:r>
              <w:rPr>
                <w:rFonts w:hint="eastAsia" w:ascii="宋体" w:hAnsi="宋体" w:cs="宋体"/>
                <w:kern w:val="0"/>
                <w:sz w:val="20"/>
                <w:szCs w:val="20"/>
              </w:rPr>
              <w:br w:type="textWrapping"/>
            </w:r>
            <w:r>
              <w:rPr>
                <w:rFonts w:hint="eastAsia" w:ascii="宋体" w:hAnsi="宋体" w:cs="宋体"/>
                <w:kern w:val="0"/>
                <w:sz w:val="20"/>
                <w:szCs w:val="20"/>
              </w:rPr>
              <w:t>4、3路3.5音频输入，1路3.5音频输出，1路凤凰端子话筒平衡输入接口，带48V幻象供电开关，直接连接吊麦实现远距离拾音；支持对音频通道和吊麦等独立80级数字音量调节，支持对音频输出通道进行静音设置；集成HDMI音频数字解码，HDMI信号无需另外接入音频；</w:t>
            </w:r>
            <w:r>
              <w:rPr>
                <w:rFonts w:hint="eastAsia" w:ascii="宋体" w:hAnsi="宋体" w:cs="宋体"/>
                <w:kern w:val="0"/>
                <w:sz w:val="20"/>
                <w:szCs w:val="20"/>
              </w:rPr>
              <w:br w:type="textWrapping"/>
            </w:r>
            <w:r>
              <w:rPr>
                <w:rFonts w:hint="eastAsia" w:ascii="宋体" w:hAnsi="宋体" w:cs="宋体"/>
                <w:kern w:val="0"/>
                <w:sz w:val="20"/>
                <w:szCs w:val="20"/>
              </w:rPr>
              <w:t>5、4路20A可编程强电电源控制，具备投影幕升降控制；带投影机断电散热保护功能，系统关闭后，投影机灯泡散热继续供电保护；强电控制采用过零触发方式，保护设备上电安全；</w:t>
            </w:r>
            <w:r>
              <w:rPr>
                <w:rFonts w:hint="eastAsia" w:ascii="宋体" w:hAnsi="宋体" w:cs="宋体"/>
                <w:kern w:val="0"/>
                <w:sz w:val="20"/>
                <w:szCs w:val="20"/>
              </w:rPr>
              <w:br w:type="textWrapping"/>
            </w:r>
            <w:r>
              <w:rPr>
                <w:rFonts w:hint="eastAsia" w:ascii="宋体" w:hAnsi="宋体" w:cs="宋体"/>
                <w:kern w:val="0"/>
                <w:sz w:val="20"/>
                <w:szCs w:val="20"/>
              </w:rPr>
              <w:t>6、可集成80W*2数字智能功放，直接接入无源音箱扩声，也可外接功放扩声；</w:t>
            </w:r>
            <w:r>
              <w:rPr>
                <w:rFonts w:hint="eastAsia" w:ascii="宋体" w:hAnsi="宋体" w:cs="宋体"/>
                <w:kern w:val="0"/>
                <w:sz w:val="20"/>
                <w:szCs w:val="20"/>
              </w:rPr>
              <w:br w:type="textWrapping"/>
            </w:r>
            <w:r>
              <w:rPr>
                <w:rFonts w:hint="eastAsia" w:ascii="宋体" w:hAnsi="宋体" w:cs="宋体"/>
                <w:kern w:val="0"/>
                <w:sz w:val="20"/>
                <w:szCs w:val="20"/>
              </w:rPr>
              <w:t>7、集成LBUS总线，搭配智能开关、调光模块、串口模块、控制面板等组成免编程物联控制系统，带256组场景，整个系统可挂63个模块；</w:t>
            </w:r>
            <w:r>
              <w:rPr>
                <w:rFonts w:hint="eastAsia" w:ascii="宋体" w:hAnsi="宋体" w:cs="宋体"/>
                <w:kern w:val="0"/>
                <w:sz w:val="20"/>
                <w:szCs w:val="20"/>
              </w:rPr>
              <w:br w:type="textWrapping"/>
            </w:r>
            <w:r>
              <w:rPr>
                <w:rFonts w:hint="eastAsia" w:ascii="宋体" w:hAnsi="宋体" w:cs="宋体"/>
                <w:kern w:val="0"/>
                <w:sz w:val="20"/>
                <w:szCs w:val="20"/>
              </w:rPr>
              <w:t>8、集成MODBUS总线，可连接32个智能断路器，实现智能用电管理；</w:t>
            </w:r>
            <w:r>
              <w:rPr>
                <w:rFonts w:hint="eastAsia" w:ascii="宋体" w:hAnsi="宋体" w:cs="宋体"/>
                <w:kern w:val="0"/>
                <w:sz w:val="20"/>
                <w:szCs w:val="20"/>
              </w:rPr>
              <w:br w:type="textWrapping"/>
            </w:r>
            <w:r>
              <w:rPr>
                <w:rFonts w:hint="eastAsia" w:ascii="宋体" w:hAnsi="宋体" w:cs="宋体"/>
                <w:kern w:val="0"/>
                <w:sz w:val="20"/>
                <w:szCs w:val="20"/>
              </w:rPr>
              <w:t>9、带自动记忆存储功能，各项功能及参数设置好后，每次开关机，自动恢复至原始设置，防止非管理员误操作；</w:t>
            </w:r>
            <w:r>
              <w:rPr>
                <w:rFonts w:hint="eastAsia" w:ascii="宋体" w:hAnsi="宋体" w:cs="宋体"/>
                <w:kern w:val="0"/>
                <w:sz w:val="20"/>
                <w:szCs w:val="20"/>
              </w:rPr>
              <w:br w:type="textWrapping"/>
            </w:r>
            <w:r>
              <w:rPr>
                <w:rFonts w:hint="eastAsia" w:ascii="宋体" w:hAnsi="宋体" w:cs="宋体"/>
                <w:kern w:val="0"/>
                <w:sz w:val="20"/>
                <w:szCs w:val="20"/>
              </w:rPr>
              <w:t>10、主机内可集成专业DSP音频处理模块，具备AEC（自动回声消除）、AFC（自动反馈抑制）、ANC（自动降噪），提供清晰的授课环境；</w:t>
            </w:r>
            <w:r>
              <w:rPr>
                <w:rFonts w:hint="eastAsia" w:ascii="宋体" w:hAnsi="宋体" w:cs="宋体"/>
                <w:kern w:val="0"/>
                <w:sz w:val="20"/>
                <w:szCs w:val="20"/>
              </w:rPr>
              <w:br w:type="textWrapping"/>
            </w:r>
            <w:r>
              <w:rPr>
                <w:rFonts w:hint="eastAsia" w:ascii="宋体" w:hAnsi="宋体" w:cs="宋体"/>
                <w:kern w:val="0"/>
                <w:sz w:val="20"/>
                <w:szCs w:val="20"/>
              </w:rPr>
              <w:t>11、自主开发的嵌入式内核集成IIS服务器，可以在WEB界面直接登录设置网络参数；</w:t>
            </w:r>
            <w:r>
              <w:rPr>
                <w:rFonts w:hint="eastAsia" w:ascii="宋体" w:hAnsi="宋体" w:cs="宋体"/>
                <w:kern w:val="0"/>
                <w:sz w:val="20"/>
                <w:szCs w:val="20"/>
              </w:rPr>
              <w:br w:type="textWrapping"/>
            </w:r>
            <w:r>
              <w:rPr>
                <w:rFonts w:hint="eastAsia" w:ascii="宋体" w:hAnsi="宋体" w:cs="宋体"/>
                <w:kern w:val="0"/>
                <w:sz w:val="20"/>
                <w:szCs w:val="20"/>
              </w:rPr>
              <w:t>12、集成网络模块：支持远程集中化可视管理、与远程批处理、支持手机APP远程管理，采用DHCP技术自动分配IP地址，节省IP地址空间，不能采用设置固定IP地址方式；</w:t>
            </w:r>
          </w:p>
        </w:tc>
        <w:tc>
          <w:tcPr>
            <w:tcW w:w="328" w:type="pct"/>
            <w:tcBorders>
              <w:top w:val="nil"/>
              <w:left w:val="single" w:color="000000" w:sz="4" w:space="0"/>
              <w:bottom w:val="single" w:color="000000" w:sz="4" w:space="0"/>
              <w:right w:val="single" w:color="000000" w:sz="4" w:space="0"/>
            </w:tcBorders>
            <w:vAlign w:val="center"/>
          </w:tcPr>
          <w:p w14:paraId="4309210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694" w:type="pct"/>
            <w:tcBorders>
              <w:top w:val="nil"/>
              <w:left w:val="nil"/>
              <w:bottom w:val="single" w:color="000000" w:sz="4" w:space="0"/>
              <w:right w:val="single" w:color="000000" w:sz="4" w:space="0"/>
            </w:tcBorders>
            <w:vAlign w:val="center"/>
          </w:tcPr>
          <w:p w14:paraId="5045789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480" w:type="pct"/>
            <w:tcBorders>
              <w:top w:val="nil"/>
              <w:left w:val="nil"/>
              <w:bottom w:val="single" w:color="000000" w:sz="4" w:space="0"/>
              <w:right w:val="single" w:color="000000" w:sz="4" w:space="0"/>
            </w:tcBorders>
            <w:vAlign w:val="center"/>
          </w:tcPr>
          <w:p w14:paraId="142F16C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125314FB">
        <w:tblPrEx>
          <w:tblCellMar>
            <w:top w:w="0" w:type="dxa"/>
            <w:left w:w="108" w:type="dxa"/>
            <w:bottom w:w="0" w:type="dxa"/>
            <w:right w:w="108" w:type="dxa"/>
          </w:tblCellMar>
        </w:tblPrEx>
        <w:trPr>
          <w:trHeight w:val="840" w:hRule="atLeast"/>
        </w:trPr>
        <w:tc>
          <w:tcPr>
            <w:tcW w:w="374" w:type="pct"/>
            <w:tcBorders>
              <w:top w:val="nil"/>
              <w:left w:val="single" w:color="000000" w:sz="4" w:space="0"/>
              <w:bottom w:val="single" w:color="000000" w:sz="4" w:space="0"/>
              <w:right w:val="single" w:color="000000" w:sz="4" w:space="0"/>
            </w:tcBorders>
            <w:vAlign w:val="center"/>
          </w:tcPr>
          <w:p w14:paraId="61740038">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10</w:t>
            </w:r>
          </w:p>
        </w:tc>
        <w:tc>
          <w:tcPr>
            <w:tcW w:w="685" w:type="pct"/>
            <w:tcBorders>
              <w:top w:val="nil"/>
              <w:left w:val="nil"/>
              <w:bottom w:val="single" w:color="000000" w:sz="4" w:space="0"/>
              <w:right w:val="single" w:color="000000" w:sz="4" w:space="0"/>
            </w:tcBorders>
            <w:vAlign w:val="center"/>
          </w:tcPr>
          <w:p w14:paraId="3A395F74">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教室中控系统-7寸触摸屏</w:t>
            </w:r>
          </w:p>
        </w:tc>
        <w:tc>
          <w:tcPr>
            <w:tcW w:w="2439" w:type="pct"/>
            <w:tcBorders>
              <w:top w:val="nil"/>
              <w:left w:val="single" w:color="auto" w:sz="4" w:space="0"/>
              <w:bottom w:val="single" w:color="auto" w:sz="4" w:space="0"/>
              <w:right w:val="single" w:color="auto" w:sz="4" w:space="0"/>
            </w:tcBorders>
            <w:vAlign w:val="center"/>
          </w:tcPr>
          <w:p w14:paraId="460FA953">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1、7寸一体黑的玻璃面板真彩触摸屏，1024*600分辨率，可编程的控制界面及功能；</w:t>
            </w:r>
            <w:r>
              <w:rPr>
                <w:rFonts w:hint="eastAsia" w:ascii="宋体" w:hAnsi="宋体" w:cs="宋体"/>
                <w:kern w:val="0"/>
                <w:sz w:val="20"/>
                <w:szCs w:val="20"/>
              </w:rPr>
              <w:br w:type="textWrapping"/>
            </w:r>
            <w:r>
              <w:rPr>
                <w:rFonts w:hint="eastAsia" w:ascii="宋体" w:hAnsi="宋体" w:cs="宋体"/>
                <w:kern w:val="0"/>
                <w:sz w:val="20"/>
                <w:szCs w:val="20"/>
              </w:rPr>
              <w:t>2、显示教室环境参数和设备状态，实现对教室灯光、空调、交互大屏的控制等；屏幕界面、功能支持可编程；</w:t>
            </w:r>
            <w:r>
              <w:rPr>
                <w:rFonts w:hint="eastAsia" w:ascii="宋体" w:hAnsi="宋体" w:cs="宋体"/>
                <w:kern w:val="0"/>
                <w:sz w:val="20"/>
                <w:szCs w:val="20"/>
              </w:rPr>
              <w:br w:type="textWrapping"/>
            </w:r>
            <w:r>
              <w:rPr>
                <w:rFonts w:hint="eastAsia" w:ascii="宋体" w:hAnsi="宋体" w:cs="宋体"/>
                <w:kern w:val="0"/>
                <w:sz w:val="20"/>
                <w:szCs w:val="20"/>
              </w:rPr>
              <w:t>3、支持单界面或多界面跳转等多种触控及显示方式，支持200个界面转换；</w:t>
            </w:r>
            <w:r>
              <w:rPr>
                <w:rFonts w:hint="eastAsia" w:ascii="宋体" w:hAnsi="宋体" w:cs="宋体"/>
                <w:kern w:val="0"/>
                <w:sz w:val="20"/>
                <w:szCs w:val="20"/>
              </w:rPr>
              <w:br w:type="textWrapping"/>
            </w:r>
            <w:r>
              <w:rPr>
                <w:rFonts w:hint="eastAsia" w:ascii="宋体" w:hAnsi="宋体" w:cs="宋体"/>
                <w:kern w:val="0"/>
                <w:sz w:val="20"/>
                <w:szCs w:val="20"/>
              </w:rPr>
              <w:t>4、内置RTC时钟，支持日期及时间显示；支持亮度调节及屏幕保护，空闲时电子时钟屏保显示模式可编程；</w:t>
            </w:r>
            <w:r>
              <w:rPr>
                <w:rFonts w:hint="eastAsia" w:ascii="宋体" w:hAnsi="宋体" w:cs="宋体"/>
                <w:kern w:val="0"/>
                <w:sz w:val="20"/>
                <w:szCs w:val="20"/>
              </w:rPr>
              <w:br w:type="textWrapping"/>
            </w:r>
            <w:r>
              <w:rPr>
                <w:rFonts w:hint="eastAsia" w:ascii="宋体" w:hAnsi="宋体" w:cs="宋体"/>
                <w:kern w:val="0"/>
                <w:sz w:val="20"/>
                <w:szCs w:val="20"/>
              </w:rPr>
              <w:t>5、触摸屏带可编程的二维码，可通过手机扫码方式进行对授权的教室一键开启功能，学校老师可以无需携带IC卡，只要手机号授权即可实现开启设备；</w:t>
            </w:r>
          </w:p>
        </w:tc>
        <w:tc>
          <w:tcPr>
            <w:tcW w:w="328" w:type="pct"/>
            <w:tcBorders>
              <w:top w:val="nil"/>
              <w:left w:val="single" w:color="000000" w:sz="4" w:space="0"/>
              <w:bottom w:val="single" w:color="000000" w:sz="4" w:space="0"/>
              <w:right w:val="single" w:color="000000" w:sz="4" w:space="0"/>
            </w:tcBorders>
            <w:vAlign w:val="center"/>
          </w:tcPr>
          <w:p w14:paraId="61DFBA3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694" w:type="pct"/>
            <w:tcBorders>
              <w:top w:val="nil"/>
              <w:left w:val="nil"/>
              <w:bottom w:val="single" w:color="000000" w:sz="4" w:space="0"/>
              <w:right w:val="single" w:color="000000" w:sz="4" w:space="0"/>
            </w:tcBorders>
            <w:vAlign w:val="center"/>
          </w:tcPr>
          <w:p w14:paraId="5EF8448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480" w:type="pct"/>
            <w:tcBorders>
              <w:top w:val="nil"/>
              <w:left w:val="nil"/>
              <w:bottom w:val="single" w:color="000000" w:sz="4" w:space="0"/>
              <w:right w:val="single" w:color="000000" w:sz="4" w:space="0"/>
            </w:tcBorders>
            <w:vAlign w:val="center"/>
          </w:tcPr>
          <w:p w14:paraId="756A83E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3B8CD23F">
        <w:tblPrEx>
          <w:tblCellMar>
            <w:top w:w="0" w:type="dxa"/>
            <w:left w:w="108" w:type="dxa"/>
            <w:bottom w:w="0" w:type="dxa"/>
            <w:right w:w="108" w:type="dxa"/>
          </w:tblCellMar>
        </w:tblPrEx>
        <w:trPr>
          <w:trHeight w:val="1159" w:hRule="atLeast"/>
        </w:trPr>
        <w:tc>
          <w:tcPr>
            <w:tcW w:w="374" w:type="pct"/>
            <w:tcBorders>
              <w:top w:val="nil"/>
              <w:left w:val="single" w:color="000000" w:sz="4" w:space="0"/>
              <w:bottom w:val="single" w:color="000000" w:sz="4" w:space="0"/>
              <w:right w:val="single" w:color="000000" w:sz="4" w:space="0"/>
            </w:tcBorders>
            <w:vAlign w:val="center"/>
          </w:tcPr>
          <w:p w14:paraId="18588F91">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11</w:t>
            </w:r>
          </w:p>
        </w:tc>
        <w:tc>
          <w:tcPr>
            <w:tcW w:w="685" w:type="pct"/>
            <w:tcBorders>
              <w:top w:val="nil"/>
              <w:left w:val="nil"/>
              <w:bottom w:val="single" w:color="000000" w:sz="4" w:space="0"/>
              <w:right w:val="single" w:color="000000" w:sz="4" w:space="0"/>
            </w:tcBorders>
            <w:vAlign w:val="center"/>
          </w:tcPr>
          <w:p w14:paraId="188871DD">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教室中控系统-边缘高聚合网关</w:t>
            </w:r>
          </w:p>
        </w:tc>
        <w:tc>
          <w:tcPr>
            <w:tcW w:w="2439" w:type="pct"/>
            <w:tcBorders>
              <w:top w:val="nil"/>
              <w:left w:val="single" w:color="auto" w:sz="4" w:space="0"/>
              <w:bottom w:val="single" w:color="auto" w:sz="4" w:space="0"/>
              <w:right w:val="single" w:color="auto" w:sz="4" w:space="0"/>
            </w:tcBorders>
            <w:vAlign w:val="center"/>
          </w:tcPr>
          <w:p w14:paraId="4584EA00">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1、支持远程控制，IP地址可自动获取，无需调试及设置；</w:t>
            </w:r>
            <w:r>
              <w:rPr>
                <w:rFonts w:hint="eastAsia" w:ascii="宋体" w:hAnsi="宋体" w:cs="宋体"/>
                <w:kern w:val="0"/>
                <w:sz w:val="20"/>
                <w:szCs w:val="20"/>
              </w:rPr>
              <w:br w:type="textWrapping"/>
            </w:r>
            <w:r>
              <w:rPr>
                <w:rFonts w:hint="eastAsia" w:ascii="宋体" w:hAnsi="宋体" w:cs="宋体"/>
                <w:kern w:val="0"/>
                <w:sz w:val="20"/>
                <w:szCs w:val="20"/>
              </w:rPr>
              <w:t>2、搭配开关、调光或串口模块和控制面板等组成免编程控制系统，带256组场景，整个系统可挂63个模块；</w:t>
            </w:r>
            <w:r>
              <w:rPr>
                <w:rFonts w:hint="eastAsia" w:ascii="宋体" w:hAnsi="宋体" w:cs="宋体"/>
                <w:kern w:val="0"/>
                <w:sz w:val="20"/>
                <w:szCs w:val="20"/>
              </w:rPr>
              <w:br w:type="textWrapping"/>
            </w:r>
            <w:r>
              <w:rPr>
                <w:rFonts w:hint="eastAsia" w:ascii="宋体" w:hAnsi="宋体" w:cs="宋体"/>
                <w:kern w:val="0"/>
                <w:sz w:val="20"/>
                <w:szCs w:val="20"/>
              </w:rPr>
              <w:t>3、挂墙或桌面安装，集成LBUS总线，配合各种控制器，实现智能灯光、电动窗帘、智能用电用水、空调等的控制；</w:t>
            </w:r>
            <w:r>
              <w:rPr>
                <w:rFonts w:hint="eastAsia" w:ascii="宋体" w:hAnsi="宋体" w:cs="宋体"/>
                <w:kern w:val="0"/>
                <w:sz w:val="20"/>
                <w:szCs w:val="20"/>
              </w:rPr>
              <w:br w:type="textWrapping"/>
            </w:r>
            <w:r>
              <w:rPr>
                <w:rFonts w:hint="eastAsia" w:ascii="宋体" w:hAnsi="宋体" w:cs="宋体"/>
                <w:kern w:val="0"/>
                <w:sz w:val="20"/>
                <w:szCs w:val="20"/>
              </w:rPr>
              <w:t>4、集成1路MODBUS子总线，扩展连接多达32个智能空开；</w:t>
            </w:r>
            <w:r>
              <w:rPr>
                <w:rFonts w:hint="eastAsia" w:ascii="宋体" w:hAnsi="宋体" w:cs="宋体"/>
                <w:kern w:val="0"/>
                <w:sz w:val="20"/>
                <w:szCs w:val="20"/>
              </w:rPr>
              <w:br w:type="textWrapping"/>
            </w:r>
            <w:r>
              <w:rPr>
                <w:rFonts w:hint="eastAsia" w:ascii="宋体" w:hAnsi="宋体" w:cs="宋体"/>
                <w:kern w:val="0"/>
                <w:sz w:val="20"/>
                <w:szCs w:val="20"/>
              </w:rPr>
              <w:t>5、集成1路可编程RS485总线，扩展连接其他协议的物联设备；</w:t>
            </w:r>
            <w:r>
              <w:rPr>
                <w:rFonts w:hint="eastAsia" w:ascii="宋体" w:hAnsi="宋体" w:cs="宋体"/>
                <w:kern w:val="0"/>
                <w:sz w:val="20"/>
                <w:szCs w:val="20"/>
              </w:rPr>
              <w:br w:type="textWrapping"/>
            </w:r>
            <w:r>
              <w:rPr>
                <w:rFonts w:hint="eastAsia" w:ascii="宋体" w:hAnsi="宋体" w:cs="宋体"/>
                <w:kern w:val="0"/>
                <w:sz w:val="20"/>
                <w:szCs w:val="20"/>
              </w:rPr>
              <w:t>6、集成1路RS232输入总线，扩展连接其他控制面板等；</w:t>
            </w:r>
            <w:r>
              <w:rPr>
                <w:rFonts w:hint="eastAsia" w:ascii="宋体" w:hAnsi="宋体" w:cs="宋体"/>
                <w:kern w:val="0"/>
                <w:sz w:val="20"/>
                <w:szCs w:val="20"/>
              </w:rPr>
              <w:br w:type="textWrapping"/>
            </w:r>
            <w:r>
              <w:rPr>
                <w:rFonts w:hint="eastAsia" w:ascii="宋体" w:hAnsi="宋体" w:cs="宋体"/>
                <w:kern w:val="0"/>
                <w:sz w:val="20"/>
                <w:szCs w:val="20"/>
              </w:rPr>
              <w:t>7、采用SUBGHZ低功耗无线联网，无线设备自动搜索自动加入；</w:t>
            </w:r>
            <w:r>
              <w:rPr>
                <w:rFonts w:hint="eastAsia" w:ascii="宋体" w:hAnsi="宋体" w:cs="宋体"/>
                <w:kern w:val="0"/>
                <w:sz w:val="20"/>
                <w:szCs w:val="20"/>
              </w:rPr>
              <w:br w:type="textWrapping"/>
            </w:r>
            <w:r>
              <w:rPr>
                <w:rFonts w:hint="eastAsia" w:ascii="宋体" w:hAnsi="宋体" w:cs="宋体"/>
                <w:kern w:val="0"/>
                <w:sz w:val="20"/>
                <w:szCs w:val="20"/>
              </w:rPr>
              <w:t>8、可配置多达64个物联设备，兼容有线LPBUS协议，根据教室环境灵活部署；</w:t>
            </w:r>
          </w:p>
        </w:tc>
        <w:tc>
          <w:tcPr>
            <w:tcW w:w="328" w:type="pct"/>
            <w:tcBorders>
              <w:top w:val="nil"/>
              <w:left w:val="single" w:color="000000" w:sz="4" w:space="0"/>
              <w:bottom w:val="single" w:color="000000" w:sz="4" w:space="0"/>
              <w:right w:val="single" w:color="000000" w:sz="4" w:space="0"/>
            </w:tcBorders>
            <w:vAlign w:val="center"/>
          </w:tcPr>
          <w:p w14:paraId="1711DD1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694" w:type="pct"/>
            <w:tcBorders>
              <w:top w:val="nil"/>
              <w:left w:val="nil"/>
              <w:bottom w:val="single" w:color="000000" w:sz="4" w:space="0"/>
              <w:right w:val="single" w:color="000000" w:sz="4" w:space="0"/>
            </w:tcBorders>
            <w:vAlign w:val="center"/>
          </w:tcPr>
          <w:p w14:paraId="235C7695">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480" w:type="pct"/>
            <w:tcBorders>
              <w:top w:val="nil"/>
              <w:left w:val="nil"/>
              <w:bottom w:val="single" w:color="000000" w:sz="4" w:space="0"/>
              <w:right w:val="single" w:color="000000" w:sz="4" w:space="0"/>
            </w:tcBorders>
            <w:vAlign w:val="center"/>
          </w:tcPr>
          <w:p w14:paraId="2D3DEBD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19B47421">
        <w:tblPrEx>
          <w:tblCellMar>
            <w:top w:w="0" w:type="dxa"/>
            <w:left w:w="108" w:type="dxa"/>
            <w:bottom w:w="0" w:type="dxa"/>
            <w:right w:w="108" w:type="dxa"/>
          </w:tblCellMar>
        </w:tblPrEx>
        <w:trPr>
          <w:trHeight w:val="2340" w:hRule="atLeast"/>
        </w:trPr>
        <w:tc>
          <w:tcPr>
            <w:tcW w:w="374" w:type="pct"/>
            <w:tcBorders>
              <w:top w:val="nil"/>
              <w:left w:val="single" w:color="000000" w:sz="4" w:space="0"/>
              <w:bottom w:val="single" w:color="000000" w:sz="4" w:space="0"/>
              <w:right w:val="single" w:color="000000" w:sz="4" w:space="0"/>
            </w:tcBorders>
            <w:vAlign w:val="center"/>
          </w:tcPr>
          <w:p w14:paraId="246A978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12</w:t>
            </w:r>
          </w:p>
        </w:tc>
        <w:tc>
          <w:tcPr>
            <w:tcW w:w="685" w:type="pct"/>
            <w:tcBorders>
              <w:top w:val="nil"/>
              <w:left w:val="nil"/>
              <w:bottom w:val="single" w:color="000000" w:sz="4" w:space="0"/>
              <w:right w:val="single" w:color="000000" w:sz="4" w:space="0"/>
            </w:tcBorders>
            <w:vAlign w:val="center"/>
          </w:tcPr>
          <w:p w14:paraId="2842D075">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教室中控系统-智能断路器</w:t>
            </w:r>
          </w:p>
        </w:tc>
        <w:tc>
          <w:tcPr>
            <w:tcW w:w="2439" w:type="pct"/>
            <w:tcBorders>
              <w:top w:val="nil"/>
              <w:left w:val="single" w:color="auto" w:sz="4" w:space="0"/>
              <w:bottom w:val="single" w:color="auto" w:sz="4" w:space="0"/>
              <w:right w:val="single" w:color="auto" w:sz="4" w:space="0"/>
            </w:tcBorders>
            <w:vAlign w:val="center"/>
          </w:tcPr>
          <w:p w14:paraId="2643F2DF">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1、具备MODBUS子总线，连接中控或通讯终端实现智能用电管理；</w:t>
            </w:r>
            <w:r>
              <w:rPr>
                <w:rFonts w:hint="eastAsia" w:ascii="宋体" w:hAnsi="宋体" w:cs="宋体"/>
                <w:kern w:val="0"/>
                <w:sz w:val="20"/>
                <w:szCs w:val="20"/>
              </w:rPr>
              <w:br w:type="textWrapping"/>
            </w:r>
            <w:r>
              <w:rPr>
                <w:rFonts w:hint="eastAsia" w:ascii="宋体" w:hAnsi="宋体" w:cs="宋体"/>
                <w:kern w:val="0"/>
                <w:sz w:val="20"/>
                <w:szCs w:val="20"/>
              </w:rPr>
              <w:t>2、32A大功率磁保持开关，强电控制采用过零触发方式，保护设备上电安全；</w:t>
            </w:r>
            <w:r>
              <w:rPr>
                <w:rFonts w:hint="eastAsia" w:ascii="宋体" w:hAnsi="宋体" w:cs="宋体"/>
                <w:kern w:val="0"/>
                <w:sz w:val="20"/>
                <w:szCs w:val="20"/>
              </w:rPr>
              <w:br w:type="textWrapping"/>
            </w:r>
            <w:r>
              <w:rPr>
                <w:rFonts w:hint="eastAsia" w:ascii="宋体" w:hAnsi="宋体" w:cs="宋体"/>
                <w:kern w:val="0"/>
                <w:sz w:val="20"/>
                <w:szCs w:val="20"/>
              </w:rPr>
              <w:t>3、三个智能断路器可组合配置同一ID，控制380V空调三相电源的通断；</w:t>
            </w:r>
            <w:r>
              <w:rPr>
                <w:rFonts w:hint="eastAsia" w:ascii="宋体" w:hAnsi="宋体" w:cs="宋体"/>
                <w:kern w:val="0"/>
                <w:sz w:val="20"/>
                <w:szCs w:val="20"/>
              </w:rPr>
              <w:br w:type="textWrapping"/>
            </w:r>
            <w:r>
              <w:rPr>
                <w:rFonts w:hint="eastAsia" w:ascii="宋体" w:hAnsi="宋体" w:cs="宋体"/>
                <w:kern w:val="0"/>
                <w:sz w:val="20"/>
                <w:szCs w:val="20"/>
              </w:rPr>
              <w:t>4、智能断路器不能有手动开关或按键，避免人为打开设备电源；</w:t>
            </w:r>
          </w:p>
        </w:tc>
        <w:tc>
          <w:tcPr>
            <w:tcW w:w="328" w:type="pct"/>
            <w:tcBorders>
              <w:top w:val="nil"/>
              <w:left w:val="single" w:color="000000" w:sz="4" w:space="0"/>
              <w:bottom w:val="single" w:color="000000" w:sz="4" w:space="0"/>
              <w:right w:val="single" w:color="000000" w:sz="4" w:space="0"/>
            </w:tcBorders>
            <w:vAlign w:val="center"/>
          </w:tcPr>
          <w:p w14:paraId="17C90AB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个</w:t>
            </w:r>
          </w:p>
        </w:tc>
        <w:tc>
          <w:tcPr>
            <w:tcW w:w="694" w:type="pct"/>
            <w:tcBorders>
              <w:top w:val="nil"/>
              <w:left w:val="nil"/>
              <w:bottom w:val="single" w:color="000000" w:sz="4" w:space="0"/>
              <w:right w:val="single" w:color="000000" w:sz="4" w:space="0"/>
            </w:tcBorders>
            <w:vAlign w:val="center"/>
          </w:tcPr>
          <w:p w14:paraId="16ADB134">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480" w:type="pct"/>
            <w:tcBorders>
              <w:top w:val="nil"/>
              <w:left w:val="nil"/>
              <w:bottom w:val="single" w:color="000000" w:sz="4" w:space="0"/>
              <w:right w:val="single" w:color="000000" w:sz="4" w:space="0"/>
            </w:tcBorders>
            <w:vAlign w:val="center"/>
          </w:tcPr>
          <w:p w14:paraId="2073E8B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2CD3D7CD">
        <w:tblPrEx>
          <w:tblCellMar>
            <w:top w:w="0" w:type="dxa"/>
            <w:left w:w="108" w:type="dxa"/>
            <w:bottom w:w="0" w:type="dxa"/>
            <w:right w:w="108" w:type="dxa"/>
          </w:tblCellMar>
        </w:tblPrEx>
        <w:trPr>
          <w:trHeight w:val="942" w:hRule="atLeast"/>
        </w:trPr>
        <w:tc>
          <w:tcPr>
            <w:tcW w:w="374" w:type="pct"/>
            <w:tcBorders>
              <w:top w:val="nil"/>
              <w:left w:val="single" w:color="000000" w:sz="4" w:space="0"/>
              <w:bottom w:val="single" w:color="000000" w:sz="4" w:space="0"/>
              <w:right w:val="single" w:color="000000" w:sz="4" w:space="0"/>
            </w:tcBorders>
            <w:vAlign w:val="center"/>
          </w:tcPr>
          <w:p w14:paraId="3AD7C4D2">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13</w:t>
            </w:r>
          </w:p>
        </w:tc>
        <w:tc>
          <w:tcPr>
            <w:tcW w:w="685" w:type="pct"/>
            <w:tcBorders>
              <w:top w:val="nil"/>
              <w:left w:val="nil"/>
              <w:bottom w:val="single" w:color="000000" w:sz="4" w:space="0"/>
              <w:right w:val="single" w:color="000000" w:sz="4" w:space="0"/>
            </w:tcBorders>
            <w:vAlign w:val="center"/>
          </w:tcPr>
          <w:p w14:paraId="02A673ED">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教室中控系统-智能灯光开关</w:t>
            </w:r>
          </w:p>
        </w:tc>
        <w:tc>
          <w:tcPr>
            <w:tcW w:w="2439" w:type="pct"/>
            <w:tcBorders>
              <w:top w:val="nil"/>
              <w:left w:val="single" w:color="auto" w:sz="4" w:space="0"/>
              <w:bottom w:val="nil"/>
              <w:right w:val="single" w:color="auto" w:sz="4" w:space="0"/>
            </w:tcBorders>
            <w:vAlign w:val="center"/>
          </w:tcPr>
          <w:p w14:paraId="46B9F116">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1、3个16A回路，微动按键控制，可通过自发电开关、遥控器、手机、IPAD或集控平台进行灯光及其它负载设备的控制；</w:t>
            </w:r>
            <w:r>
              <w:rPr>
                <w:rFonts w:hint="eastAsia" w:ascii="宋体" w:hAnsi="宋体" w:cs="宋体"/>
                <w:kern w:val="0"/>
                <w:sz w:val="20"/>
                <w:szCs w:val="20"/>
              </w:rPr>
              <w:br w:type="textWrapping"/>
            </w:r>
            <w:r>
              <w:rPr>
                <w:rFonts w:hint="eastAsia" w:ascii="宋体" w:hAnsi="宋体" w:cs="宋体"/>
                <w:kern w:val="0"/>
                <w:sz w:val="20"/>
                <w:szCs w:val="20"/>
              </w:rPr>
              <w:t>2、SUBGHZ协议无线连接智慧教室网关，可实现单开、联动开启、自定义场景模式等多种开启方式；</w:t>
            </w:r>
            <w:r>
              <w:rPr>
                <w:rFonts w:hint="eastAsia" w:ascii="宋体" w:hAnsi="宋体" w:cs="宋体"/>
                <w:kern w:val="0"/>
                <w:sz w:val="20"/>
                <w:szCs w:val="20"/>
              </w:rPr>
              <w:br w:type="textWrapping"/>
            </w:r>
            <w:r>
              <w:rPr>
                <w:rFonts w:hint="eastAsia" w:ascii="宋体" w:hAnsi="宋体" w:cs="宋体"/>
                <w:kern w:val="0"/>
                <w:sz w:val="20"/>
                <w:szCs w:val="20"/>
              </w:rPr>
              <w:t>3、16A大电流继电器，强电控制采用过零触发方式，保护设备上电安全；</w:t>
            </w:r>
            <w:r>
              <w:rPr>
                <w:rFonts w:hint="eastAsia" w:ascii="宋体" w:hAnsi="宋体" w:cs="宋体"/>
                <w:kern w:val="0"/>
                <w:sz w:val="20"/>
                <w:szCs w:val="20"/>
              </w:rPr>
              <w:br w:type="textWrapping"/>
            </w:r>
            <w:r>
              <w:rPr>
                <w:rFonts w:hint="eastAsia" w:ascii="宋体" w:hAnsi="宋体" w:cs="宋体"/>
                <w:kern w:val="0"/>
                <w:sz w:val="20"/>
                <w:szCs w:val="20"/>
              </w:rPr>
              <w:t>4、32路无线自发电开关对接，无线距离：室外100m，室内30m；</w:t>
            </w:r>
            <w:r>
              <w:rPr>
                <w:rFonts w:hint="eastAsia" w:ascii="宋体" w:hAnsi="宋体" w:cs="宋体"/>
                <w:kern w:val="0"/>
                <w:sz w:val="20"/>
                <w:szCs w:val="20"/>
              </w:rPr>
              <w:br w:type="textWrapping"/>
            </w:r>
            <w:r>
              <w:rPr>
                <w:rFonts w:hint="eastAsia" w:ascii="宋体" w:hAnsi="宋体" w:cs="宋体"/>
                <w:kern w:val="0"/>
                <w:sz w:val="20"/>
                <w:szCs w:val="20"/>
              </w:rPr>
              <w:t>5、工作电压：AC 220V，待机功耗小于1W；</w:t>
            </w:r>
            <w:r>
              <w:rPr>
                <w:rFonts w:hint="eastAsia" w:ascii="宋体" w:hAnsi="宋体" w:cs="宋体"/>
                <w:kern w:val="0"/>
                <w:sz w:val="20"/>
                <w:szCs w:val="20"/>
              </w:rPr>
              <w:br w:type="textWrapping"/>
            </w:r>
            <w:r>
              <w:rPr>
                <w:rFonts w:hint="eastAsia" w:ascii="宋体" w:hAnsi="宋体" w:cs="宋体"/>
                <w:kern w:val="0"/>
                <w:sz w:val="20"/>
                <w:szCs w:val="20"/>
              </w:rPr>
              <w:t>6、工作类型：86型自复位，可以安装在墙壁86底盒上；</w:t>
            </w:r>
          </w:p>
        </w:tc>
        <w:tc>
          <w:tcPr>
            <w:tcW w:w="328" w:type="pct"/>
            <w:tcBorders>
              <w:top w:val="nil"/>
              <w:left w:val="single" w:color="000000" w:sz="4" w:space="0"/>
              <w:bottom w:val="single" w:color="000000" w:sz="4" w:space="0"/>
              <w:right w:val="single" w:color="000000" w:sz="4" w:space="0"/>
            </w:tcBorders>
            <w:vAlign w:val="center"/>
          </w:tcPr>
          <w:p w14:paraId="6662B65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694" w:type="pct"/>
            <w:tcBorders>
              <w:top w:val="nil"/>
              <w:left w:val="nil"/>
              <w:bottom w:val="single" w:color="000000" w:sz="4" w:space="0"/>
              <w:right w:val="single" w:color="000000" w:sz="4" w:space="0"/>
            </w:tcBorders>
            <w:vAlign w:val="center"/>
          </w:tcPr>
          <w:p w14:paraId="73FA97F9">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480" w:type="pct"/>
            <w:tcBorders>
              <w:top w:val="nil"/>
              <w:left w:val="nil"/>
              <w:bottom w:val="single" w:color="000000" w:sz="4" w:space="0"/>
              <w:right w:val="single" w:color="000000" w:sz="4" w:space="0"/>
            </w:tcBorders>
            <w:vAlign w:val="center"/>
          </w:tcPr>
          <w:p w14:paraId="6FA52045">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78CB1DB7">
        <w:tblPrEx>
          <w:tblCellMar>
            <w:top w:w="0" w:type="dxa"/>
            <w:left w:w="108" w:type="dxa"/>
            <w:bottom w:w="0" w:type="dxa"/>
            <w:right w:w="108" w:type="dxa"/>
          </w:tblCellMar>
        </w:tblPrEx>
        <w:trPr>
          <w:trHeight w:val="942" w:hRule="atLeast"/>
        </w:trPr>
        <w:tc>
          <w:tcPr>
            <w:tcW w:w="374" w:type="pct"/>
            <w:tcBorders>
              <w:top w:val="nil"/>
              <w:left w:val="single" w:color="000000" w:sz="4" w:space="0"/>
              <w:bottom w:val="single" w:color="000000" w:sz="4" w:space="0"/>
              <w:right w:val="single" w:color="000000" w:sz="4" w:space="0"/>
            </w:tcBorders>
            <w:vAlign w:val="center"/>
          </w:tcPr>
          <w:p w14:paraId="560A9A21">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14</w:t>
            </w:r>
          </w:p>
        </w:tc>
        <w:tc>
          <w:tcPr>
            <w:tcW w:w="685" w:type="pct"/>
            <w:tcBorders>
              <w:top w:val="nil"/>
              <w:left w:val="nil"/>
              <w:bottom w:val="single" w:color="000000" w:sz="4" w:space="0"/>
              <w:right w:val="single" w:color="000000" w:sz="4" w:space="0"/>
            </w:tcBorders>
            <w:vAlign w:val="center"/>
          </w:tcPr>
          <w:p w14:paraId="6FC7C8D7">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教室中控系统-21.5寸电子班牌</w:t>
            </w:r>
          </w:p>
        </w:tc>
        <w:tc>
          <w:tcPr>
            <w:tcW w:w="2439" w:type="pct"/>
            <w:tcBorders>
              <w:top w:val="single" w:color="auto" w:sz="4" w:space="0"/>
              <w:left w:val="single" w:color="auto" w:sz="4" w:space="0"/>
              <w:bottom w:val="single" w:color="auto" w:sz="4" w:space="0"/>
              <w:right w:val="single" w:color="auto" w:sz="4" w:space="0"/>
            </w:tcBorders>
            <w:shd w:val="clear" w:color="000000" w:fill="auto"/>
            <w:vAlign w:val="center"/>
          </w:tcPr>
          <w:p w14:paraId="5E70CCAD">
            <w:pPr>
              <w:widowControl/>
              <w:spacing w:after="0" w:line="240" w:lineRule="auto"/>
              <w:rPr>
                <w:rFonts w:hint="eastAsia" w:ascii="宋体" w:hAnsi="宋体" w:cs="宋体"/>
                <w:kern w:val="0"/>
                <w:sz w:val="20"/>
                <w:szCs w:val="20"/>
              </w:rPr>
            </w:pPr>
            <w:r>
              <w:rPr>
                <w:rFonts w:hint="eastAsia" w:ascii="宋体" w:hAnsi="宋体" w:cs="宋体"/>
                <w:kern w:val="0"/>
                <w:sz w:val="20"/>
                <w:szCs w:val="20"/>
              </w:rPr>
              <w:t>1、屏幕尺寸：21.5英寸，分辨率：1920*1080，10点触控，16:9高清触摸屏，横竖版可选，屏幕亮度350cd/㎡；设置刷卡模块支持非接触刷卡；前置200万高清摄像头可在刷卡同时抓拍图像；</w:t>
            </w:r>
            <w:r>
              <w:rPr>
                <w:rFonts w:hint="eastAsia" w:ascii="宋体" w:hAnsi="宋体" w:cs="宋体"/>
                <w:kern w:val="0"/>
                <w:sz w:val="20"/>
                <w:szCs w:val="20"/>
              </w:rPr>
              <w:br w:type="textWrapping"/>
            </w:r>
            <w:r>
              <w:rPr>
                <w:rFonts w:hint="eastAsia" w:ascii="宋体" w:hAnsi="宋体" w:cs="宋体"/>
                <w:kern w:val="0"/>
                <w:sz w:val="20"/>
                <w:szCs w:val="20"/>
              </w:rPr>
              <w:t>2、采用4核高速处CPU理器，运行内存2GB DDR3，存储容量16GB，高性能运行配置；</w:t>
            </w:r>
            <w:r>
              <w:rPr>
                <w:rFonts w:hint="eastAsia" w:ascii="宋体" w:hAnsi="宋体" w:cs="宋体"/>
                <w:kern w:val="0"/>
                <w:sz w:val="20"/>
                <w:szCs w:val="20"/>
              </w:rPr>
              <w:br w:type="textWrapping"/>
            </w:r>
            <w:r>
              <w:rPr>
                <w:rFonts w:hint="eastAsia" w:ascii="宋体" w:hAnsi="宋体" w:cs="宋体"/>
                <w:kern w:val="0"/>
                <w:sz w:val="20"/>
                <w:szCs w:val="20"/>
              </w:rPr>
              <w:t>3、超薄壁挂设计，一体化成型外壳，钢化玻璃保护；采用高级电容触摸技术，多点触摸，无需激活力；</w:t>
            </w:r>
            <w:r>
              <w:rPr>
                <w:rFonts w:hint="eastAsia" w:ascii="宋体" w:hAnsi="宋体" w:cs="宋体"/>
                <w:kern w:val="0"/>
                <w:sz w:val="20"/>
                <w:szCs w:val="20"/>
              </w:rPr>
              <w:br w:type="textWrapping"/>
            </w:r>
            <w:r>
              <w:rPr>
                <w:rFonts w:hint="eastAsia" w:ascii="宋体" w:hAnsi="宋体" w:cs="宋体"/>
                <w:kern w:val="0"/>
                <w:sz w:val="20"/>
                <w:szCs w:val="20"/>
              </w:rPr>
              <w:t>4、电子班牌屏幕表面保护，硬度莫氏7级；屏保触摸激活功能；零维护设计，班牌面板防水防尘防护级别IP65。</w:t>
            </w:r>
            <w:r>
              <w:rPr>
                <w:rFonts w:hint="eastAsia" w:ascii="宋体" w:hAnsi="宋体" w:cs="宋体"/>
                <w:kern w:val="0"/>
                <w:sz w:val="20"/>
                <w:szCs w:val="20"/>
              </w:rPr>
              <w:br w:type="textWrapping"/>
            </w:r>
            <w:r>
              <w:rPr>
                <w:rFonts w:hint="eastAsia" w:ascii="宋体" w:hAnsi="宋体" w:cs="宋体"/>
                <w:kern w:val="0"/>
                <w:sz w:val="20"/>
                <w:szCs w:val="20"/>
              </w:rPr>
              <w:t>5、定时开关机、在线设备可以远程重启、音量要在设备端调节；</w:t>
            </w:r>
            <w:r>
              <w:rPr>
                <w:rFonts w:hint="eastAsia" w:ascii="宋体" w:hAnsi="宋体" w:cs="宋体"/>
                <w:kern w:val="0"/>
                <w:sz w:val="20"/>
                <w:szCs w:val="20"/>
              </w:rPr>
              <w:br w:type="textWrapping"/>
            </w:r>
            <w:r>
              <w:rPr>
                <w:rFonts w:hint="eastAsia" w:ascii="宋体" w:hAnsi="宋体" w:cs="宋体"/>
                <w:kern w:val="0"/>
                <w:sz w:val="20"/>
                <w:szCs w:val="20"/>
              </w:rPr>
              <w:t>6、可完美支持PPT、WORD、EXCEL等OFFICE文件的导入播放；兼容多种多媒体格式，支持 MPEG1、MPEG2、MPEG4、 H.263、H.264等视频格式；支持 MP3等音频格式；支持 JPG、JPEG、BMP、PNG、GIF 等图片格式。</w:t>
            </w:r>
            <w:r>
              <w:rPr>
                <w:rFonts w:hint="eastAsia" w:ascii="宋体" w:hAnsi="宋体" w:cs="宋体"/>
                <w:kern w:val="0"/>
                <w:sz w:val="20"/>
                <w:szCs w:val="20"/>
              </w:rPr>
              <w:br w:type="textWrapping"/>
            </w:r>
            <w:r>
              <w:rPr>
                <w:rFonts w:hint="eastAsia" w:ascii="宋体" w:hAnsi="宋体" w:cs="宋体"/>
                <w:kern w:val="0"/>
                <w:sz w:val="20"/>
                <w:szCs w:val="20"/>
              </w:rPr>
              <w:t xml:space="preserve">7、主要功能模块：班级文化、班级信息介绍、班级荣誉、班级相册、智慧呈现、班级德育、班级考勤、请假放行、学生个人中心、教学交互、课表显示、作业管理、德育管理、考场管理及考试签到、问卷调查、一卡通自助挂失/解绑、系统后台设置等； </w:t>
            </w:r>
            <w:r>
              <w:rPr>
                <w:rFonts w:hint="eastAsia" w:ascii="宋体" w:hAnsi="宋体" w:cs="宋体"/>
                <w:kern w:val="0"/>
                <w:sz w:val="20"/>
                <w:szCs w:val="20"/>
              </w:rPr>
              <w:br w:type="textWrapping"/>
            </w:r>
            <w:r>
              <w:rPr>
                <w:rFonts w:hint="eastAsia" w:ascii="宋体" w:hAnsi="宋体" w:cs="宋体"/>
                <w:kern w:val="0"/>
                <w:sz w:val="20"/>
                <w:szCs w:val="20"/>
              </w:rPr>
              <w:t>8、内置继电器和电磁锁，实现门禁功能，认证通过自动开锁功能，或远程开锁。</w:t>
            </w:r>
            <w:r>
              <w:rPr>
                <w:rFonts w:hint="eastAsia" w:ascii="宋体" w:hAnsi="宋体" w:cs="宋体"/>
                <w:kern w:val="0"/>
                <w:sz w:val="20"/>
                <w:szCs w:val="20"/>
              </w:rPr>
              <w:br w:type="textWrapping"/>
            </w:r>
            <w:r>
              <w:rPr>
                <w:rFonts w:hint="eastAsia" w:ascii="宋体" w:hAnsi="宋体" w:cs="宋体"/>
                <w:kern w:val="0"/>
                <w:sz w:val="20"/>
                <w:szCs w:val="20"/>
              </w:rPr>
              <w:t>9、显示当前教室任课教师、班级信、天气、时间信息，信息；</w:t>
            </w:r>
            <w:r>
              <w:rPr>
                <w:rFonts w:hint="eastAsia" w:ascii="宋体" w:hAnsi="宋体" w:cs="宋体"/>
                <w:kern w:val="0"/>
                <w:sz w:val="20"/>
                <w:szCs w:val="20"/>
              </w:rPr>
              <w:br w:type="textWrapping"/>
            </w:r>
            <w:r>
              <w:rPr>
                <w:rFonts w:hint="eastAsia" w:ascii="宋体" w:hAnsi="宋体" w:cs="宋体"/>
                <w:kern w:val="0"/>
                <w:sz w:val="20"/>
                <w:szCs w:val="20"/>
              </w:rPr>
              <w:t>10、显示当日课程表，可查看本周课程和考勤统计；</w:t>
            </w:r>
            <w:r>
              <w:rPr>
                <w:rFonts w:hint="eastAsia" w:ascii="宋体" w:hAnsi="宋体" w:cs="宋体"/>
                <w:kern w:val="0"/>
                <w:sz w:val="20"/>
                <w:szCs w:val="20"/>
              </w:rPr>
              <w:br w:type="textWrapping"/>
            </w:r>
            <w:r>
              <w:rPr>
                <w:rFonts w:hint="eastAsia" w:ascii="宋体" w:hAnsi="宋体" w:cs="宋体"/>
                <w:kern w:val="0"/>
                <w:sz w:val="20"/>
                <w:szCs w:val="20"/>
              </w:rPr>
              <w:t>11、根据后台设定时间，自动切换页面全屏轮播，如学校动态、班级动态、通知公告等，后台时间设定规则可自定义。</w:t>
            </w:r>
            <w:r>
              <w:rPr>
                <w:rFonts w:hint="eastAsia" w:ascii="宋体" w:hAnsi="宋体" w:cs="宋体"/>
                <w:kern w:val="0"/>
                <w:sz w:val="20"/>
                <w:szCs w:val="20"/>
              </w:rPr>
              <w:br w:type="textWrapping"/>
            </w:r>
            <w:r>
              <w:rPr>
                <w:rFonts w:hint="eastAsia" w:ascii="宋体" w:hAnsi="宋体" w:cs="宋体"/>
                <w:kern w:val="0"/>
                <w:sz w:val="20"/>
                <w:szCs w:val="20"/>
              </w:rPr>
              <w:t>12、平台可根据实际需求自定义各模块管理规则，对接教务系统，实现数据互通。</w:t>
            </w:r>
            <w:r>
              <w:rPr>
                <w:rFonts w:hint="eastAsia" w:ascii="宋体" w:hAnsi="宋体" w:cs="宋体"/>
                <w:kern w:val="0"/>
                <w:sz w:val="20"/>
                <w:szCs w:val="20"/>
              </w:rPr>
              <w:br w:type="textWrapping"/>
            </w:r>
            <w:r>
              <w:rPr>
                <w:rFonts w:hint="eastAsia" w:ascii="宋体" w:hAnsi="宋体" w:cs="宋体"/>
                <w:kern w:val="0"/>
                <w:sz w:val="20"/>
                <w:szCs w:val="20"/>
              </w:rPr>
              <w:t>13、对接教务课表展示在班牌端，学生进行课堂考勤。</w:t>
            </w:r>
          </w:p>
        </w:tc>
        <w:tc>
          <w:tcPr>
            <w:tcW w:w="328" w:type="pct"/>
            <w:tcBorders>
              <w:top w:val="nil"/>
              <w:left w:val="single" w:color="000000" w:sz="4" w:space="0"/>
              <w:bottom w:val="single" w:color="000000" w:sz="4" w:space="0"/>
              <w:right w:val="single" w:color="000000" w:sz="4" w:space="0"/>
            </w:tcBorders>
            <w:vAlign w:val="center"/>
          </w:tcPr>
          <w:p w14:paraId="2868EA55">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694" w:type="pct"/>
            <w:tcBorders>
              <w:top w:val="nil"/>
              <w:left w:val="nil"/>
              <w:bottom w:val="single" w:color="000000" w:sz="4" w:space="0"/>
              <w:right w:val="single" w:color="000000" w:sz="4" w:space="0"/>
            </w:tcBorders>
            <w:vAlign w:val="center"/>
          </w:tcPr>
          <w:p w14:paraId="5BF27E6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480" w:type="pct"/>
            <w:tcBorders>
              <w:top w:val="nil"/>
              <w:left w:val="nil"/>
              <w:bottom w:val="single" w:color="000000" w:sz="4" w:space="0"/>
              <w:right w:val="single" w:color="000000" w:sz="4" w:space="0"/>
            </w:tcBorders>
            <w:vAlign w:val="center"/>
          </w:tcPr>
          <w:p w14:paraId="00E8A9E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5BB54E26">
        <w:tblPrEx>
          <w:tblCellMar>
            <w:top w:w="0" w:type="dxa"/>
            <w:left w:w="108" w:type="dxa"/>
            <w:bottom w:w="0" w:type="dxa"/>
            <w:right w:w="108" w:type="dxa"/>
          </w:tblCellMar>
        </w:tblPrEx>
        <w:trPr>
          <w:trHeight w:val="2059" w:hRule="atLeast"/>
        </w:trPr>
        <w:tc>
          <w:tcPr>
            <w:tcW w:w="374" w:type="pct"/>
            <w:tcBorders>
              <w:top w:val="nil"/>
              <w:left w:val="single" w:color="000000" w:sz="4" w:space="0"/>
              <w:bottom w:val="single" w:color="000000" w:sz="4" w:space="0"/>
              <w:right w:val="single" w:color="000000" w:sz="4" w:space="0"/>
            </w:tcBorders>
            <w:vAlign w:val="center"/>
          </w:tcPr>
          <w:p w14:paraId="23400007">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w:t>
            </w:r>
          </w:p>
        </w:tc>
        <w:tc>
          <w:tcPr>
            <w:tcW w:w="685" w:type="pct"/>
            <w:tcBorders>
              <w:top w:val="nil"/>
              <w:left w:val="nil"/>
              <w:bottom w:val="single" w:color="000000" w:sz="4" w:space="0"/>
              <w:right w:val="single" w:color="000000" w:sz="4" w:space="0"/>
            </w:tcBorders>
            <w:vAlign w:val="center"/>
          </w:tcPr>
          <w:p w14:paraId="694DC603">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直饮水机电源控制器</w:t>
            </w:r>
          </w:p>
        </w:tc>
        <w:tc>
          <w:tcPr>
            <w:tcW w:w="2439" w:type="pct"/>
            <w:tcBorders>
              <w:top w:val="single" w:color="000000" w:sz="4" w:space="0"/>
              <w:left w:val="nil"/>
              <w:bottom w:val="single" w:color="000000" w:sz="4" w:space="0"/>
              <w:right w:val="single" w:color="000000" w:sz="4" w:space="0"/>
            </w:tcBorders>
            <w:shd w:val="clear" w:color="000000" w:fill="auto"/>
            <w:vAlign w:val="center"/>
          </w:tcPr>
          <w:p w14:paraId="67B24724">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1.用电量计量</w:t>
            </w:r>
            <w:r>
              <w:rPr>
                <w:rFonts w:hint="eastAsia" w:ascii="宋体" w:hAnsi="宋体" w:cs="宋体"/>
                <w:kern w:val="0"/>
                <w:sz w:val="20"/>
                <w:szCs w:val="20"/>
              </w:rPr>
              <w:br w:type="textWrapping"/>
            </w:r>
            <w:r>
              <w:rPr>
                <w:rFonts w:hint="eastAsia" w:ascii="宋体" w:hAnsi="宋体" w:cs="宋体"/>
                <w:kern w:val="0"/>
                <w:sz w:val="20"/>
                <w:szCs w:val="20"/>
              </w:rPr>
              <w:t>2.定时控制管理</w:t>
            </w:r>
            <w:r>
              <w:rPr>
                <w:rFonts w:hint="eastAsia" w:ascii="宋体" w:hAnsi="宋体" w:cs="宋体"/>
                <w:kern w:val="0"/>
                <w:sz w:val="20"/>
                <w:szCs w:val="20"/>
              </w:rPr>
              <w:br w:type="textWrapping"/>
            </w:r>
            <w:r>
              <w:rPr>
                <w:rFonts w:hint="eastAsia" w:ascii="宋体" w:hAnsi="宋体" w:cs="宋体"/>
                <w:kern w:val="0"/>
                <w:sz w:val="20"/>
                <w:szCs w:val="20"/>
              </w:rPr>
              <w:t>3.蓝牙无线配置功能</w:t>
            </w:r>
            <w:r>
              <w:rPr>
                <w:rFonts w:hint="eastAsia" w:ascii="宋体" w:hAnsi="宋体" w:cs="宋体"/>
                <w:kern w:val="0"/>
                <w:sz w:val="20"/>
                <w:szCs w:val="20"/>
              </w:rPr>
              <w:br w:type="textWrapping"/>
            </w:r>
            <w:r>
              <w:rPr>
                <w:rFonts w:hint="eastAsia" w:ascii="宋体" w:hAnsi="宋体" w:cs="宋体"/>
                <w:kern w:val="0"/>
                <w:sz w:val="20"/>
                <w:szCs w:val="20"/>
              </w:rPr>
              <w:t>4.过载保护，自动断电</w:t>
            </w:r>
            <w:r>
              <w:rPr>
                <w:rFonts w:hint="eastAsia" w:ascii="宋体" w:hAnsi="宋体" w:cs="宋体"/>
                <w:kern w:val="0"/>
                <w:sz w:val="20"/>
                <w:szCs w:val="20"/>
              </w:rPr>
              <w:br w:type="textWrapping"/>
            </w:r>
            <w:r>
              <w:rPr>
                <w:rFonts w:hint="eastAsia" w:ascii="宋体" w:hAnsi="宋体" w:cs="宋体"/>
                <w:kern w:val="0"/>
                <w:sz w:val="20"/>
                <w:szCs w:val="20"/>
              </w:rPr>
              <w:t>5.4G无线通讯功能</w:t>
            </w:r>
            <w:r>
              <w:rPr>
                <w:rFonts w:hint="eastAsia" w:ascii="宋体" w:hAnsi="宋体" w:cs="宋体"/>
                <w:kern w:val="0"/>
                <w:sz w:val="20"/>
                <w:szCs w:val="20"/>
              </w:rPr>
              <w:br w:type="textWrapping"/>
            </w:r>
            <w:r>
              <w:rPr>
                <w:rFonts w:hint="eastAsia" w:ascii="宋体" w:hAnsi="宋体" w:cs="宋体"/>
                <w:kern w:val="0"/>
                <w:sz w:val="20"/>
                <w:szCs w:val="20"/>
              </w:rPr>
              <w:t>6.防火材质</w:t>
            </w:r>
            <w:r>
              <w:rPr>
                <w:rFonts w:hint="eastAsia" w:ascii="宋体" w:hAnsi="宋体" w:cs="宋体"/>
                <w:kern w:val="0"/>
                <w:sz w:val="20"/>
                <w:szCs w:val="20"/>
              </w:rPr>
              <w:br w:type="textWrapping"/>
            </w:r>
            <w:r>
              <w:rPr>
                <w:rFonts w:hint="eastAsia" w:ascii="宋体" w:hAnsi="宋体" w:cs="宋体"/>
                <w:kern w:val="0"/>
                <w:sz w:val="20"/>
                <w:szCs w:val="20"/>
              </w:rPr>
              <w:t>7.自带控制系统，可远程控制。</w:t>
            </w:r>
          </w:p>
        </w:tc>
        <w:tc>
          <w:tcPr>
            <w:tcW w:w="328" w:type="pct"/>
            <w:tcBorders>
              <w:top w:val="nil"/>
              <w:left w:val="nil"/>
              <w:bottom w:val="single" w:color="000000" w:sz="4" w:space="0"/>
              <w:right w:val="single" w:color="000000" w:sz="4" w:space="0"/>
            </w:tcBorders>
            <w:vAlign w:val="center"/>
          </w:tcPr>
          <w:p w14:paraId="3D60190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个</w:t>
            </w:r>
          </w:p>
        </w:tc>
        <w:tc>
          <w:tcPr>
            <w:tcW w:w="694" w:type="pct"/>
            <w:tcBorders>
              <w:top w:val="nil"/>
              <w:left w:val="nil"/>
              <w:bottom w:val="single" w:color="000000" w:sz="4" w:space="0"/>
              <w:right w:val="single" w:color="000000" w:sz="4" w:space="0"/>
            </w:tcBorders>
            <w:vAlign w:val="center"/>
          </w:tcPr>
          <w:p w14:paraId="2AADF3EC">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80</w:t>
            </w:r>
          </w:p>
        </w:tc>
        <w:tc>
          <w:tcPr>
            <w:tcW w:w="480" w:type="pct"/>
            <w:tcBorders>
              <w:top w:val="nil"/>
              <w:left w:val="nil"/>
              <w:bottom w:val="single" w:color="000000" w:sz="4" w:space="0"/>
              <w:right w:val="single" w:color="000000" w:sz="4" w:space="0"/>
            </w:tcBorders>
            <w:vAlign w:val="center"/>
          </w:tcPr>
          <w:p w14:paraId="6E73634C">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77A728C5">
        <w:tblPrEx>
          <w:tblCellMar>
            <w:top w:w="0" w:type="dxa"/>
            <w:left w:w="108" w:type="dxa"/>
            <w:bottom w:w="0" w:type="dxa"/>
            <w:right w:w="108" w:type="dxa"/>
          </w:tblCellMar>
        </w:tblPrEx>
        <w:trPr>
          <w:trHeight w:val="619" w:hRule="atLeast"/>
        </w:trPr>
        <w:tc>
          <w:tcPr>
            <w:tcW w:w="374" w:type="pct"/>
            <w:tcBorders>
              <w:top w:val="nil"/>
              <w:left w:val="single" w:color="000000" w:sz="4" w:space="0"/>
              <w:bottom w:val="single" w:color="000000" w:sz="4" w:space="0"/>
              <w:right w:val="single" w:color="000000" w:sz="4" w:space="0"/>
            </w:tcBorders>
            <w:vAlign w:val="center"/>
          </w:tcPr>
          <w:p w14:paraId="5583E53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16</w:t>
            </w:r>
          </w:p>
        </w:tc>
        <w:tc>
          <w:tcPr>
            <w:tcW w:w="685" w:type="pct"/>
            <w:tcBorders>
              <w:top w:val="nil"/>
              <w:left w:val="nil"/>
              <w:bottom w:val="single" w:color="000000" w:sz="4" w:space="0"/>
              <w:right w:val="single" w:color="000000" w:sz="4" w:space="0"/>
            </w:tcBorders>
            <w:vAlign w:val="center"/>
          </w:tcPr>
          <w:p w14:paraId="3FFE4268">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灯控开关增加零线</w:t>
            </w:r>
          </w:p>
        </w:tc>
        <w:tc>
          <w:tcPr>
            <w:tcW w:w="2439" w:type="pct"/>
            <w:tcBorders>
              <w:top w:val="nil"/>
              <w:left w:val="nil"/>
              <w:bottom w:val="single" w:color="000000" w:sz="4" w:space="0"/>
              <w:right w:val="single" w:color="000000" w:sz="4" w:space="0"/>
            </w:tcBorders>
            <w:vAlign w:val="center"/>
          </w:tcPr>
          <w:p w14:paraId="1846632E">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 xml:space="preserve">1.铜芯电力电缆敷设 电缆(截面mm2以下) </w:t>
            </w:r>
            <w:r>
              <w:rPr>
                <w:rFonts w:hint="eastAsia" w:ascii="宋体" w:hAnsi="宋体" w:cs="宋体"/>
                <w:kern w:val="0"/>
                <w:sz w:val="20"/>
                <w:szCs w:val="20"/>
              </w:rPr>
              <w:br w:type="textWrapping"/>
            </w:r>
            <w:r>
              <w:rPr>
                <w:rFonts w:hint="eastAsia" w:ascii="宋体" w:hAnsi="宋体" w:cs="宋体"/>
                <w:kern w:val="0"/>
                <w:sz w:val="20"/>
                <w:szCs w:val="20"/>
              </w:rPr>
              <w:t>BVR-1*2.5mm2</w:t>
            </w:r>
          </w:p>
        </w:tc>
        <w:tc>
          <w:tcPr>
            <w:tcW w:w="328" w:type="pct"/>
            <w:tcBorders>
              <w:top w:val="nil"/>
              <w:left w:val="nil"/>
              <w:bottom w:val="single" w:color="000000" w:sz="4" w:space="0"/>
              <w:right w:val="single" w:color="000000" w:sz="4" w:space="0"/>
            </w:tcBorders>
            <w:vAlign w:val="center"/>
          </w:tcPr>
          <w:p w14:paraId="5F57958E">
            <w:pPr>
              <w:widowControl/>
              <w:spacing w:after="0" w:line="240" w:lineRule="auto"/>
              <w:jc w:val="center"/>
              <w:rPr>
                <w:rFonts w:hint="eastAsia" w:ascii="宋体" w:hAnsi="宋体" w:cs="宋体"/>
                <w:color w:val="auto"/>
                <w:kern w:val="0"/>
                <w:sz w:val="20"/>
                <w:szCs w:val="20"/>
              </w:rPr>
            </w:pPr>
            <w:r>
              <w:rPr>
                <w:rFonts w:hint="eastAsia" w:ascii="宋体" w:hAnsi="宋体" w:cs="宋体"/>
                <w:color w:val="auto"/>
                <w:kern w:val="0"/>
                <w:sz w:val="20"/>
                <w:szCs w:val="20"/>
              </w:rPr>
              <w:t>m</w:t>
            </w:r>
          </w:p>
        </w:tc>
        <w:tc>
          <w:tcPr>
            <w:tcW w:w="694" w:type="pct"/>
            <w:tcBorders>
              <w:top w:val="nil"/>
              <w:left w:val="nil"/>
              <w:bottom w:val="single" w:color="000000" w:sz="4" w:space="0"/>
              <w:right w:val="single" w:color="000000" w:sz="4" w:space="0"/>
            </w:tcBorders>
            <w:vAlign w:val="center"/>
          </w:tcPr>
          <w:p w14:paraId="3E114B1E">
            <w:pPr>
              <w:widowControl/>
              <w:spacing w:after="0" w:line="240" w:lineRule="auto"/>
              <w:jc w:val="center"/>
              <w:rPr>
                <w:rFonts w:hint="eastAsia" w:ascii="宋体" w:hAnsi="宋体" w:cs="宋体"/>
                <w:color w:val="auto"/>
                <w:kern w:val="0"/>
                <w:sz w:val="20"/>
                <w:szCs w:val="20"/>
              </w:rPr>
            </w:pPr>
            <w:r>
              <w:rPr>
                <w:rFonts w:hint="eastAsia" w:ascii="宋体" w:hAnsi="宋体" w:cs="宋体"/>
                <w:color w:val="auto"/>
                <w:kern w:val="0"/>
                <w:sz w:val="20"/>
                <w:szCs w:val="20"/>
              </w:rPr>
              <w:t>3100</w:t>
            </w:r>
          </w:p>
        </w:tc>
        <w:tc>
          <w:tcPr>
            <w:tcW w:w="480" w:type="pct"/>
            <w:tcBorders>
              <w:top w:val="nil"/>
              <w:left w:val="nil"/>
              <w:bottom w:val="single" w:color="000000" w:sz="4" w:space="0"/>
              <w:right w:val="single" w:color="000000" w:sz="4" w:space="0"/>
            </w:tcBorders>
            <w:vAlign w:val="center"/>
          </w:tcPr>
          <w:p w14:paraId="387B9245">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739CC386">
        <w:tblPrEx>
          <w:tblCellMar>
            <w:top w:w="0" w:type="dxa"/>
            <w:left w:w="108" w:type="dxa"/>
            <w:bottom w:w="0" w:type="dxa"/>
            <w:right w:w="108" w:type="dxa"/>
          </w:tblCellMar>
        </w:tblPrEx>
        <w:trPr>
          <w:trHeight w:val="619" w:hRule="atLeast"/>
        </w:trPr>
        <w:tc>
          <w:tcPr>
            <w:tcW w:w="374" w:type="pct"/>
            <w:tcBorders>
              <w:top w:val="nil"/>
              <w:left w:val="single" w:color="000000" w:sz="4" w:space="0"/>
              <w:bottom w:val="single" w:color="000000" w:sz="4" w:space="0"/>
              <w:right w:val="single" w:color="000000" w:sz="4" w:space="0"/>
            </w:tcBorders>
            <w:vAlign w:val="center"/>
          </w:tcPr>
          <w:p w14:paraId="62D4074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17</w:t>
            </w:r>
          </w:p>
        </w:tc>
        <w:tc>
          <w:tcPr>
            <w:tcW w:w="685" w:type="pct"/>
            <w:tcBorders>
              <w:top w:val="nil"/>
              <w:left w:val="nil"/>
              <w:bottom w:val="single" w:color="000000" w:sz="4" w:space="0"/>
              <w:right w:val="single" w:color="000000" w:sz="4" w:space="0"/>
            </w:tcBorders>
            <w:vAlign w:val="center"/>
          </w:tcPr>
          <w:p w14:paraId="7B26FB7C">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通讯线</w:t>
            </w:r>
          </w:p>
        </w:tc>
        <w:tc>
          <w:tcPr>
            <w:tcW w:w="2439" w:type="pct"/>
            <w:tcBorders>
              <w:top w:val="nil"/>
              <w:left w:val="nil"/>
              <w:bottom w:val="single" w:color="000000" w:sz="4" w:space="0"/>
              <w:right w:val="single" w:color="000000" w:sz="4" w:space="0"/>
            </w:tcBorders>
            <w:vAlign w:val="center"/>
          </w:tcPr>
          <w:p w14:paraId="218AD110">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 xml:space="preserve">1.铜芯电力电缆敷设 电缆(截面mm2以下) </w:t>
            </w:r>
            <w:r>
              <w:rPr>
                <w:rFonts w:hint="eastAsia" w:ascii="宋体" w:hAnsi="宋体" w:cs="宋体"/>
                <w:kern w:val="0"/>
                <w:sz w:val="20"/>
                <w:szCs w:val="20"/>
              </w:rPr>
              <w:br w:type="textWrapping"/>
            </w:r>
            <w:r>
              <w:rPr>
                <w:rFonts w:hint="eastAsia" w:ascii="宋体" w:hAnsi="宋体" w:cs="宋体"/>
                <w:kern w:val="0"/>
                <w:sz w:val="20"/>
                <w:szCs w:val="20"/>
              </w:rPr>
              <w:t>RVVSP2*1.0mm2</w:t>
            </w:r>
          </w:p>
        </w:tc>
        <w:tc>
          <w:tcPr>
            <w:tcW w:w="328" w:type="pct"/>
            <w:tcBorders>
              <w:top w:val="nil"/>
              <w:left w:val="nil"/>
              <w:bottom w:val="single" w:color="000000" w:sz="4" w:space="0"/>
              <w:right w:val="single" w:color="000000" w:sz="4" w:space="0"/>
            </w:tcBorders>
            <w:vAlign w:val="center"/>
          </w:tcPr>
          <w:p w14:paraId="658326F4">
            <w:pPr>
              <w:widowControl/>
              <w:spacing w:after="0" w:line="240" w:lineRule="auto"/>
              <w:jc w:val="center"/>
              <w:rPr>
                <w:rFonts w:hint="eastAsia" w:ascii="宋体" w:hAnsi="宋体" w:cs="宋体"/>
                <w:color w:val="auto"/>
                <w:kern w:val="0"/>
                <w:sz w:val="20"/>
                <w:szCs w:val="20"/>
              </w:rPr>
            </w:pPr>
            <w:r>
              <w:rPr>
                <w:rFonts w:hint="eastAsia" w:ascii="宋体" w:hAnsi="宋体" w:cs="宋体"/>
                <w:color w:val="auto"/>
                <w:kern w:val="0"/>
                <w:sz w:val="20"/>
                <w:szCs w:val="20"/>
              </w:rPr>
              <w:t>m</w:t>
            </w:r>
          </w:p>
        </w:tc>
        <w:tc>
          <w:tcPr>
            <w:tcW w:w="694" w:type="pct"/>
            <w:tcBorders>
              <w:top w:val="nil"/>
              <w:left w:val="nil"/>
              <w:bottom w:val="single" w:color="000000" w:sz="4" w:space="0"/>
              <w:right w:val="single" w:color="000000" w:sz="4" w:space="0"/>
            </w:tcBorders>
            <w:vAlign w:val="center"/>
          </w:tcPr>
          <w:p w14:paraId="737A5E2A">
            <w:pPr>
              <w:widowControl/>
              <w:spacing w:after="0" w:line="240" w:lineRule="auto"/>
              <w:jc w:val="center"/>
              <w:rPr>
                <w:rFonts w:hint="eastAsia" w:ascii="宋体" w:hAnsi="宋体" w:cs="宋体"/>
                <w:color w:val="auto"/>
                <w:kern w:val="0"/>
                <w:sz w:val="20"/>
                <w:szCs w:val="20"/>
              </w:rPr>
            </w:pPr>
            <w:r>
              <w:rPr>
                <w:rFonts w:hint="eastAsia" w:ascii="宋体" w:hAnsi="宋体" w:cs="宋体"/>
                <w:color w:val="auto"/>
                <w:kern w:val="0"/>
                <w:sz w:val="20"/>
                <w:szCs w:val="20"/>
              </w:rPr>
              <w:t>6200</w:t>
            </w:r>
          </w:p>
        </w:tc>
        <w:tc>
          <w:tcPr>
            <w:tcW w:w="480" w:type="pct"/>
            <w:tcBorders>
              <w:top w:val="nil"/>
              <w:left w:val="nil"/>
              <w:bottom w:val="single" w:color="000000" w:sz="4" w:space="0"/>
              <w:right w:val="single" w:color="000000" w:sz="4" w:space="0"/>
            </w:tcBorders>
            <w:vAlign w:val="center"/>
          </w:tcPr>
          <w:p w14:paraId="387B774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0ECC60CB">
        <w:tblPrEx>
          <w:tblCellMar>
            <w:top w:w="0" w:type="dxa"/>
            <w:left w:w="108" w:type="dxa"/>
            <w:bottom w:w="0" w:type="dxa"/>
            <w:right w:w="108" w:type="dxa"/>
          </w:tblCellMar>
        </w:tblPrEx>
        <w:trPr>
          <w:trHeight w:val="642" w:hRule="atLeast"/>
        </w:trPr>
        <w:tc>
          <w:tcPr>
            <w:tcW w:w="374" w:type="pct"/>
            <w:tcBorders>
              <w:top w:val="nil"/>
              <w:left w:val="single" w:color="000000" w:sz="4" w:space="0"/>
              <w:bottom w:val="single" w:color="000000" w:sz="4" w:space="0"/>
              <w:right w:val="single" w:color="000000" w:sz="4" w:space="0"/>
            </w:tcBorders>
            <w:vAlign w:val="center"/>
          </w:tcPr>
          <w:p w14:paraId="6005E3D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18</w:t>
            </w:r>
          </w:p>
        </w:tc>
        <w:tc>
          <w:tcPr>
            <w:tcW w:w="685" w:type="pct"/>
            <w:tcBorders>
              <w:top w:val="nil"/>
              <w:left w:val="nil"/>
              <w:bottom w:val="single" w:color="000000" w:sz="4" w:space="0"/>
              <w:right w:val="single" w:color="000000" w:sz="4" w:space="0"/>
            </w:tcBorders>
            <w:vAlign w:val="center"/>
          </w:tcPr>
          <w:p w14:paraId="5D037C9C">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电源线</w:t>
            </w:r>
          </w:p>
        </w:tc>
        <w:tc>
          <w:tcPr>
            <w:tcW w:w="2439" w:type="pct"/>
            <w:tcBorders>
              <w:top w:val="nil"/>
              <w:left w:val="nil"/>
              <w:bottom w:val="single" w:color="000000" w:sz="4" w:space="0"/>
              <w:right w:val="single" w:color="000000" w:sz="4" w:space="0"/>
            </w:tcBorders>
            <w:vAlign w:val="center"/>
          </w:tcPr>
          <w:p w14:paraId="69D05904">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 xml:space="preserve">1.铜芯电力电缆敷设 电缆(截面mm2以下) </w:t>
            </w:r>
            <w:r>
              <w:rPr>
                <w:rFonts w:hint="eastAsia" w:ascii="宋体" w:hAnsi="宋体" w:cs="宋体"/>
                <w:kern w:val="0"/>
                <w:sz w:val="20"/>
                <w:szCs w:val="20"/>
              </w:rPr>
              <w:br w:type="textWrapping"/>
            </w:r>
            <w:r>
              <w:rPr>
                <w:rFonts w:hint="eastAsia" w:ascii="宋体" w:hAnsi="宋体" w:cs="宋体"/>
                <w:kern w:val="0"/>
                <w:sz w:val="20"/>
                <w:szCs w:val="20"/>
              </w:rPr>
              <w:t>BVR-3*2.5mm2</w:t>
            </w:r>
          </w:p>
        </w:tc>
        <w:tc>
          <w:tcPr>
            <w:tcW w:w="328" w:type="pct"/>
            <w:tcBorders>
              <w:top w:val="nil"/>
              <w:left w:val="nil"/>
              <w:bottom w:val="single" w:color="000000" w:sz="4" w:space="0"/>
              <w:right w:val="single" w:color="000000" w:sz="4" w:space="0"/>
            </w:tcBorders>
            <w:vAlign w:val="center"/>
          </w:tcPr>
          <w:p w14:paraId="78F3E151">
            <w:pPr>
              <w:widowControl/>
              <w:spacing w:after="0" w:line="240" w:lineRule="auto"/>
              <w:jc w:val="center"/>
              <w:rPr>
                <w:rFonts w:hint="eastAsia" w:ascii="宋体" w:hAnsi="宋体" w:cs="宋体"/>
                <w:color w:val="auto"/>
                <w:kern w:val="0"/>
                <w:sz w:val="20"/>
                <w:szCs w:val="20"/>
              </w:rPr>
            </w:pPr>
            <w:r>
              <w:rPr>
                <w:rFonts w:hint="eastAsia" w:ascii="宋体" w:hAnsi="宋体" w:cs="宋体"/>
                <w:color w:val="auto"/>
                <w:kern w:val="0"/>
                <w:sz w:val="20"/>
                <w:szCs w:val="20"/>
              </w:rPr>
              <w:t>m</w:t>
            </w:r>
          </w:p>
        </w:tc>
        <w:tc>
          <w:tcPr>
            <w:tcW w:w="694" w:type="pct"/>
            <w:tcBorders>
              <w:top w:val="nil"/>
              <w:left w:val="nil"/>
              <w:bottom w:val="single" w:color="000000" w:sz="4" w:space="0"/>
              <w:right w:val="single" w:color="000000" w:sz="4" w:space="0"/>
            </w:tcBorders>
            <w:vAlign w:val="center"/>
          </w:tcPr>
          <w:p w14:paraId="3F17CBB9">
            <w:pPr>
              <w:widowControl/>
              <w:spacing w:after="0" w:line="240" w:lineRule="auto"/>
              <w:jc w:val="center"/>
              <w:rPr>
                <w:rFonts w:hint="eastAsia" w:ascii="宋体" w:hAnsi="宋体" w:cs="宋体"/>
                <w:color w:val="auto"/>
                <w:kern w:val="0"/>
                <w:sz w:val="20"/>
                <w:szCs w:val="20"/>
              </w:rPr>
            </w:pPr>
            <w:r>
              <w:rPr>
                <w:rFonts w:hint="eastAsia" w:ascii="宋体" w:hAnsi="宋体" w:cs="宋体"/>
                <w:color w:val="auto"/>
                <w:kern w:val="0"/>
                <w:sz w:val="20"/>
                <w:szCs w:val="20"/>
              </w:rPr>
              <w:t>3875</w:t>
            </w:r>
          </w:p>
        </w:tc>
        <w:tc>
          <w:tcPr>
            <w:tcW w:w="480" w:type="pct"/>
            <w:tcBorders>
              <w:top w:val="nil"/>
              <w:left w:val="nil"/>
              <w:bottom w:val="single" w:color="000000" w:sz="4" w:space="0"/>
              <w:right w:val="single" w:color="000000" w:sz="4" w:space="0"/>
            </w:tcBorders>
            <w:vAlign w:val="center"/>
          </w:tcPr>
          <w:p w14:paraId="0EEF563F">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64A175CF">
        <w:tblPrEx>
          <w:tblCellMar>
            <w:top w:w="0" w:type="dxa"/>
            <w:left w:w="108" w:type="dxa"/>
            <w:bottom w:w="0" w:type="dxa"/>
            <w:right w:w="108" w:type="dxa"/>
          </w:tblCellMar>
        </w:tblPrEx>
        <w:trPr>
          <w:trHeight w:val="840" w:hRule="atLeast"/>
        </w:trPr>
        <w:tc>
          <w:tcPr>
            <w:tcW w:w="374" w:type="pct"/>
            <w:tcBorders>
              <w:top w:val="nil"/>
              <w:left w:val="single" w:color="000000" w:sz="4" w:space="0"/>
              <w:bottom w:val="single" w:color="000000" w:sz="4" w:space="0"/>
              <w:right w:val="single" w:color="000000" w:sz="4" w:space="0"/>
            </w:tcBorders>
            <w:vAlign w:val="center"/>
          </w:tcPr>
          <w:p w14:paraId="51A9FE2C">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19</w:t>
            </w:r>
          </w:p>
        </w:tc>
        <w:tc>
          <w:tcPr>
            <w:tcW w:w="685" w:type="pct"/>
            <w:tcBorders>
              <w:top w:val="nil"/>
              <w:left w:val="nil"/>
              <w:bottom w:val="single" w:color="000000" w:sz="4" w:space="0"/>
              <w:right w:val="single" w:color="000000" w:sz="4" w:space="0"/>
            </w:tcBorders>
            <w:vAlign w:val="center"/>
          </w:tcPr>
          <w:p w14:paraId="0188C132">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PVC管线槽</w:t>
            </w:r>
          </w:p>
        </w:tc>
        <w:tc>
          <w:tcPr>
            <w:tcW w:w="2439" w:type="pct"/>
            <w:tcBorders>
              <w:top w:val="nil"/>
              <w:left w:val="nil"/>
              <w:bottom w:val="single" w:color="000000" w:sz="4" w:space="0"/>
              <w:right w:val="single" w:color="000000" w:sz="4" w:space="0"/>
            </w:tcBorders>
            <w:vAlign w:val="center"/>
          </w:tcPr>
          <w:p w14:paraId="76683B28">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1.刚性难燃线管砖、混凝土结构明配 40*20(mm以内)</w:t>
            </w:r>
          </w:p>
        </w:tc>
        <w:tc>
          <w:tcPr>
            <w:tcW w:w="328" w:type="pct"/>
            <w:tcBorders>
              <w:top w:val="nil"/>
              <w:left w:val="nil"/>
              <w:bottom w:val="single" w:color="000000" w:sz="4" w:space="0"/>
              <w:right w:val="single" w:color="000000" w:sz="4" w:space="0"/>
            </w:tcBorders>
            <w:vAlign w:val="center"/>
          </w:tcPr>
          <w:p w14:paraId="17B25CE1">
            <w:pPr>
              <w:widowControl/>
              <w:spacing w:after="0" w:line="240" w:lineRule="auto"/>
              <w:jc w:val="center"/>
              <w:rPr>
                <w:rFonts w:hint="eastAsia" w:ascii="宋体" w:hAnsi="宋体" w:cs="宋体"/>
                <w:color w:val="auto"/>
                <w:kern w:val="0"/>
                <w:sz w:val="20"/>
                <w:szCs w:val="20"/>
              </w:rPr>
            </w:pPr>
            <w:r>
              <w:rPr>
                <w:rFonts w:hint="eastAsia" w:ascii="宋体" w:hAnsi="宋体" w:cs="宋体"/>
                <w:color w:val="auto"/>
                <w:kern w:val="0"/>
                <w:sz w:val="20"/>
                <w:szCs w:val="20"/>
              </w:rPr>
              <w:t>m</w:t>
            </w:r>
          </w:p>
        </w:tc>
        <w:tc>
          <w:tcPr>
            <w:tcW w:w="694" w:type="pct"/>
            <w:tcBorders>
              <w:top w:val="nil"/>
              <w:left w:val="nil"/>
              <w:bottom w:val="single" w:color="000000" w:sz="4" w:space="0"/>
              <w:right w:val="single" w:color="000000" w:sz="4" w:space="0"/>
            </w:tcBorders>
            <w:vAlign w:val="center"/>
          </w:tcPr>
          <w:p w14:paraId="30A1DF9B">
            <w:pPr>
              <w:widowControl/>
              <w:spacing w:after="0" w:line="240" w:lineRule="auto"/>
              <w:jc w:val="center"/>
              <w:rPr>
                <w:rFonts w:hint="eastAsia" w:ascii="宋体" w:hAnsi="宋体" w:cs="宋体"/>
                <w:color w:val="auto"/>
                <w:kern w:val="0"/>
                <w:sz w:val="20"/>
                <w:szCs w:val="20"/>
              </w:rPr>
            </w:pPr>
            <w:r>
              <w:rPr>
                <w:rFonts w:hint="eastAsia" w:ascii="宋体" w:hAnsi="宋体" w:cs="宋体"/>
                <w:color w:val="auto"/>
                <w:kern w:val="0"/>
                <w:sz w:val="20"/>
                <w:szCs w:val="20"/>
              </w:rPr>
              <w:t>10540</w:t>
            </w:r>
          </w:p>
        </w:tc>
        <w:tc>
          <w:tcPr>
            <w:tcW w:w="480" w:type="pct"/>
            <w:tcBorders>
              <w:top w:val="nil"/>
              <w:left w:val="nil"/>
              <w:bottom w:val="single" w:color="000000" w:sz="4" w:space="0"/>
              <w:right w:val="single" w:color="000000" w:sz="4" w:space="0"/>
            </w:tcBorders>
            <w:vAlign w:val="center"/>
          </w:tcPr>
          <w:p w14:paraId="4D0C1C2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5B248436">
        <w:tblPrEx>
          <w:tblCellMar>
            <w:top w:w="0" w:type="dxa"/>
            <w:left w:w="108" w:type="dxa"/>
            <w:bottom w:w="0" w:type="dxa"/>
            <w:right w:w="108" w:type="dxa"/>
          </w:tblCellMar>
        </w:tblPrEx>
        <w:trPr>
          <w:trHeight w:val="739" w:hRule="atLeast"/>
        </w:trPr>
        <w:tc>
          <w:tcPr>
            <w:tcW w:w="374" w:type="pct"/>
            <w:tcBorders>
              <w:top w:val="nil"/>
              <w:left w:val="single" w:color="000000" w:sz="4" w:space="0"/>
              <w:bottom w:val="nil"/>
              <w:right w:val="single" w:color="000000" w:sz="4" w:space="0"/>
            </w:tcBorders>
            <w:vAlign w:val="center"/>
          </w:tcPr>
          <w:p w14:paraId="21317E6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20</w:t>
            </w:r>
          </w:p>
        </w:tc>
        <w:tc>
          <w:tcPr>
            <w:tcW w:w="685" w:type="pct"/>
            <w:tcBorders>
              <w:top w:val="nil"/>
              <w:left w:val="nil"/>
              <w:bottom w:val="nil"/>
              <w:right w:val="single" w:color="000000" w:sz="4" w:space="0"/>
            </w:tcBorders>
            <w:vAlign w:val="center"/>
          </w:tcPr>
          <w:p w14:paraId="02CA5CEF">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安装辅材</w:t>
            </w:r>
          </w:p>
        </w:tc>
        <w:tc>
          <w:tcPr>
            <w:tcW w:w="2439" w:type="pct"/>
            <w:tcBorders>
              <w:top w:val="nil"/>
              <w:left w:val="nil"/>
              <w:bottom w:val="nil"/>
              <w:right w:val="single" w:color="000000" w:sz="4" w:space="0"/>
            </w:tcBorders>
            <w:vAlign w:val="center"/>
          </w:tcPr>
          <w:p w14:paraId="285BDC72">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电工胶布、膨胀螺栓、接头、端子等安装材料</w:t>
            </w:r>
          </w:p>
        </w:tc>
        <w:tc>
          <w:tcPr>
            <w:tcW w:w="328" w:type="pct"/>
            <w:tcBorders>
              <w:top w:val="nil"/>
              <w:left w:val="nil"/>
              <w:bottom w:val="nil"/>
              <w:right w:val="single" w:color="000000" w:sz="4" w:space="0"/>
            </w:tcBorders>
            <w:vAlign w:val="center"/>
          </w:tcPr>
          <w:p w14:paraId="6724CDE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项</w:t>
            </w:r>
          </w:p>
        </w:tc>
        <w:tc>
          <w:tcPr>
            <w:tcW w:w="694" w:type="pct"/>
            <w:tcBorders>
              <w:top w:val="nil"/>
              <w:left w:val="nil"/>
              <w:bottom w:val="nil"/>
              <w:right w:val="single" w:color="000000" w:sz="4" w:space="0"/>
            </w:tcBorders>
            <w:vAlign w:val="center"/>
          </w:tcPr>
          <w:p w14:paraId="09FC8C5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480" w:type="pct"/>
            <w:tcBorders>
              <w:top w:val="nil"/>
              <w:left w:val="nil"/>
              <w:bottom w:val="nil"/>
              <w:right w:val="single" w:color="000000" w:sz="4" w:space="0"/>
            </w:tcBorders>
            <w:vAlign w:val="center"/>
          </w:tcPr>
          <w:p w14:paraId="389F87A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r w14:paraId="0B5A3E5C">
        <w:tblPrEx>
          <w:tblCellMar>
            <w:top w:w="0" w:type="dxa"/>
            <w:left w:w="108" w:type="dxa"/>
            <w:bottom w:w="0" w:type="dxa"/>
            <w:right w:w="108" w:type="dxa"/>
          </w:tblCellMar>
        </w:tblPrEx>
        <w:trPr>
          <w:trHeight w:val="5502" w:hRule="atLeast"/>
        </w:trPr>
        <w:tc>
          <w:tcPr>
            <w:tcW w:w="374" w:type="pct"/>
            <w:tcBorders>
              <w:top w:val="single" w:color="auto" w:sz="4" w:space="0"/>
              <w:left w:val="single" w:color="auto" w:sz="4" w:space="0"/>
              <w:bottom w:val="single" w:color="auto" w:sz="4" w:space="0"/>
              <w:right w:val="single" w:color="auto" w:sz="4" w:space="0"/>
            </w:tcBorders>
            <w:vAlign w:val="center"/>
          </w:tcPr>
          <w:p w14:paraId="22F0E45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21</w:t>
            </w:r>
          </w:p>
        </w:tc>
        <w:tc>
          <w:tcPr>
            <w:tcW w:w="685" w:type="pct"/>
            <w:tcBorders>
              <w:top w:val="single" w:color="auto" w:sz="4" w:space="0"/>
              <w:left w:val="nil"/>
              <w:bottom w:val="single" w:color="auto" w:sz="4" w:space="0"/>
              <w:right w:val="single" w:color="auto" w:sz="4" w:space="0"/>
            </w:tcBorders>
            <w:vAlign w:val="center"/>
          </w:tcPr>
          <w:p w14:paraId="0E746D1E">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教室中控系统及开发（班牌+管理系统）</w:t>
            </w:r>
          </w:p>
        </w:tc>
        <w:tc>
          <w:tcPr>
            <w:tcW w:w="2439" w:type="pct"/>
            <w:tcBorders>
              <w:top w:val="single" w:color="auto" w:sz="4" w:space="0"/>
              <w:left w:val="nil"/>
              <w:bottom w:val="single" w:color="auto" w:sz="4" w:space="0"/>
              <w:right w:val="single" w:color="auto" w:sz="4" w:space="0"/>
            </w:tcBorders>
            <w:vAlign w:val="center"/>
          </w:tcPr>
          <w:p w14:paraId="238AE261">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管理系统：</w:t>
            </w:r>
            <w:r>
              <w:rPr>
                <w:rFonts w:hint="eastAsia" w:ascii="宋体" w:hAnsi="宋体" w:cs="宋体"/>
                <w:kern w:val="0"/>
                <w:sz w:val="20"/>
                <w:szCs w:val="20"/>
              </w:rPr>
              <w:br w:type="textWrapping"/>
            </w:r>
            <w:r>
              <w:rPr>
                <w:rFonts w:hint="eastAsia" w:ascii="宋体" w:hAnsi="宋体" w:cs="宋体"/>
                <w:kern w:val="0"/>
                <w:sz w:val="20"/>
                <w:szCs w:val="20"/>
              </w:rPr>
              <w:t>一、系统基本功能</w:t>
            </w:r>
            <w:r>
              <w:rPr>
                <w:rFonts w:hint="eastAsia" w:ascii="宋体" w:hAnsi="宋体" w:cs="宋体"/>
                <w:kern w:val="0"/>
                <w:sz w:val="20"/>
                <w:szCs w:val="20"/>
              </w:rPr>
              <w:br w:type="textWrapping"/>
            </w:r>
            <w:r>
              <w:rPr>
                <w:rFonts w:hint="eastAsia" w:ascii="宋体" w:hAnsi="宋体" w:cs="宋体"/>
                <w:kern w:val="0"/>
                <w:sz w:val="20"/>
                <w:szCs w:val="20"/>
              </w:rPr>
              <w:t>1)通过校园综合服务器可远程和本地互动式管理，远程开启、开/关智慧教室终端、投影机、电脑、灯光、空调等设备，一键控制和管理定时任务，通过WEB可远程配置及升级固件系统。</w:t>
            </w:r>
            <w:r>
              <w:rPr>
                <w:rFonts w:hint="eastAsia" w:ascii="宋体" w:hAnsi="宋体" w:cs="宋体"/>
                <w:kern w:val="0"/>
                <w:sz w:val="20"/>
                <w:szCs w:val="20"/>
              </w:rPr>
              <w:br w:type="textWrapping"/>
            </w:r>
            <w:r>
              <w:rPr>
                <w:rFonts w:hint="eastAsia" w:ascii="宋体" w:hAnsi="宋体" w:cs="宋体"/>
                <w:kern w:val="0"/>
                <w:sz w:val="20"/>
                <w:szCs w:val="20"/>
              </w:rPr>
              <w:t>2)支持WEB服务端的所有设备管理和数字广播的智能播出及高清视频的推送等业务。</w:t>
            </w:r>
            <w:r>
              <w:rPr>
                <w:rFonts w:hint="eastAsia" w:ascii="宋体" w:hAnsi="宋体" w:cs="宋体"/>
                <w:kern w:val="0"/>
                <w:sz w:val="20"/>
                <w:szCs w:val="20"/>
              </w:rPr>
              <w:br w:type="textWrapping"/>
            </w:r>
            <w:r>
              <w:rPr>
                <w:rFonts w:hint="eastAsia" w:ascii="宋体" w:hAnsi="宋体" w:cs="宋体"/>
                <w:kern w:val="0"/>
                <w:sz w:val="20"/>
                <w:szCs w:val="20"/>
              </w:rPr>
              <w:t>3)通过校园网可以登录并控制服务器的各项管理和任务，在校园网内支持有线和无线连接，系统支持云端管理，采用微信小程序，无需安装APP，可以让控制和管理实现授权的远程操作，校外操作等。</w:t>
            </w:r>
            <w:r>
              <w:rPr>
                <w:rFonts w:hint="eastAsia" w:ascii="宋体" w:hAnsi="宋体" w:cs="宋体"/>
                <w:kern w:val="0"/>
                <w:sz w:val="20"/>
                <w:szCs w:val="20"/>
              </w:rPr>
              <w:br w:type="textWrapping"/>
            </w:r>
            <w:r>
              <w:rPr>
                <w:rFonts w:hint="eastAsia" w:ascii="宋体" w:hAnsi="宋体" w:cs="宋体"/>
                <w:kern w:val="0"/>
                <w:sz w:val="20"/>
                <w:szCs w:val="20"/>
              </w:rPr>
              <w:t>4)具备数字音频广播功能，以实现校园信号播放（上下课铃声）、英语考试语音播放、背景音乐、应急广播、集中通知等音频广播功能，有定时、手动、实时播放等操作功能。</w:t>
            </w:r>
            <w:r>
              <w:rPr>
                <w:rFonts w:hint="eastAsia" w:ascii="宋体" w:hAnsi="宋体" w:cs="宋体"/>
                <w:kern w:val="0"/>
                <w:sz w:val="20"/>
                <w:szCs w:val="20"/>
              </w:rPr>
              <w:br w:type="textWrapping"/>
            </w:r>
            <w:r>
              <w:rPr>
                <w:rFonts w:hint="eastAsia" w:ascii="宋体" w:hAnsi="宋体" w:cs="宋体"/>
                <w:kern w:val="0"/>
                <w:sz w:val="20"/>
                <w:szCs w:val="20"/>
              </w:rPr>
              <w:t>5)数字广播支持高清图像输出，支持超高清图像直播转播。</w:t>
            </w:r>
            <w:r>
              <w:rPr>
                <w:rFonts w:hint="eastAsia" w:ascii="宋体" w:hAnsi="宋体" w:cs="宋体"/>
                <w:kern w:val="0"/>
                <w:sz w:val="20"/>
                <w:szCs w:val="20"/>
              </w:rPr>
              <w:br w:type="textWrapping"/>
            </w:r>
            <w:r>
              <w:rPr>
                <w:rFonts w:hint="eastAsia" w:ascii="宋体" w:hAnsi="宋体" w:cs="宋体"/>
                <w:kern w:val="0"/>
                <w:sz w:val="20"/>
                <w:szCs w:val="20"/>
              </w:rPr>
              <w:t>6)系统具备一定的诊断能力，可以实现设备在线检查，对于一些故障进行上报处理，系统生成日志文件。</w:t>
            </w:r>
            <w:r>
              <w:rPr>
                <w:rFonts w:hint="eastAsia" w:ascii="宋体" w:hAnsi="宋体" w:cs="宋体"/>
                <w:kern w:val="0"/>
                <w:sz w:val="20"/>
                <w:szCs w:val="20"/>
              </w:rPr>
              <w:br w:type="textWrapping"/>
            </w:r>
            <w:r>
              <w:rPr>
                <w:rFonts w:hint="eastAsia" w:ascii="宋体" w:hAnsi="宋体" w:cs="宋体"/>
                <w:kern w:val="0"/>
                <w:sz w:val="20"/>
                <w:szCs w:val="20"/>
              </w:rPr>
              <w:t>7)系统采集设备使用记录，使用状态，并对电量统计进行分析，系统可以以各种图标的方式展示给管理人员。</w:t>
            </w:r>
            <w:r>
              <w:rPr>
                <w:rFonts w:hint="eastAsia" w:ascii="宋体" w:hAnsi="宋体" w:cs="宋体"/>
                <w:kern w:val="0"/>
                <w:sz w:val="20"/>
                <w:szCs w:val="20"/>
              </w:rPr>
              <w:br w:type="textWrapping"/>
            </w:r>
            <w:r>
              <w:rPr>
                <w:rFonts w:hint="eastAsia" w:ascii="宋体" w:hAnsi="宋体" w:cs="宋体"/>
                <w:kern w:val="0"/>
                <w:sz w:val="20"/>
                <w:szCs w:val="20"/>
              </w:rPr>
              <w:t>二、软件基础系统</w:t>
            </w:r>
            <w:r>
              <w:rPr>
                <w:rFonts w:hint="eastAsia" w:ascii="宋体" w:hAnsi="宋体" w:cs="宋体"/>
                <w:kern w:val="0"/>
                <w:sz w:val="20"/>
                <w:szCs w:val="20"/>
              </w:rPr>
              <w:br w:type="textWrapping"/>
            </w:r>
            <w:r>
              <w:rPr>
                <w:rFonts w:hint="eastAsia" w:ascii="宋体" w:hAnsi="宋体" w:cs="宋体"/>
                <w:kern w:val="0"/>
                <w:sz w:val="20"/>
                <w:szCs w:val="20"/>
              </w:rPr>
              <w:t>8)基于定制的Linux，集成MSQL数据库，提供对海量数据和文件的存储管理、日志管理、用户管理以及安全性管理。数据库支持校园信息发布系统和电子班牌管理系统功能。</w:t>
            </w:r>
            <w:r>
              <w:rPr>
                <w:rFonts w:hint="eastAsia" w:ascii="宋体" w:hAnsi="宋体" w:cs="宋体"/>
                <w:kern w:val="0"/>
                <w:sz w:val="20"/>
                <w:szCs w:val="20"/>
              </w:rPr>
              <w:br w:type="textWrapping"/>
            </w:r>
            <w:r>
              <w:rPr>
                <w:rFonts w:hint="eastAsia" w:ascii="宋体" w:hAnsi="宋体" w:cs="宋体"/>
                <w:kern w:val="0"/>
                <w:sz w:val="20"/>
                <w:szCs w:val="20"/>
              </w:rPr>
              <w:t>9)系统支持跨网段直播，方便校园网管理。同时可以建立多个视频流播放，在系统带宽支持下可以实现多达200多个音视频流同时播放。</w:t>
            </w:r>
            <w:r>
              <w:rPr>
                <w:rFonts w:hint="eastAsia" w:ascii="宋体" w:hAnsi="宋体" w:cs="宋体"/>
                <w:kern w:val="0"/>
                <w:sz w:val="20"/>
                <w:szCs w:val="20"/>
              </w:rPr>
              <w:br w:type="textWrapping"/>
            </w:r>
            <w:r>
              <w:rPr>
                <w:rFonts w:hint="eastAsia" w:ascii="宋体" w:hAnsi="宋体" w:cs="宋体"/>
                <w:kern w:val="0"/>
                <w:sz w:val="20"/>
                <w:szCs w:val="20"/>
              </w:rPr>
              <w:t>10)通过校园卡信息与课表导入实现课程与进行绑定，设定对应的控制方式和流程，可以设置不同的管理权限，可以分权限控制不同的设备包括投影机、电脑、灯光、风扇、空调等的，通过微信小程序可以实现远程管理。</w:t>
            </w:r>
            <w:r>
              <w:rPr>
                <w:rFonts w:hint="eastAsia" w:ascii="宋体" w:hAnsi="宋体" w:cs="宋体"/>
                <w:kern w:val="0"/>
                <w:sz w:val="20"/>
                <w:szCs w:val="20"/>
              </w:rPr>
              <w:br w:type="textWrapping"/>
            </w:r>
            <w:r>
              <w:rPr>
                <w:rFonts w:hint="eastAsia" w:ascii="宋体" w:hAnsi="宋体" w:cs="宋体"/>
                <w:kern w:val="0"/>
                <w:sz w:val="20"/>
                <w:szCs w:val="20"/>
              </w:rPr>
              <w:t>11)系统采用深度定制化的Linux系统，稳定可靠，配合服务器管理进行数据备份处理，服务器断电断网情况下教室设备可以正常使用，断电不会破坏服务器内部数据和任务。</w:t>
            </w:r>
            <w:r>
              <w:rPr>
                <w:rFonts w:hint="eastAsia" w:ascii="宋体" w:hAnsi="宋体" w:cs="宋体"/>
                <w:kern w:val="0"/>
                <w:sz w:val="20"/>
                <w:szCs w:val="20"/>
              </w:rPr>
              <w:br w:type="textWrapping"/>
            </w:r>
            <w:r>
              <w:rPr>
                <w:rFonts w:hint="eastAsia" w:ascii="宋体" w:hAnsi="宋体" w:cs="宋体"/>
                <w:kern w:val="0"/>
                <w:sz w:val="20"/>
                <w:szCs w:val="20"/>
              </w:rPr>
              <w:t>三、设备集控管理</w:t>
            </w:r>
            <w:r>
              <w:rPr>
                <w:rFonts w:hint="eastAsia" w:ascii="宋体" w:hAnsi="宋体" w:cs="宋体"/>
                <w:kern w:val="0"/>
                <w:sz w:val="20"/>
                <w:szCs w:val="20"/>
              </w:rPr>
              <w:br w:type="textWrapping"/>
            </w:r>
            <w:r>
              <w:rPr>
                <w:rFonts w:hint="eastAsia" w:ascii="宋体" w:hAnsi="宋体" w:cs="宋体"/>
                <w:kern w:val="0"/>
                <w:sz w:val="20"/>
                <w:szCs w:val="20"/>
              </w:rPr>
              <w:t>12)手机用户无需安装APP，通过微信小程序实现远程操作控制；对教室（包括灯光、空调、投影机、电脑）进行控制、查询等等，与智慧教室终端本地控制完美无缝结合。</w:t>
            </w:r>
            <w:r>
              <w:rPr>
                <w:rFonts w:hint="eastAsia" w:ascii="宋体" w:hAnsi="宋体" w:cs="宋体"/>
                <w:kern w:val="0"/>
                <w:sz w:val="20"/>
                <w:szCs w:val="20"/>
              </w:rPr>
              <w:br w:type="textWrapping"/>
            </w:r>
            <w:r>
              <w:rPr>
                <w:rFonts w:hint="eastAsia" w:ascii="宋体" w:hAnsi="宋体" w:cs="宋体"/>
                <w:kern w:val="0"/>
                <w:sz w:val="20"/>
                <w:szCs w:val="20"/>
              </w:rPr>
              <w:t>13)支持WEB服务端的所有设备管理和数字广播的智能播出及高清视频的推送等业务，支持任务设置，提前设置任务，并实现通过手机远程控制。</w:t>
            </w:r>
            <w:r>
              <w:rPr>
                <w:rFonts w:hint="eastAsia" w:ascii="宋体" w:hAnsi="宋体" w:cs="宋体"/>
                <w:kern w:val="0"/>
                <w:sz w:val="20"/>
                <w:szCs w:val="20"/>
              </w:rPr>
              <w:br w:type="textWrapping"/>
            </w:r>
            <w:r>
              <w:rPr>
                <w:rFonts w:hint="eastAsia" w:ascii="宋体" w:hAnsi="宋体" w:cs="宋体"/>
                <w:kern w:val="0"/>
                <w:sz w:val="20"/>
                <w:szCs w:val="20"/>
              </w:rPr>
              <w:t>14)系统的设置管理员可以通过手机微信小程序进行远程设置，包括服务器的一些基本信息。设置系统参数，修改参数，重启设备。</w:t>
            </w:r>
            <w:r>
              <w:rPr>
                <w:rFonts w:hint="eastAsia" w:ascii="宋体" w:hAnsi="宋体" w:cs="宋体"/>
                <w:kern w:val="0"/>
                <w:sz w:val="20"/>
                <w:szCs w:val="20"/>
              </w:rPr>
              <w:br w:type="textWrapping"/>
            </w:r>
            <w:r>
              <w:rPr>
                <w:rFonts w:hint="eastAsia" w:ascii="宋体" w:hAnsi="宋体" w:cs="宋体"/>
                <w:kern w:val="0"/>
                <w:sz w:val="20"/>
                <w:szCs w:val="20"/>
              </w:rPr>
              <w:t>15)支持巡课系统，智慧终端可以通过后台设置，播放任何校园系统内部的视频源，包括监控摄像头、电视台、广播站、支持互动教学。</w:t>
            </w:r>
            <w:r>
              <w:rPr>
                <w:rFonts w:hint="eastAsia" w:ascii="宋体" w:hAnsi="宋体" w:cs="宋体"/>
                <w:kern w:val="0"/>
                <w:sz w:val="20"/>
                <w:szCs w:val="20"/>
              </w:rPr>
              <w:br w:type="textWrapping"/>
            </w:r>
            <w:r>
              <w:rPr>
                <w:rFonts w:hint="eastAsia" w:ascii="宋体" w:hAnsi="宋体" w:cs="宋体"/>
                <w:kern w:val="0"/>
                <w:sz w:val="20"/>
                <w:szCs w:val="20"/>
              </w:rPr>
              <w:t>四、数字广播与管理</w:t>
            </w:r>
            <w:r>
              <w:rPr>
                <w:rFonts w:hint="eastAsia" w:ascii="宋体" w:hAnsi="宋体" w:cs="宋体"/>
                <w:kern w:val="0"/>
                <w:sz w:val="20"/>
                <w:szCs w:val="20"/>
              </w:rPr>
              <w:br w:type="textWrapping"/>
            </w:r>
            <w:r>
              <w:rPr>
                <w:rFonts w:hint="eastAsia" w:ascii="宋体" w:hAnsi="宋体" w:cs="宋体"/>
                <w:kern w:val="0"/>
                <w:sz w:val="20"/>
                <w:szCs w:val="20"/>
              </w:rPr>
              <w:t>16)音频和视频文件混合广播播放，全区、分区广播支持音频视频文件广播。管理节目库资源，为所有终端提供定时播放和实时点播媒体服务，响应各终端的节目播放请求，为各音频工作站提供数据接口服务；</w:t>
            </w:r>
            <w:r>
              <w:rPr>
                <w:rFonts w:hint="eastAsia" w:ascii="宋体" w:hAnsi="宋体" w:cs="宋体"/>
                <w:kern w:val="0"/>
                <w:sz w:val="20"/>
                <w:szCs w:val="20"/>
              </w:rPr>
              <w:br w:type="textWrapping"/>
            </w:r>
            <w:r>
              <w:rPr>
                <w:rFonts w:hint="eastAsia" w:ascii="宋体" w:hAnsi="宋体" w:cs="宋体"/>
                <w:kern w:val="0"/>
                <w:sz w:val="20"/>
                <w:szCs w:val="20"/>
              </w:rPr>
              <w:t>17)提供全双工、单向、双向音视频480p-1080P分辨率高清可视通话，响应各对讲终端的呼叫和通话请求，支持一键呼叫、一键对讲、一键求助、一键报警等通话模式，支持自动接听、手动接听，支持自定义接听提示音；支持多种呼叫策略，包括呼叫等待、呼叫转移，支持时间策略和转移策略自定义设置；</w:t>
            </w:r>
            <w:r>
              <w:rPr>
                <w:rFonts w:hint="eastAsia" w:ascii="宋体" w:hAnsi="宋体" w:cs="宋体"/>
                <w:kern w:val="0"/>
                <w:sz w:val="20"/>
                <w:szCs w:val="20"/>
              </w:rPr>
              <w:br w:type="textWrapping"/>
            </w:r>
            <w:r>
              <w:rPr>
                <w:rFonts w:hint="eastAsia" w:ascii="宋体" w:hAnsi="宋体" w:cs="宋体"/>
                <w:kern w:val="0"/>
                <w:sz w:val="20"/>
                <w:szCs w:val="20"/>
              </w:rPr>
              <w:t>18)全平台采用高可靠可用设计，多服务负载均衡，子服务坏点自动修正，用户无感知，7*24小时运行不影响业务，数据主从备份、定时备份，确保用户数据安全；</w:t>
            </w:r>
            <w:r>
              <w:rPr>
                <w:rFonts w:hint="eastAsia" w:ascii="宋体" w:hAnsi="宋体" w:cs="宋体"/>
                <w:kern w:val="0"/>
                <w:sz w:val="20"/>
                <w:szCs w:val="20"/>
              </w:rPr>
              <w:br w:type="textWrapping"/>
            </w:r>
            <w:r>
              <w:rPr>
                <w:rFonts w:hint="eastAsia" w:ascii="宋体" w:hAnsi="宋体" w:cs="宋体"/>
                <w:kern w:val="0"/>
                <w:sz w:val="20"/>
                <w:szCs w:val="20"/>
              </w:rPr>
              <w:t>19)平台对外接口支持HTTP/HTTPS，兼容主流开发语言接入；音视频数据支持H264、AAC，PCM标准，支持遵从SIP协议数据传输标准的音视频对讲；广播、直播、点播支持RTMP、RTSP、H5传输标准；</w:t>
            </w:r>
            <w:r>
              <w:rPr>
                <w:rFonts w:hint="eastAsia" w:ascii="宋体" w:hAnsi="宋体" w:cs="宋体"/>
                <w:kern w:val="0"/>
                <w:sz w:val="20"/>
                <w:szCs w:val="20"/>
              </w:rPr>
              <w:br w:type="textWrapping"/>
            </w:r>
            <w:r>
              <w:rPr>
                <w:rFonts w:hint="eastAsia" w:ascii="宋体" w:hAnsi="宋体" w:cs="宋体"/>
                <w:kern w:val="0"/>
                <w:sz w:val="20"/>
                <w:szCs w:val="20"/>
              </w:rPr>
              <w:t>20)媒体文件支持MP3、WAV、AAC、MP4、AVI、flac等文件格式；支持8K-48K采样率，最大码率不小于320K，保证播放音质清晰；需采用相关技术抑制噪声，系统对语音编码安全性要有所考虑；</w:t>
            </w:r>
            <w:r>
              <w:rPr>
                <w:rFonts w:hint="eastAsia" w:ascii="宋体" w:hAnsi="宋体" w:cs="宋体"/>
                <w:kern w:val="0"/>
                <w:sz w:val="20"/>
                <w:szCs w:val="20"/>
              </w:rPr>
              <w:br w:type="textWrapping"/>
            </w:r>
            <w:r>
              <w:rPr>
                <w:rFonts w:hint="eastAsia" w:ascii="宋体" w:hAnsi="宋体" w:cs="宋体"/>
                <w:kern w:val="0"/>
                <w:sz w:val="20"/>
                <w:szCs w:val="20"/>
              </w:rPr>
              <w:t>21)系统内广播终端、信息发布终端、对讲终端和服务器支持标准SIP协议和Onvif协议；</w:t>
            </w:r>
            <w:r>
              <w:rPr>
                <w:rFonts w:hint="eastAsia" w:ascii="宋体" w:hAnsi="宋体" w:cs="宋体"/>
                <w:kern w:val="0"/>
                <w:sz w:val="20"/>
                <w:szCs w:val="20"/>
              </w:rPr>
              <w:br w:type="textWrapping"/>
            </w:r>
            <w:r>
              <w:rPr>
                <w:rFonts w:hint="eastAsia" w:ascii="宋体" w:hAnsi="宋体" w:cs="宋体"/>
                <w:kern w:val="0"/>
                <w:sz w:val="20"/>
                <w:szCs w:val="20"/>
              </w:rPr>
              <w:t>22)系统需提供多级管理模式，包含用户级别、操作权限的授予、分配与管理；为确保系统稳定运行，需提供单点故障防备措施与技术方案；设备的注册与管理可在远程进行，保证方便、快捷；</w:t>
            </w:r>
            <w:r>
              <w:rPr>
                <w:rFonts w:hint="eastAsia" w:ascii="宋体" w:hAnsi="宋体" w:cs="宋体"/>
                <w:kern w:val="0"/>
                <w:sz w:val="20"/>
                <w:szCs w:val="20"/>
              </w:rPr>
              <w:br w:type="textWrapping"/>
            </w:r>
            <w:r>
              <w:rPr>
                <w:rFonts w:hint="eastAsia" w:ascii="宋体" w:hAnsi="宋体" w:cs="宋体"/>
                <w:kern w:val="0"/>
                <w:sz w:val="20"/>
                <w:szCs w:val="20"/>
              </w:rPr>
              <w:t xml:space="preserve">23)支持64方视频会议及会议录制；多方视频会议：支持64方融屏视频会议，可根据人数据自动改变画面布局全面展示所有参会人员的实时画面，并实现多画面组合切换。支持会议录制：会议过程中可手动点击会议录制把整个会议过程全程记录下来，并存储至服务器中方便随时回放查看。支持会议旁观模式：会议过程中能抛出一个RTMP流地址分享给其他人旁看会议。支持添加主流厂家监控摄像头画面：会议过程中可拉取主流厂家摄像头画面，并分享到会议画面中； </w:t>
            </w:r>
            <w:r>
              <w:rPr>
                <w:rFonts w:hint="eastAsia" w:ascii="宋体" w:hAnsi="宋体" w:cs="宋体"/>
                <w:kern w:val="0"/>
                <w:sz w:val="20"/>
                <w:szCs w:val="20"/>
              </w:rPr>
              <w:br w:type="textWrapping"/>
            </w:r>
            <w:r>
              <w:rPr>
                <w:rFonts w:hint="eastAsia" w:ascii="宋体" w:hAnsi="宋体" w:cs="宋体"/>
                <w:kern w:val="0"/>
                <w:sz w:val="20"/>
                <w:szCs w:val="20"/>
              </w:rPr>
              <w:t>24)支持所有教室终端、对讲终端支持本地存储与网络存储，支持单独接入主流厂家NVR存储功能，可与现有的监控系统兼容,可将终端音视频数据直接存储在主流厂家NVR中；</w:t>
            </w:r>
            <w:r>
              <w:rPr>
                <w:rFonts w:hint="eastAsia" w:ascii="宋体" w:hAnsi="宋体" w:cs="宋体"/>
                <w:kern w:val="0"/>
                <w:sz w:val="20"/>
                <w:szCs w:val="20"/>
              </w:rPr>
              <w:br w:type="textWrapping"/>
            </w:r>
            <w:r>
              <w:rPr>
                <w:rFonts w:hint="eastAsia" w:ascii="宋体" w:hAnsi="宋体" w:cs="宋体"/>
                <w:kern w:val="0"/>
                <w:sz w:val="20"/>
                <w:szCs w:val="20"/>
              </w:rPr>
              <w:t>25)支持JAVA、C++、C#、安卓、NODE.JS、GO等主流语言接入，提供KAFKA，Redis，MQTT，TCP的数据接收与转发方式；</w:t>
            </w:r>
            <w:r>
              <w:rPr>
                <w:rFonts w:hint="eastAsia" w:ascii="宋体" w:hAnsi="宋体" w:cs="宋体"/>
                <w:kern w:val="0"/>
                <w:sz w:val="20"/>
                <w:szCs w:val="20"/>
              </w:rPr>
              <w:br w:type="textWrapping"/>
            </w:r>
            <w:r>
              <w:rPr>
                <w:rFonts w:hint="eastAsia" w:ascii="宋体" w:hAnsi="宋体" w:cs="宋体"/>
                <w:kern w:val="0"/>
                <w:sz w:val="20"/>
                <w:szCs w:val="20"/>
              </w:rPr>
              <w:t>26)网络广播需支持UDP、TCP、RTP、组播四种广播传输协议，能针对不同场景设置不同的广播传输方式。支持多种广播应用，具体要求包含：全区广播：可对音视频源文件、喊话、外接音源在整个辖区范围内广播；分区广播：可对音视频源文件、喊话在分区内进行广播；定时广播：根据系统设置广播时间，自动播放；</w:t>
            </w:r>
            <w:r>
              <w:rPr>
                <w:rFonts w:hint="eastAsia" w:ascii="宋体" w:hAnsi="宋体" w:cs="宋体"/>
                <w:kern w:val="0"/>
                <w:sz w:val="20"/>
                <w:szCs w:val="20"/>
              </w:rPr>
              <w:br w:type="textWrapping"/>
            </w:r>
            <w:r>
              <w:rPr>
                <w:rFonts w:hint="eastAsia" w:ascii="宋体" w:hAnsi="宋体" w:cs="宋体"/>
                <w:kern w:val="0"/>
                <w:sz w:val="20"/>
                <w:szCs w:val="20"/>
              </w:rPr>
              <w:t>27)系统能根据不同的任务定义优先级别，满足实际使用的需求，如在通话呼叫时，应停止当前的广播任务，直到通话处理完毕，继续原来的广播，要满足实用性；</w:t>
            </w:r>
            <w:r>
              <w:rPr>
                <w:rFonts w:hint="eastAsia" w:ascii="宋体" w:hAnsi="宋体" w:cs="宋体"/>
                <w:kern w:val="0"/>
                <w:sz w:val="20"/>
                <w:szCs w:val="20"/>
              </w:rPr>
              <w:br w:type="textWrapping"/>
            </w:r>
            <w:r>
              <w:rPr>
                <w:rFonts w:hint="eastAsia" w:ascii="宋体" w:hAnsi="宋体" w:cs="宋体"/>
                <w:kern w:val="0"/>
                <w:sz w:val="20"/>
                <w:szCs w:val="20"/>
              </w:rPr>
              <w:t>28)支持日志管理，包括设备日志，对讲日志，定时任务日志，设备升级日志；便于用户更好维护系统；</w:t>
            </w:r>
            <w:r>
              <w:rPr>
                <w:rFonts w:hint="eastAsia" w:ascii="宋体" w:hAnsi="宋体" w:cs="宋体"/>
                <w:kern w:val="0"/>
                <w:sz w:val="20"/>
                <w:szCs w:val="20"/>
              </w:rPr>
              <w:br w:type="textWrapping"/>
            </w:r>
            <w:r>
              <w:rPr>
                <w:rFonts w:hint="eastAsia" w:ascii="宋体" w:hAnsi="宋体" w:cs="宋体"/>
                <w:kern w:val="0"/>
                <w:sz w:val="20"/>
                <w:szCs w:val="20"/>
              </w:rPr>
              <w:t>29)支持对讲记录存储并回放，提供录音文件下载；</w:t>
            </w:r>
            <w:r>
              <w:rPr>
                <w:rFonts w:hint="eastAsia" w:ascii="宋体" w:hAnsi="宋体" w:cs="宋体"/>
                <w:kern w:val="0"/>
                <w:sz w:val="20"/>
                <w:szCs w:val="20"/>
              </w:rPr>
              <w:br w:type="textWrapping"/>
            </w:r>
            <w:r>
              <w:rPr>
                <w:rFonts w:hint="eastAsia" w:ascii="宋体" w:hAnsi="宋体" w:cs="宋体"/>
                <w:kern w:val="0"/>
                <w:sz w:val="20"/>
                <w:szCs w:val="20"/>
              </w:rPr>
              <w:t>五、高清视频播出与管理</w:t>
            </w:r>
            <w:r>
              <w:rPr>
                <w:rFonts w:hint="eastAsia" w:ascii="宋体" w:hAnsi="宋体" w:cs="宋体"/>
                <w:kern w:val="0"/>
                <w:sz w:val="20"/>
                <w:szCs w:val="20"/>
              </w:rPr>
              <w:br w:type="textWrapping"/>
            </w:r>
            <w:r>
              <w:rPr>
                <w:rFonts w:hint="eastAsia" w:ascii="宋体" w:hAnsi="宋体" w:cs="宋体"/>
                <w:kern w:val="0"/>
                <w:sz w:val="20"/>
                <w:szCs w:val="20"/>
              </w:rPr>
              <w:t xml:space="preserve">30)两种广播方式，包括智慧终端广播与文件广播，终端广播就是通过一个智慧终端的输入图像，例如电脑、电视、HDMI输入等，并将这个图像广播到其他教室，文件广播则是将要广播的文件上传至服务器并实现定时及手动播放。 </w:t>
            </w:r>
            <w:r>
              <w:rPr>
                <w:rFonts w:hint="eastAsia" w:ascii="宋体" w:hAnsi="宋体" w:cs="宋体"/>
                <w:kern w:val="0"/>
                <w:sz w:val="20"/>
                <w:szCs w:val="20"/>
              </w:rPr>
              <w:br w:type="textWrapping"/>
            </w:r>
            <w:r>
              <w:rPr>
                <w:rFonts w:hint="eastAsia" w:ascii="宋体" w:hAnsi="宋体" w:cs="宋体"/>
                <w:kern w:val="0"/>
                <w:sz w:val="20"/>
                <w:szCs w:val="20"/>
              </w:rPr>
              <w:t>31)播放可以建立不同的任务，每一个任务都可以设定不同的接收教室，实现多对多的组播功能。根据广播任务的设置内容，可以实现接收终端的输入口切换以及一些电源管理。</w:t>
            </w:r>
            <w:r>
              <w:rPr>
                <w:rFonts w:hint="eastAsia" w:ascii="宋体" w:hAnsi="宋体" w:cs="宋体"/>
                <w:kern w:val="0"/>
                <w:sz w:val="20"/>
                <w:szCs w:val="20"/>
              </w:rPr>
              <w:br w:type="textWrapping"/>
            </w:r>
            <w:r>
              <w:rPr>
                <w:rFonts w:hint="eastAsia" w:ascii="宋体" w:hAnsi="宋体" w:cs="宋体"/>
                <w:kern w:val="0"/>
                <w:sz w:val="20"/>
                <w:szCs w:val="20"/>
              </w:rPr>
              <w:t>32)广播支持多画面播放，每个教室可以在一个终端上实现同时播放超过2路视频源，通过web后台，可以设置接收多路画面的布局，多达9种画面组合方式。</w:t>
            </w:r>
            <w:r>
              <w:rPr>
                <w:rFonts w:hint="eastAsia" w:ascii="宋体" w:hAnsi="宋体" w:cs="宋体"/>
                <w:kern w:val="0"/>
                <w:sz w:val="20"/>
                <w:szCs w:val="20"/>
              </w:rPr>
              <w:br w:type="textWrapping"/>
            </w:r>
            <w:r>
              <w:rPr>
                <w:rFonts w:hint="eastAsia" w:ascii="宋体" w:hAnsi="宋体" w:cs="宋体"/>
                <w:kern w:val="0"/>
                <w:sz w:val="20"/>
                <w:szCs w:val="20"/>
              </w:rPr>
              <w:t>33)校园广播可以实现高清输出，自适应广播分辨率，支持最高1920x1080分辨率的图像输出。</w:t>
            </w:r>
            <w:r>
              <w:rPr>
                <w:rFonts w:hint="eastAsia" w:ascii="宋体" w:hAnsi="宋体" w:cs="宋体"/>
                <w:kern w:val="0"/>
                <w:sz w:val="20"/>
                <w:szCs w:val="20"/>
              </w:rPr>
              <w:br w:type="textWrapping"/>
            </w:r>
            <w:r>
              <w:rPr>
                <w:rFonts w:hint="eastAsia" w:ascii="宋体" w:hAnsi="宋体" w:cs="宋体"/>
                <w:kern w:val="0"/>
                <w:sz w:val="20"/>
                <w:szCs w:val="20"/>
              </w:rPr>
              <w:t>34)校园电视台与普通教室采用同样设备，任意教室可以瞬间转换为校园电视台，为其他教室进行直播和广播。</w:t>
            </w:r>
            <w:r>
              <w:rPr>
                <w:rFonts w:hint="eastAsia" w:ascii="宋体" w:hAnsi="宋体" w:cs="宋体"/>
                <w:kern w:val="0"/>
                <w:sz w:val="20"/>
                <w:szCs w:val="20"/>
              </w:rPr>
              <w:br w:type="textWrapping"/>
            </w:r>
            <w:r>
              <w:rPr>
                <w:rFonts w:hint="eastAsia" w:ascii="宋体" w:hAnsi="宋体" w:cs="宋体"/>
                <w:kern w:val="0"/>
                <w:sz w:val="20"/>
                <w:szCs w:val="20"/>
              </w:rPr>
              <w:t>六、媒体库管理：</w:t>
            </w:r>
            <w:r>
              <w:rPr>
                <w:rFonts w:hint="eastAsia" w:ascii="宋体" w:hAnsi="宋体" w:cs="宋体"/>
                <w:kern w:val="0"/>
                <w:sz w:val="20"/>
                <w:szCs w:val="20"/>
              </w:rPr>
              <w:br w:type="textWrapping"/>
            </w:r>
            <w:r>
              <w:rPr>
                <w:rFonts w:hint="eastAsia" w:ascii="宋体" w:hAnsi="宋体" w:cs="宋体"/>
                <w:kern w:val="0"/>
                <w:sz w:val="20"/>
                <w:szCs w:val="20"/>
              </w:rPr>
              <w:t>35)可以通过web进行文件上传，和文件管理。</w:t>
            </w:r>
            <w:r>
              <w:rPr>
                <w:rFonts w:hint="eastAsia" w:ascii="宋体" w:hAnsi="宋体" w:cs="宋体"/>
                <w:kern w:val="0"/>
                <w:sz w:val="20"/>
                <w:szCs w:val="20"/>
              </w:rPr>
              <w:br w:type="textWrapping"/>
            </w:r>
            <w:r>
              <w:rPr>
                <w:rFonts w:hint="eastAsia" w:ascii="宋体" w:hAnsi="宋体" w:cs="宋体"/>
                <w:kern w:val="0"/>
                <w:sz w:val="20"/>
                <w:szCs w:val="20"/>
              </w:rPr>
              <w:t>36)对于上传的音视频进行统一的编码和转码处理，优化文件实现统一的格式方便播放和管理。</w:t>
            </w:r>
            <w:r>
              <w:rPr>
                <w:rFonts w:hint="eastAsia" w:ascii="宋体" w:hAnsi="宋体" w:cs="宋体"/>
                <w:kern w:val="0"/>
                <w:sz w:val="20"/>
                <w:szCs w:val="20"/>
              </w:rPr>
              <w:br w:type="textWrapping"/>
            </w:r>
            <w:r>
              <w:rPr>
                <w:rFonts w:hint="eastAsia" w:ascii="宋体" w:hAnsi="宋体" w:cs="宋体"/>
                <w:kern w:val="0"/>
                <w:sz w:val="20"/>
                <w:szCs w:val="20"/>
              </w:rPr>
              <w:t>37)厂家针对此项目的售后服务书、提供智能系统云服务器平台软件著作权证书；</w:t>
            </w:r>
            <w:r>
              <w:rPr>
                <w:rFonts w:hint="eastAsia" w:ascii="宋体" w:hAnsi="宋体" w:cs="宋体"/>
                <w:kern w:val="0"/>
                <w:sz w:val="20"/>
                <w:szCs w:val="20"/>
              </w:rPr>
              <w:br w:type="textWrapping"/>
            </w:r>
            <w:r>
              <w:rPr>
                <w:rFonts w:hint="eastAsia" w:ascii="宋体" w:hAnsi="宋体" w:cs="宋体"/>
                <w:kern w:val="0"/>
                <w:sz w:val="20"/>
                <w:szCs w:val="20"/>
              </w:rPr>
              <w:t>班牌系统：</w:t>
            </w:r>
            <w:r>
              <w:rPr>
                <w:rFonts w:hint="eastAsia" w:ascii="宋体" w:hAnsi="宋体" w:cs="宋体"/>
                <w:kern w:val="0"/>
                <w:sz w:val="20"/>
                <w:szCs w:val="20"/>
              </w:rPr>
              <w:br w:type="textWrapping"/>
            </w:r>
            <w:r>
              <w:rPr>
                <w:rFonts w:hint="eastAsia" w:ascii="宋体" w:hAnsi="宋体" w:cs="宋体"/>
                <w:kern w:val="0"/>
                <w:sz w:val="20"/>
                <w:szCs w:val="20"/>
              </w:rPr>
              <w:t>1. 总账户（内部管理人员操作）设定，可全局数据信息查看，以及全局功能授权和指定数据授权，有最高的审批权限</w:t>
            </w:r>
            <w:r>
              <w:rPr>
                <w:rFonts w:hint="eastAsia" w:ascii="宋体" w:hAnsi="宋体" w:cs="宋体"/>
                <w:kern w:val="0"/>
                <w:sz w:val="20"/>
                <w:szCs w:val="20"/>
              </w:rPr>
              <w:br w:type="textWrapping"/>
            </w:r>
            <w:r>
              <w:rPr>
                <w:rFonts w:hint="eastAsia" w:ascii="宋体" w:hAnsi="宋体" w:cs="宋体"/>
                <w:kern w:val="0"/>
                <w:sz w:val="20"/>
                <w:szCs w:val="20"/>
              </w:rPr>
              <w:t>2. 学校信发信息管理功能版块</w:t>
            </w:r>
            <w:r>
              <w:rPr>
                <w:rFonts w:hint="eastAsia" w:ascii="宋体" w:hAnsi="宋体" w:cs="宋体"/>
                <w:kern w:val="0"/>
                <w:sz w:val="20"/>
                <w:szCs w:val="20"/>
              </w:rPr>
              <w:br w:type="textWrapping"/>
            </w:r>
            <w:r>
              <w:rPr>
                <w:rFonts w:hint="eastAsia" w:ascii="宋体" w:hAnsi="宋体" w:cs="宋体"/>
                <w:kern w:val="0"/>
                <w:sz w:val="20"/>
                <w:szCs w:val="20"/>
              </w:rPr>
              <w:t>1) 校园基本信息：设备密码设置、迎宾模式标语设置、课程考勤规则设置</w:t>
            </w:r>
            <w:r>
              <w:rPr>
                <w:rFonts w:hint="eastAsia" w:ascii="宋体" w:hAnsi="宋体" w:cs="宋体"/>
                <w:kern w:val="0"/>
                <w:sz w:val="20"/>
                <w:szCs w:val="20"/>
              </w:rPr>
              <w:br w:type="textWrapping"/>
            </w:r>
            <w:r>
              <w:rPr>
                <w:rFonts w:hint="eastAsia" w:ascii="宋体" w:hAnsi="宋体" w:cs="宋体"/>
                <w:kern w:val="0"/>
                <w:sz w:val="20"/>
                <w:szCs w:val="20"/>
              </w:rPr>
              <w:t>2) 教职工管理：上传教职工基本信息（姓名、性别、手机号、状态以及职务）</w:t>
            </w:r>
            <w:r>
              <w:rPr>
                <w:rFonts w:hint="eastAsia" w:ascii="宋体" w:hAnsi="宋体" w:cs="宋体"/>
                <w:kern w:val="0"/>
                <w:sz w:val="20"/>
                <w:szCs w:val="20"/>
              </w:rPr>
              <w:br w:type="textWrapping"/>
            </w:r>
            <w:r>
              <w:rPr>
                <w:rFonts w:hint="eastAsia" w:ascii="宋体" w:hAnsi="宋体" w:cs="宋体"/>
                <w:kern w:val="0"/>
                <w:sz w:val="20"/>
                <w:szCs w:val="20"/>
              </w:rPr>
              <w:t>3) 学校场地区域管理：可添加修改对应场地区域信息。特殊场地信息绑定后显示对应场地的页面，如：实训室、实验室、音乐教室等等</w:t>
            </w:r>
            <w:r>
              <w:rPr>
                <w:rFonts w:hint="eastAsia" w:ascii="宋体" w:hAnsi="宋体" w:cs="宋体"/>
                <w:kern w:val="0"/>
                <w:sz w:val="20"/>
                <w:szCs w:val="20"/>
              </w:rPr>
              <w:br w:type="textWrapping"/>
            </w:r>
            <w:r>
              <w:rPr>
                <w:rFonts w:hint="eastAsia" w:ascii="宋体" w:hAnsi="宋体" w:cs="宋体"/>
                <w:kern w:val="0"/>
                <w:sz w:val="20"/>
                <w:szCs w:val="20"/>
              </w:rPr>
              <w:t>4) 学校院系管理：可添加编辑院系信息</w:t>
            </w:r>
            <w:r>
              <w:rPr>
                <w:rFonts w:hint="eastAsia" w:ascii="宋体" w:hAnsi="宋体" w:cs="宋体"/>
                <w:kern w:val="0"/>
                <w:sz w:val="20"/>
                <w:szCs w:val="20"/>
              </w:rPr>
              <w:br w:type="textWrapping"/>
            </w:r>
            <w:r>
              <w:rPr>
                <w:rFonts w:hint="eastAsia" w:ascii="宋体" w:hAnsi="宋体" w:cs="宋体"/>
                <w:kern w:val="0"/>
                <w:sz w:val="20"/>
                <w:szCs w:val="20"/>
              </w:rPr>
              <w:t>5) 学校年级管理：可添加学校年级信息</w:t>
            </w:r>
            <w:r>
              <w:rPr>
                <w:rFonts w:hint="eastAsia" w:ascii="宋体" w:hAnsi="宋体" w:cs="宋体"/>
                <w:kern w:val="0"/>
                <w:sz w:val="20"/>
                <w:szCs w:val="20"/>
              </w:rPr>
              <w:br w:type="textWrapping"/>
            </w:r>
            <w:r>
              <w:rPr>
                <w:rFonts w:hint="eastAsia" w:ascii="宋体" w:hAnsi="宋体" w:cs="宋体"/>
                <w:kern w:val="0"/>
                <w:sz w:val="20"/>
                <w:szCs w:val="20"/>
              </w:rPr>
              <w:t>6) 学校班级管理：可添加学校班级信息</w:t>
            </w:r>
            <w:r>
              <w:rPr>
                <w:rFonts w:hint="eastAsia" w:ascii="宋体" w:hAnsi="宋体" w:cs="宋体"/>
                <w:kern w:val="0"/>
                <w:sz w:val="20"/>
                <w:szCs w:val="20"/>
              </w:rPr>
              <w:br w:type="textWrapping"/>
            </w:r>
            <w:r>
              <w:rPr>
                <w:rFonts w:hint="eastAsia" w:ascii="宋体" w:hAnsi="宋体" w:cs="宋体"/>
                <w:kern w:val="0"/>
                <w:sz w:val="20"/>
                <w:szCs w:val="20"/>
              </w:rPr>
              <w:t>7) 学生管理：上传学生基本信息（姓名、性别、学籍号、状态），可添加捆绑对应家长，可捆绑多个家长，可录入家长基本信息</w:t>
            </w:r>
            <w:r>
              <w:rPr>
                <w:rFonts w:hint="eastAsia" w:ascii="宋体" w:hAnsi="宋体" w:cs="宋体"/>
                <w:kern w:val="0"/>
                <w:sz w:val="20"/>
                <w:szCs w:val="20"/>
              </w:rPr>
              <w:br w:type="textWrapping"/>
            </w:r>
            <w:r>
              <w:rPr>
                <w:rFonts w:hint="eastAsia" w:ascii="宋体" w:hAnsi="宋体" w:cs="宋体"/>
                <w:kern w:val="0"/>
                <w:sz w:val="20"/>
                <w:szCs w:val="20"/>
              </w:rPr>
              <w:t>8) 职务管理：进行编辑、添加职务以及职务职能</w:t>
            </w:r>
            <w:r>
              <w:rPr>
                <w:rFonts w:hint="eastAsia" w:ascii="宋体" w:hAnsi="宋体" w:cs="宋体"/>
                <w:kern w:val="0"/>
                <w:sz w:val="20"/>
                <w:szCs w:val="20"/>
              </w:rPr>
              <w:br w:type="textWrapping"/>
            </w:r>
            <w:r>
              <w:rPr>
                <w:rFonts w:hint="eastAsia" w:ascii="宋体" w:hAnsi="宋体" w:cs="宋体"/>
                <w:kern w:val="0"/>
                <w:sz w:val="20"/>
                <w:szCs w:val="20"/>
              </w:rPr>
              <w:t>9) 一卡通管理：上传教职工以及学生的一卡通信息</w:t>
            </w:r>
            <w:r>
              <w:rPr>
                <w:rFonts w:hint="eastAsia" w:ascii="宋体" w:hAnsi="宋体" w:cs="宋体"/>
                <w:kern w:val="0"/>
                <w:sz w:val="20"/>
                <w:szCs w:val="20"/>
              </w:rPr>
              <w:br w:type="textWrapping"/>
            </w:r>
            <w:r>
              <w:rPr>
                <w:rFonts w:hint="eastAsia" w:ascii="宋体" w:hAnsi="宋体" w:cs="宋体"/>
                <w:kern w:val="0"/>
                <w:sz w:val="20"/>
                <w:szCs w:val="20"/>
              </w:rPr>
              <w:t>10) 人员人脸库管理：上传教职工以及学生的人脸数据</w:t>
            </w:r>
            <w:r>
              <w:rPr>
                <w:rFonts w:hint="eastAsia" w:ascii="宋体" w:hAnsi="宋体" w:cs="宋体"/>
                <w:kern w:val="0"/>
                <w:sz w:val="20"/>
                <w:szCs w:val="20"/>
              </w:rPr>
              <w:br w:type="textWrapping"/>
            </w:r>
            <w:r>
              <w:rPr>
                <w:rFonts w:hint="eastAsia" w:ascii="宋体" w:hAnsi="宋体" w:cs="宋体"/>
                <w:kern w:val="0"/>
                <w:sz w:val="20"/>
                <w:szCs w:val="20"/>
              </w:rPr>
              <w:t>3. 信息发布管理版块</w:t>
            </w:r>
            <w:r>
              <w:rPr>
                <w:rFonts w:hint="eastAsia" w:ascii="宋体" w:hAnsi="宋体" w:cs="宋体"/>
                <w:kern w:val="0"/>
                <w:sz w:val="20"/>
                <w:szCs w:val="20"/>
              </w:rPr>
              <w:br w:type="textWrapping"/>
            </w:r>
            <w:r>
              <w:rPr>
                <w:rFonts w:hint="eastAsia" w:ascii="宋体" w:hAnsi="宋体" w:cs="宋体"/>
                <w:kern w:val="0"/>
                <w:sz w:val="20"/>
                <w:szCs w:val="20"/>
              </w:rPr>
              <w:t>1) 校园风采：发布图片及视频，可编辑文字内容</w:t>
            </w:r>
            <w:r>
              <w:rPr>
                <w:rFonts w:hint="eastAsia" w:ascii="宋体" w:hAnsi="宋体" w:cs="宋体"/>
                <w:kern w:val="0"/>
                <w:sz w:val="20"/>
                <w:szCs w:val="20"/>
              </w:rPr>
              <w:br w:type="textWrapping"/>
            </w:r>
            <w:r>
              <w:rPr>
                <w:rFonts w:hint="eastAsia" w:ascii="宋体" w:hAnsi="宋体" w:cs="宋体"/>
                <w:kern w:val="0"/>
                <w:sz w:val="20"/>
                <w:szCs w:val="20"/>
              </w:rPr>
              <w:t>2) 班级风采：发布图片及视频，可编辑文字内容</w:t>
            </w:r>
            <w:r>
              <w:rPr>
                <w:rFonts w:hint="eastAsia" w:ascii="宋体" w:hAnsi="宋体" w:cs="宋体"/>
                <w:kern w:val="0"/>
                <w:sz w:val="20"/>
                <w:szCs w:val="20"/>
              </w:rPr>
              <w:br w:type="textWrapping"/>
            </w:r>
            <w:r>
              <w:rPr>
                <w:rFonts w:hint="eastAsia" w:ascii="宋体" w:hAnsi="宋体" w:cs="宋体"/>
                <w:kern w:val="0"/>
                <w:sz w:val="20"/>
                <w:szCs w:val="20"/>
              </w:rPr>
              <w:t>3) 公告通知：发布公告，编辑录入，只有文本信息，可设定发布计划，开始时间及结束时间</w:t>
            </w:r>
            <w:r>
              <w:rPr>
                <w:rFonts w:hint="eastAsia" w:ascii="宋体" w:hAnsi="宋体" w:cs="宋体"/>
                <w:kern w:val="0"/>
                <w:sz w:val="20"/>
                <w:szCs w:val="20"/>
              </w:rPr>
              <w:br w:type="textWrapping"/>
            </w:r>
            <w:r>
              <w:rPr>
                <w:rFonts w:hint="eastAsia" w:ascii="宋体" w:hAnsi="宋体" w:cs="宋体"/>
                <w:kern w:val="0"/>
                <w:sz w:val="20"/>
                <w:szCs w:val="20"/>
              </w:rPr>
              <w:t>4) 最新活动：发布校园活动资讯，可发布图片及文字内容，可设定发布计划，开始时间及结束时间</w:t>
            </w:r>
            <w:r>
              <w:rPr>
                <w:rFonts w:hint="eastAsia" w:ascii="宋体" w:hAnsi="宋体" w:cs="宋体"/>
                <w:kern w:val="0"/>
                <w:sz w:val="20"/>
                <w:szCs w:val="20"/>
              </w:rPr>
              <w:br w:type="textWrapping"/>
            </w:r>
            <w:r>
              <w:rPr>
                <w:rFonts w:hint="eastAsia" w:ascii="宋体" w:hAnsi="宋体" w:cs="宋体"/>
                <w:kern w:val="0"/>
                <w:sz w:val="20"/>
                <w:szCs w:val="20"/>
              </w:rPr>
              <w:t>4. 考勤管理功能版块</w:t>
            </w:r>
            <w:r>
              <w:rPr>
                <w:rFonts w:hint="eastAsia" w:ascii="宋体" w:hAnsi="宋体" w:cs="宋体"/>
                <w:kern w:val="0"/>
                <w:sz w:val="20"/>
                <w:szCs w:val="20"/>
              </w:rPr>
              <w:br w:type="textWrapping"/>
            </w:r>
            <w:r>
              <w:rPr>
                <w:rFonts w:hint="eastAsia" w:ascii="宋体" w:hAnsi="宋体" w:cs="宋体"/>
                <w:kern w:val="0"/>
                <w:sz w:val="20"/>
                <w:szCs w:val="20"/>
              </w:rPr>
              <w:t>1) 事件考勤规则设定：增删查改，可设定多个规则，适用于多个事件</w:t>
            </w:r>
            <w:r>
              <w:rPr>
                <w:rFonts w:hint="eastAsia" w:ascii="宋体" w:hAnsi="宋体" w:cs="宋体"/>
                <w:kern w:val="0"/>
                <w:sz w:val="20"/>
                <w:szCs w:val="20"/>
              </w:rPr>
              <w:br w:type="textWrapping"/>
            </w:r>
            <w:r>
              <w:rPr>
                <w:rFonts w:hint="eastAsia" w:ascii="宋体" w:hAnsi="宋体" w:cs="宋体"/>
                <w:kern w:val="0"/>
                <w:sz w:val="20"/>
                <w:szCs w:val="20"/>
              </w:rPr>
              <w:t>2) 事件考勤记录，筛选获取对应班级考勤统计，可获取对应班级考勤详细记录</w:t>
            </w:r>
            <w:r>
              <w:rPr>
                <w:rFonts w:hint="eastAsia" w:ascii="宋体" w:hAnsi="宋体" w:cs="宋体"/>
                <w:kern w:val="0"/>
                <w:sz w:val="20"/>
                <w:szCs w:val="20"/>
              </w:rPr>
              <w:br w:type="textWrapping"/>
            </w:r>
            <w:r>
              <w:rPr>
                <w:rFonts w:hint="eastAsia" w:ascii="宋体" w:hAnsi="宋体" w:cs="宋体"/>
                <w:kern w:val="0"/>
                <w:sz w:val="20"/>
                <w:szCs w:val="20"/>
              </w:rPr>
              <w:t>3) 课程考勤记录，筛选获取对应班级考勤统计，可获取对应班级考勤详细记录</w:t>
            </w:r>
            <w:r>
              <w:rPr>
                <w:rFonts w:hint="eastAsia" w:ascii="宋体" w:hAnsi="宋体" w:cs="宋体"/>
                <w:kern w:val="0"/>
                <w:sz w:val="20"/>
                <w:szCs w:val="20"/>
              </w:rPr>
              <w:br w:type="textWrapping"/>
            </w:r>
            <w:r>
              <w:rPr>
                <w:rFonts w:hint="eastAsia" w:ascii="宋体" w:hAnsi="宋体" w:cs="宋体"/>
                <w:kern w:val="0"/>
                <w:sz w:val="20"/>
                <w:szCs w:val="20"/>
              </w:rPr>
              <w:t>4）学生考勤记录：筛选获取对应学生考勤统计，可获取对应学生考勤详细记录，并按照学校要求提供数据统计</w:t>
            </w:r>
            <w:r>
              <w:rPr>
                <w:rFonts w:hint="eastAsia" w:ascii="宋体" w:hAnsi="宋体" w:cs="宋体"/>
                <w:kern w:val="0"/>
                <w:sz w:val="20"/>
                <w:szCs w:val="20"/>
              </w:rPr>
              <w:br w:type="textWrapping"/>
            </w:r>
            <w:r>
              <w:rPr>
                <w:rFonts w:hint="eastAsia" w:ascii="宋体" w:hAnsi="宋体" w:cs="宋体"/>
                <w:kern w:val="0"/>
                <w:sz w:val="20"/>
                <w:szCs w:val="20"/>
              </w:rPr>
              <w:t>5. 课程管理</w:t>
            </w:r>
            <w:r>
              <w:rPr>
                <w:rFonts w:hint="eastAsia" w:ascii="宋体" w:hAnsi="宋体" w:cs="宋体"/>
                <w:kern w:val="0"/>
                <w:sz w:val="20"/>
                <w:szCs w:val="20"/>
              </w:rPr>
              <w:br w:type="textWrapping"/>
            </w:r>
            <w:r>
              <w:rPr>
                <w:rFonts w:hint="eastAsia" w:ascii="宋体" w:hAnsi="宋体" w:cs="宋体"/>
                <w:kern w:val="0"/>
                <w:sz w:val="20"/>
                <w:szCs w:val="20"/>
              </w:rPr>
              <w:t>1) 课程库：添加课程名称及对应属性（行政/走班），编辑对应的任教老师姓名</w:t>
            </w:r>
            <w:r>
              <w:rPr>
                <w:rFonts w:hint="eastAsia" w:ascii="宋体" w:hAnsi="宋体" w:cs="宋体"/>
                <w:kern w:val="0"/>
                <w:sz w:val="20"/>
                <w:szCs w:val="20"/>
              </w:rPr>
              <w:br w:type="textWrapping"/>
            </w:r>
            <w:r>
              <w:rPr>
                <w:rFonts w:hint="eastAsia" w:ascii="宋体" w:hAnsi="宋体" w:cs="宋体"/>
                <w:kern w:val="0"/>
                <w:sz w:val="20"/>
                <w:szCs w:val="20"/>
              </w:rPr>
              <w:t>2) 课程模板：设置每周上课时间，每天的课程作息时间，每节课时的时间安排，并可针对不同教室不同班级生成对应不同的课程作息模板</w:t>
            </w:r>
            <w:r>
              <w:rPr>
                <w:rFonts w:hint="eastAsia" w:ascii="宋体" w:hAnsi="宋体" w:cs="宋体"/>
                <w:kern w:val="0"/>
                <w:sz w:val="20"/>
                <w:szCs w:val="20"/>
              </w:rPr>
              <w:br w:type="textWrapping"/>
            </w:r>
            <w:r>
              <w:rPr>
                <w:rFonts w:hint="eastAsia" w:ascii="宋体" w:hAnsi="宋体" w:cs="宋体"/>
                <w:kern w:val="0"/>
                <w:sz w:val="20"/>
                <w:szCs w:val="20"/>
              </w:rPr>
              <w:t>3) 课程表：可查看各个场地、班级的课程表，可整体全校进行批量导入，也可与其他平台系统进行对接</w:t>
            </w:r>
            <w:r>
              <w:rPr>
                <w:rFonts w:hint="eastAsia" w:ascii="宋体" w:hAnsi="宋体" w:cs="宋体"/>
                <w:kern w:val="0"/>
                <w:sz w:val="20"/>
                <w:szCs w:val="20"/>
              </w:rPr>
              <w:br w:type="textWrapping"/>
            </w:r>
            <w:r>
              <w:rPr>
                <w:rFonts w:hint="eastAsia" w:ascii="宋体" w:hAnsi="宋体" w:cs="宋体"/>
                <w:kern w:val="0"/>
                <w:sz w:val="20"/>
                <w:szCs w:val="20"/>
              </w:rPr>
              <w:t>6. 考试计划（考场模式）</w:t>
            </w:r>
            <w:r>
              <w:rPr>
                <w:rFonts w:hint="eastAsia" w:ascii="宋体" w:hAnsi="宋体" w:cs="宋体"/>
                <w:kern w:val="0"/>
                <w:sz w:val="20"/>
                <w:szCs w:val="20"/>
              </w:rPr>
              <w:br w:type="textWrapping"/>
            </w:r>
            <w:r>
              <w:rPr>
                <w:rFonts w:hint="eastAsia" w:ascii="宋体" w:hAnsi="宋体" w:cs="宋体"/>
                <w:kern w:val="0"/>
                <w:sz w:val="20"/>
                <w:szCs w:val="20"/>
              </w:rPr>
              <w:t>1) 设定考试计划，设定考试时间</w:t>
            </w:r>
            <w:r>
              <w:rPr>
                <w:rFonts w:hint="eastAsia" w:ascii="宋体" w:hAnsi="宋体" w:cs="宋体"/>
                <w:kern w:val="0"/>
                <w:sz w:val="20"/>
                <w:szCs w:val="20"/>
              </w:rPr>
              <w:br w:type="textWrapping"/>
            </w:r>
            <w:r>
              <w:rPr>
                <w:rFonts w:hint="eastAsia" w:ascii="宋体" w:hAnsi="宋体" w:cs="宋体"/>
                <w:kern w:val="0"/>
                <w:sz w:val="20"/>
                <w:szCs w:val="20"/>
              </w:rPr>
              <w:t>2) 设定对应考试计划的多个考试班级以及多个对应考场的场地，设定对应监考老师；</w:t>
            </w:r>
            <w:r>
              <w:rPr>
                <w:rFonts w:hint="eastAsia" w:ascii="宋体" w:hAnsi="宋体" w:cs="宋体"/>
                <w:kern w:val="0"/>
                <w:sz w:val="20"/>
                <w:szCs w:val="20"/>
              </w:rPr>
              <w:br w:type="textWrapping"/>
            </w:r>
            <w:r>
              <w:rPr>
                <w:rFonts w:hint="eastAsia" w:ascii="宋体" w:hAnsi="宋体" w:cs="宋体"/>
                <w:kern w:val="0"/>
                <w:sz w:val="20"/>
                <w:szCs w:val="20"/>
              </w:rPr>
              <w:t>3) 场地可自行编辑座位方案，按照行数及列数规划；</w:t>
            </w:r>
            <w:r>
              <w:rPr>
                <w:rFonts w:hint="eastAsia" w:ascii="宋体" w:hAnsi="宋体" w:cs="宋体"/>
                <w:kern w:val="0"/>
                <w:sz w:val="20"/>
                <w:szCs w:val="20"/>
              </w:rPr>
              <w:br w:type="textWrapping"/>
            </w:r>
            <w:r>
              <w:rPr>
                <w:rFonts w:hint="eastAsia" w:ascii="宋体" w:hAnsi="宋体" w:cs="宋体"/>
                <w:kern w:val="0"/>
                <w:sz w:val="20"/>
                <w:szCs w:val="20"/>
              </w:rPr>
              <w:t>4) 考生信息根据考试班级自动录入，并可根据实际情况进行微调；</w:t>
            </w:r>
            <w:r>
              <w:rPr>
                <w:rFonts w:hint="eastAsia" w:ascii="宋体" w:hAnsi="宋体" w:cs="宋体"/>
                <w:kern w:val="0"/>
                <w:sz w:val="20"/>
                <w:szCs w:val="20"/>
              </w:rPr>
              <w:br w:type="textWrapping"/>
            </w:r>
            <w:r>
              <w:rPr>
                <w:rFonts w:hint="eastAsia" w:ascii="宋体" w:hAnsi="宋体" w:cs="宋体"/>
                <w:kern w:val="0"/>
                <w:sz w:val="20"/>
                <w:szCs w:val="20"/>
              </w:rPr>
              <w:t>5）支持对接考试系统考试安排，显示学生、教师考勤数据。</w:t>
            </w:r>
            <w:r>
              <w:rPr>
                <w:rFonts w:hint="eastAsia" w:ascii="宋体" w:hAnsi="宋体" w:cs="宋体"/>
                <w:kern w:val="0"/>
                <w:sz w:val="20"/>
                <w:szCs w:val="20"/>
              </w:rPr>
              <w:br w:type="textWrapping"/>
            </w:r>
            <w:r>
              <w:rPr>
                <w:rFonts w:hint="eastAsia" w:ascii="宋体" w:hAnsi="宋体" w:cs="宋体"/>
                <w:kern w:val="0"/>
                <w:sz w:val="20"/>
                <w:szCs w:val="20"/>
              </w:rPr>
              <w:t>7. 大赛计划（国考模式）</w:t>
            </w:r>
            <w:r>
              <w:rPr>
                <w:rFonts w:hint="eastAsia" w:ascii="宋体" w:hAnsi="宋体" w:cs="宋体"/>
                <w:kern w:val="0"/>
                <w:sz w:val="20"/>
                <w:szCs w:val="20"/>
              </w:rPr>
              <w:br w:type="textWrapping"/>
            </w:r>
            <w:r>
              <w:rPr>
                <w:rFonts w:hint="eastAsia" w:ascii="宋体" w:hAnsi="宋体" w:cs="宋体"/>
                <w:kern w:val="0"/>
                <w:sz w:val="20"/>
                <w:szCs w:val="20"/>
              </w:rPr>
              <w:t>1) 设定大赛计划，设定大赛规划时间</w:t>
            </w:r>
            <w:r>
              <w:rPr>
                <w:rFonts w:hint="eastAsia" w:ascii="宋体" w:hAnsi="宋体" w:cs="宋体"/>
                <w:kern w:val="0"/>
                <w:sz w:val="20"/>
                <w:szCs w:val="20"/>
              </w:rPr>
              <w:br w:type="textWrapping"/>
            </w:r>
            <w:r>
              <w:rPr>
                <w:rFonts w:hint="eastAsia" w:ascii="宋体" w:hAnsi="宋体" w:cs="宋体"/>
                <w:kern w:val="0"/>
                <w:sz w:val="20"/>
                <w:szCs w:val="20"/>
              </w:rPr>
              <w:t>2) 设定对应大赛计划的多个对应的场地，设定考场监考老师；</w:t>
            </w:r>
            <w:r>
              <w:rPr>
                <w:rFonts w:hint="eastAsia" w:ascii="宋体" w:hAnsi="宋体" w:cs="宋体"/>
                <w:kern w:val="0"/>
                <w:sz w:val="20"/>
                <w:szCs w:val="20"/>
              </w:rPr>
              <w:br w:type="textWrapping"/>
            </w:r>
            <w:r>
              <w:rPr>
                <w:rFonts w:hint="eastAsia" w:ascii="宋体" w:hAnsi="宋体" w:cs="宋体"/>
                <w:kern w:val="0"/>
                <w:sz w:val="20"/>
                <w:szCs w:val="20"/>
              </w:rPr>
              <w:t>3) 场地可自行编辑座位方案，按照行数及列数规划；</w:t>
            </w:r>
            <w:r>
              <w:rPr>
                <w:rFonts w:hint="eastAsia" w:ascii="宋体" w:hAnsi="宋体" w:cs="宋体"/>
                <w:kern w:val="0"/>
                <w:sz w:val="20"/>
                <w:szCs w:val="20"/>
              </w:rPr>
              <w:br w:type="textWrapping"/>
            </w:r>
            <w:r>
              <w:rPr>
                <w:rFonts w:hint="eastAsia" w:ascii="宋体" w:hAnsi="宋体" w:cs="宋体"/>
                <w:kern w:val="0"/>
                <w:sz w:val="20"/>
                <w:szCs w:val="20"/>
              </w:rPr>
              <w:t>4) 考生信息根据姓名、人脸照片及相关信息录入，可录入校外人员数据</w:t>
            </w:r>
            <w:r>
              <w:rPr>
                <w:rFonts w:hint="eastAsia" w:ascii="宋体" w:hAnsi="宋体" w:cs="宋体"/>
                <w:kern w:val="0"/>
                <w:sz w:val="20"/>
                <w:szCs w:val="20"/>
              </w:rPr>
              <w:br w:type="textWrapping"/>
            </w:r>
            <w:r>
              <w:rPr>
                <w:rFonts w:hint="eastAsia" w:ascii="宋体" w:hAnsi="宋体" w:cs="宋体"/>
                <w:kern w:val="0"/>
                <w:sz w:val="20"/>
                <w:szCs w:val="20"/>
              </w:rPr>
              <w:t>8. 霸屏计划</w:t>
            </w:r>
            <w:r>
              <w:rPr>
                <w:rFonts w:hint="eastAsia" w:ascii="宋体" w:hAnsi="宋体" w:cs="宋体"/>
                <w:kern w:val="0"/>
                <w:sz w:val="20"/>
                <w:szCs w:val="20"/>
              </w:rPr>
              <w:br w:type="textWrapping"/>
            </w:r>
            <w:r>
              <w:rPr>
                <w:rFonts w:hint="eastAsia" w:ascii="宋体" w:hAnsi="宋体" w:cs="宋体"/>
                <w:kern w:val="0"/>
                <w:sz w:val="20"/>
                <w:szCs w:val="20"/>
              </w:rPr>
              <w:t>1) 设定霸屏计划，设定霸屏规划时间，包括展示开始时间及结束时间，可以上传多个图片或视频</w:t>
            </w:r>
            <w:r>
              <w:rPr>
                <w:rFonts w:hint="eastAsia" w:ascii="宋体" w:hAnsi="宋体" w:cs="宋体"/>
                <w:kern w:val="0"/>
                <w:sz w:val="20"/>
                <w:szCs w:val="20"/>
              </w:rPr>
              <w:br w:type="textWrapping"/>
            </w:r>
            <w:r>
              <w:rPr>
                <w:rFonts w:hint="eastAsia" w:ascii="宋体" w:hAnsi="宋体" w:cs="宋体"/>
                <w:kern w:val="0"/>
                <w:sz w:val="20"/>
                <w:szCs w:val="20"/>
              </w:rPr>
              <w:t>2) 设定对应霸屏计划的多个对应的场地</w:t>
            </w:r>
            <w:r>
              <w:rPr>
                <w:rFonts w:hint="eastAsia" w:ascii="宋体" w:hAnsi="宋体" w:cs="宋体"/>
                <w:kern w:val="0"/>
                <w:sz w:val="20"/>
                <w:szCs w:val="20"/>
              </w:rPr>
              <w:br w:type="textWrapping"/>
            </w:r>
            <w:r>
              <w:rPr>
                <w:rFonts w:hint="eastAsia" w:ascii="宋体" w:hAnsi="宋体" w:cs="宋体"/>
                <w:kern w:val="0"/>
                <w:sz w:val="20"/>
                <w:szCs w:val="20"/>
              </w:rPr>
              <w:t>9. 场地预约功能</w:t>
            </w:r>
            <w:r>
              <w:rPr>
                <w:rFonts w:hint="eastAsia" w:ascii="宋体" w:hAnsi="宋体" w:cs="宋体"/>
                <w:kern w:val="0"/>
                <w:sz w:val="20"/>
                <w:szCs w:val="20"/>
              </w:rPr>
              <w:br w:type="textWrapping"/>
            </w:r>
            <w:r>
              <w:rPr>
                <w:rFonts w:hint="eastAsia" w:ascii="宋体" w:hAnsi="宋体" w:cs="宋体"/>
                <w:kern w:val="0"/>
                <w:sz w:val="20"/>
                <w:szCs w:val="20"/>
              </w:rPr>
              <w:t>1) 可查看及删除场地预约信息</w:t>
            </w:r>
            <w:r>
              <w:rPr>
                <w:rFonts w:hint="eastAsia" w:ascii="宋体" w:hAnsi="宋体" w:cs="宋体"/>
                <w:kern w:val="0"/>
                <w:sz w:val="20"/>
                <w:szCs w:val="20"/>
              </w:rPr>
              <w:br w:type="textWrapping"/>
            </w:r>
            <w:r>
              <w:rPr>
                <w:rFonts w:hint="eastAsia" w:ascii="宋体" w:hAnsi="宋体" w:cs="宋体"/>
                <w:kern w:val="0"/>
                <w:sz w:val="20"/>
                <w:szCs w:val="20"/>
              </w:rPr>
              <w:t>2) 后台可发起场地预约申请</w:t>
            </w:r>
            <w:r>
              <w:rPr>
                <w:rFonts w:hint="eastAsia" w:ascii="宋体" w:hAnsi="宋体" w:cs="宋体"/>
                <w:kern w:val="0"/>
                <w:sz w:val="20"/>
                <w:szCs w:val="20"/>
              </w:rPr>
              <w:br w:type="textWrapping"/>
            </w:r>
            <w:r>
              <w:rPr>
                <w:rFonts w:hint="eastAsia" w:ascii="宋体" w:hAnsi="宋体" w:cs="宋体"/>
                <w:kern w:val="0"/>
                <w:sz w:val="20"/>
                <w:szCs w:val="20"/>
              </w:rPr>
              <w:t>3） 支持对接教务系统借用结果，并显示教室安排数据</w:t>
            </w:r>
            <w:r>
              <w:rPr>
                <w:rFonts w:hint="eastAsia" w:ascii="宋体" w:hAnsi="宋体" w:cs="宋体"/>
                <w:kern w:val="0"/>
                <w:sz w:val="20"/>
                <w:szCs w:val="20"/>
              </w:rPr>
              <w:br w:type="textWrapping"/>
            </w:r>
            <w:r>
              <w:rPr>
                <w:rFonts w:hint="eastAsia" w:ascii="宋体" w:hAnsi="宋体" w:cs="宋体"/>
                <w:kern w:val="0"/>
                <w:sz w:val="20"/>
                <w:szCs w:val="20"/>
              </w:rPr>
              <w:t>10. 电子班牌管理功能版块（联动设备端）</w:t>
            </w:r>
            <w:r>
              <w:rPr>
                <w:rFonts w:hint="eastAsia" w:ascii="宋体" w:hAnsi="宋体" w:cs="宋体"/>
                <w:kern w:val="0"/>
                <w:sz w:val="20"/>
                <w:szCs w:val="20"/>
              </w:rPr>
              <w:br w:type="textWrapping"/>
            </w:r>
            <w:r>
              <w:rPr>
                <w:rFonts w:hint="eastAsia" w:ascii="宋体" w:hAnsi="宋体" w:cs="宋体"/>
                <w:kern w:val="0"/>
                <w:sz w:val="20"/>
                <w:szCs w:val="20"/>
              </w:rPr>
              <w:t>1) 设备管理功能：查看设备状态情况（在线/离线）</w:t>
            </w:r>
            <w:r>
              <w:rPr>
                <w:rFonts w:hint="eastAsia" w:ascii="宋体" w:hAnsi="宋体" w:cs="宋体"/>
                <w:kern w:val="0"/>
                <w:sz w:val="20"/>
                <w:szCs w:val="20"/>
              </w:rPr>
              <w:br w:type="textWrapping"/>
            </w:r>
            <w:r>
              <w:rPr>
                <w:rFonts w:hint="eastAsia" w:ascii="宋体" w:hAnsi="宋体" w:cs="宋体"/>
                <w:kern w:val="0"/>
                <w:sz w:val="20"/>
                <w:szCs w:val="20"/>
              </w:rPr>
              <w:t>2) 设备对应班级绑定，对应班级数据下发到绑定班牌端</w:t>
            </w:r>
            <w:r>
              <w:rPr>
                <w:rFonts w:hint="eastAsia" w:ascii="宋体" w:hAnsi="宋体" w:cs="宋体"/>
                <w:kern w:val="0"/>
                <w:sz w:val="20"/>
                <w:szCs w:val="20"/>
              </w:rPr>
              <w:br w:type="textWrapping"/>
            </w:r>
            <w:r>
              <w:rPr>
                <w:rFonts w:hint="eastAsia" w:ascii="宋体" w:hAnsi="宋体" w:cs="宋体"/>
                <w:kern w:val="0"/>
                <w:sz w:val="20"/>
                <w:szCs w:val="20"/>
              </w:rPr>
              <w:t>3) 设备当前版本显示，远程更新软件版本</w:t>
            </w:r>
            <w:r>
              <w:rPr>
                <w:rFonts w:hint="eastAsia" w:ascii="宋体" w:hAnsi="宋体" w:cs="宋体"/>
                <w:kern w:val="0"/>
                <w:sz w:val="20"/>
                <w:szCs w:val="20"/>
              </w:rPr>
              <w:br w:type="textWrapping"/>
            </w:r>
            <w:r>
              <w:rPr>
                <w:rFonts w:hint="eastAsia" w:ascii="宋体" w:hAnsi="宋体" w:cs="宋体"/>
                <w:kern w:val="0"/>
                <w:sz w:val="20"/>
                <w:szCs w:val="20"/>
              </w:rPr>
              <w:t>4) 设备可自定义主页面布局，设定布局计划，按照自主需求挑选系统内已有的标准模块，拉动到主页内，进行自定义布局设计</w:t>
            </w:r>
            <w:r>
              <w:rPr>
                <w:rFonts w:hint="eastAsia" w:ascii="宋体" w:hAnsi="宋体" w:cs="宋体"/>
                <w:kern w:val="0"/>
                <w:sz w:val="20"/>
                <w:szCs w:val="20"/>
              </w:rPr>
              <w:br w:type="textWrapping"/>
            </w:r>
            <w:r>
              <w:rPr>
                <w:rFonts w:hint="eastAsia" w:ascii="宋体" w:hAnsi="宋体" w:cs="宋体"/>
                <w:kern w:val="0"/>
                <w:sz w:val="20"/>
                <w:szCs w:val="20"/>
              </w:rPr>
              <w:t>5) 远程设置定时开关机，针对性制定开关机计划，灵活应对各个年级设备</w:t>
            </w:r>
            <w:r>
              <w:rPr>
                <w:rFonts w:hint="eastAsia" w:ascii="宋体" w:hAnsi="宋体" w:cs="宋体"/>
                <w:kern w:val="0"/>
                <w:sz w:val="20"/>
                <w:szCs w:val="20"/>
              </w:rPr>
              <w:br w:type="textWrapping"/>
            </w:r>
            <w:r>
              <w:rPr>
                <w:rFonts w:hint="eastAsia" w:ascii="宋体" w:hAnsi="宋体" w:cs="宋体"/>
                <w:kern w:val="0"/>
                <w:sz w:val="20"/>
                <w:szCs w:val="20"/>
              </w:rPr>
              <w:t>6) 可实时对设备进行远程重启</w:t>
            </w:r>
            <w:r>
              <w:rPr>
                <w:rFonts w:hint="eastAsia" w:ascii="宋体" w:hAnsi="宋体" w:cs="宋体"/>
                <w:kern w:val="0"/>
                <w:sz w:val="20"/>
                <w:szCs w:val="20"/>
              </w:rPr>
              <w:br w:type="textWrapping"/>
            </w:r>
            <w:r>
              <w:rPr>
                <w:rFonts w:hint="eastAsia" w:ascii="宋体" w:hAnsi="宋体" w:cs="宋体"/>
                <w:kern w:val="0"/>
                <w:sz w:val="20"/>
                <w:szCs w:val="20"/>
              </w:rPr>
              <w:t>7）和校园文化电子屏为同一管理后台</w:t>
            </w:r>
            <w:r>
              <w:rPr>
                <w:rFonts w:hint="eastAsia" w:ascii="宋体" w:hAnsi="宋体" w:cs="宋体"/>
                <w:kern w:val="0"/>
                <w:sz w:val="20"/>
                <w:szCs w:val="20"/>
              </w:rPr>
              <w:br w:type="textWrapping"/>
            </w:r>
            <w:r>
              <w:rPr>
                <w:rFonts w:hint="eastAsia" w:ascii="宋体" w:hAnsi="宋体" w:cs="宋体"/>
                <w:kern w:val="0"/>
                <w:sz w:val="20"/>
                <w:szCs w:val="20"/>
              </w:rPr>
              <w:t>11.和教务系统、智慧教学平台、中控系统、考务系统、宣传部门系统对接，做到互联互通、数据共享。</w:t>
            </w:r>
          </w:p>
        </w:tc>
        <w:tc>
          <w:tcPr>
            <w:tcW w:w="328" w:type="pct"/>
            <w:tcBorders>
              <w:top w:val="single" w:color="auto" w:sz="4" w:space="0"/>
              <w:left w:val="nil"/>
              <w:bottom w:val="single" w:color="auto" w:sz="4" w:space="0"/>
              <w:right w:val="single" w:color="auto" w:sz="4" w:space="0"/>
            </w:tcBorders>
            <w:vAlign w:val="center"/>
          </w:tcPr>
          <w:p w14:paraId="221B6BD9">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694" w:type="pct"/>
            <w:tcBorders>
              <w:top w:val="single" w:color="auto" w:sz="4" w:space="0"/>
              <w:left w:val="nil"/>
              <w:bottom w:val="single" w:color="auto" w:sz="4" w:space="0"/>
              <w:right w:val="single" w:color="auto" w:sz="4" w:space="0"/>
            </w:tcBorders>
            <w:vAlign w:val="center"/>
          </w:tcPr>
          <w:p w14:paraId="110517B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480" w:type="pct"/>
            <w:tcBorders>
              <w:top w:val="single" w:color="auto" w:sz="4" w:space="0"/>
              <w:left w:val="nil"/>
              <w:bottom w:val="single" w:color="auto" w:sz="4" w:space="0"/>
              <w:right w:val="single" w:color="auto" w:sz="4" w:space="0"/>
            </w:tcBorders>
            <w:vAlign w:val="center"/>
          </w:tcPr>
          <w:p w14:paraId="0B6A62B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r>
    </w:tbl>
    <w:p w14:paraId="2016F929">
      <w:pPr>
        <w:pStyle w:val="16"/>
      </w:pPr>
    </w:p>
    <w:p w14:paraId="2C61540A"/>
    <w:p w14:paraId="2CE1DBAD">
      <w:pPr>
        <w:pStyle w:val="42"/>
        <w:ind w:firstLine="280"/>
        <w:sectPr>
          <w:headerReference r:id="rId10" w:type="default"/>
          <w:pgSz w:w="11920" w:h="16840"/>
          <w:pgMar w:top="1440" w:right="1800" w:bottom="1440" w:left="1800" w:header="851" w:footer="992" w:gutter="0"/>
          <w:pgBorders>
            <w:top w:val="none" w:sz="0" w:space="0"/>
            <w:left w:val="none" w:sz="0" w:space="0"/>
            <w:bottom w:val="none" w:sz="0" w:space="0"/>
            <w:right w:val="none" w:sz="0" w:space="0"/>
          </w:pgBorders>
          <w:cols w:space="720" w:num="1"/>
          <w:docGrid w:linePitch="312" w:charSpace="0"/>
        </w:sectPr>
      </w:pPr>
    </w:p>
    <w:p w14:paraId="6FB53FBB">
      <w:pPr>
        <w:pStyle w:val="80"/>
        <w:spacing w:before="240" w:after="120"/>
        <w:rPr>
          <w:rFonts w:hint="eastAsia" w:ascii="宋体" w:hAnsi="宋体" w:eastAsia="宋体" w:cstheme="minorEastAsia"/>
          <w:szCs w:val="21"/>
        </w:rPr>
      </w:pPr>
      <w:bookmarkStart w:id="663" w:name="_Toc214432850"/>
      <w:r>
        <w:rPr>
          <w:rFonts w:hint="eastAsia" w:ascii="宋体" w:hAnsi="宋体" w:eastAsia="宋体" w:cs="宋体"/>
          <w:b/>
          <w:bCs w:val="0"/>
          <w:kern w:val="0"/>
          <w:sz w:val="28"/>
          <w:szCs w:val="28"/>
        </w:rPr>
        <w:t>第六章</w:t>
      </w:r>
      <w:r>
        <w:rPr>
          <w:rFonts w:ascii="宋体" w:hAnsi="宋体" w:eastAsia="宋体" w:cs="宋体"/>
          <w:b/>
          <w:bCs w:val="0"/>
          <w:kern w:val="0"/>
          <w:sz w:val="28"/>
          <w:szCs w:val="28"/>
        </w:rPr>
        <w:t xml:space="preserve"> </w:t>
      </w:r>
      <w:r>
        <w:rPr>
          <w:rFonts w:hint="eastAsia" w:ascii="宋体" w:hAnsi="宋体" w:eastAsia="宋体" w:cs="宋体"/>
          <w:b/>
          <w:bCs w:val="0"/>
          <w:kern w:val="0"/>
          <w:sz w:val="28"/>
          <w:szCs w:val="28"/>
        </w:rPr>
        <w:t>投标文件格式</w:t>
      </w:r>
      <w:bookmarkEnd w:id="661"/>
      <w:bookmarkEnd w:id="662"/>
      <w:bookmarkEnd w:id="663"/>
    </w:p>
    <w:p w14:paraId="175AD881">
      <w:pPr>
        <w:rPr>
          <w:rFonts w:hint="eastAsia" w:ascii="宋体" w:hAnsi="宋体"/>
        </w:rPr>
      </w:pPr>
    </w:p>
    <w:p w14:paraId="1330922D">
      <w:pPr>
        <w:pStyle w:val="42"/>
        <w:ind w:firstLine="280"/>
        <w:rPr>
          <w:rFonts w:hint="eastAsia" w:ascii="宋体" w:hAnsi="宋体"/>
        </w:rPr>
      </w:pPr>
    </w:p>
    <w:p w14:paraId="49647C7F">
      <w:pPr>
        <w:pStyle w:val="3"/>
        <w:numPr>
          <w:ilvl w:val="0"/>
          <w:numId w:val="4"/>
        </w:numPr>
        <w:spacing w:line="415" w:lineRule="auto"/>
        <w:ind w:left="0" w:firstLine="562" w:firstLineChars="200"/>
        <w:jc w:val="center"/>
        <w:rPr>
          <w:rFonts w:hint="eastAsia" w:ascii="宋体" w:hAnsi="宋体" w:eastAsia="宋体"/>
          <w:sz w:val="28"/>
          <w:szCs w:val="28"/>
        </w:rPr>
      </w:pPr>
      <w:bookmarkStart w:id="664" w:name="_Toc477863040"/>
      <w:bookmarkStart w:id="665" w:name="_Toc214432851"/>
      <w:r>
        <w:rPr>
          <w:rFonts w:hint="eastAsia" w:ascii="宋体" w:hAnsi="宋体" w:eastAsia="宋体"/>
          <w:sz w:val="28"/>
          <w:szCs w:val="28"/>
        </w:rPr>
        <w:t>投标文件封面</w:t>
      </w:r>
      <w:bookmarkEnd w:id="664"/>
      <w:bookmarkEnd w:id="665"/>
    </w:p>
    <w:p w14:paraId="2F08FE29">
      <w:pPr>
        <w:spacing w:line="360" w:lineRule="atLeast"/>
        <w:jc w:val="center"/>
        <w:rPr>
          <w:rFonts w:hint="eastAsia" w:ascii="宋体" w:hAnsi="宋体"/>
          <w:b/>
          <w:sz w:val="32"/>
          <w:szCs w:val="32"/>
        </w:rPr>
      </w:pPr>
      <w:r>
        <w:rPr>
          <w:rFonts w:ascii="宋体" w:hAnsi="宋体"/>
          <w:b/>
          <w:sz w:val="32"/>
          <w:szCs w:val="32"/>
          <w:u w:val="single"/>
        </w:rPr>
        <w:t xml:space="preserve">                       </w:t>
      </w:r>
      <w:r>
        <w:rPr>
          <w:rFonts w:hint="eastAsia" w:ascii="宋体" w:hAnsi="宋体"/>
          <w:b/>
          <w:sz w:val="32"/>
          <w:szCs w:val="32"/>
        </w:rPr>
        <w:t>（项目名称）</w:t>
      </w:r>
    </w:p>
    <w:p w14:paraId="029C236E">
      <w:pPr>
        <w:spacing w:line="360" w:lineRule="atLeast"/>
        <w:jc w:val="center"/>
        <w:rPr>
          <w:rFonts w:hint="eastAsia" w:ascii="宋体" w:hAnsi="宋体"/>
          <w:b/>
          <w:sz w:val="32"/>
          <w:szCs w:val="32"/>
        </w:rPr>
      </w:pPr>
    </w:p>
    <w:p w14:paraId="21175DF6">
      <w:pPr>
        <w:spacing w:line="360" w:lineRule="atLeast"/>
        <w:jc w:val="center"/>
        <w:rPr>
          <w:rFonts w:hint="eastAsia" w:ascii="宋体" w:hAnsi="宋体"/>
          <w:b/>
          <w:sz w:val="32"/>
          <w:szCs w:val="32"/>
        </w:rPr>
      </w:pPr>
      <w:r>
        <w:rPr>
          <w:rFonts w:hint="eastAsia" w:ascii="宋体" w:hAnsi="宋体"/>
          <w:b/>
          <w:sz w:val="32"/>
          <w:szCs w:val="32"/>
        </w:rPr>
        <w:t xml:space="preserve">招标代理机构编号：04-06-04A-2025-D-F-E31782 </w:t>
      </w:r>
    </w:p>
    <w:p w14:paraId="760F833A">
      <w:pPr>
        <w:jc w:val="center"/>
        <w:rPr>
          <w:rFonts w:hint="eastAsia" w:ascii="宋体" w:hAnsi="宋体" w:cs="宋体"/>
          <w:b/>
          <w:sz w:val="32"/>
          <w:szCs w:val="32"/>
        </w:rPr>
      </w:pPr>
    </w:p>
    <w:p w14:paraId="5678508C">
      <w:pPr>
        <w:jc w:val="center"/>
        <w:rPr>
          <w:rFonts w:hint="eastAsia" w:ascii="宋体" w:hAnsi="宋体" w:cs="宋体"/>
          <w:b/>
          <w:sz w:val="32"/>
          <w:szCs w:val="32"/>
        </w:rPr>
      </w:pPr>
    </w:p>
    <w:p w14:paraId="60B6DD47">
      <w:pPr>
        <w:jc w:val="center"/>
        <w:rPr>
          <w:rFonts w:hint="eastAsia" w:ascii="宋体" w:hAnsi="宋体" w:cs="宋体"/>
          <w:b/>
          <w:sz w:val="32"/>
          <w:szCs w:val="32"/>
        </w:rPr>
      </w:pPr>
    </w:p>
    <w:p w14:paraId="6253E580">
      <w:pPr>
        <w:jc w:val="center"/>
        <w:rPr>
          <w:rFonts w:hint="eastAsia" w:ascii="宋体" w:hAnsi="宋体" w:cs="宋体"/>
          <w:b/>
          <w:sz w:val="32"/>
          <w:szCs w:val="32"/>
        </w:rPr>
      </w:pPr>
    </w:p>
    <w:p w14:paraId="4798513E">
      <w:pPr>
        <w:jc w:val="center"/>
        <w:rPr>
          <w:rFonts w:hint="eastAsia" w:ascii="宋体" w:hAnsi="宋体" w:cs="宋体"/>
          <w:b/>
          <w:sz w:val="44"/>
          <w:szCs w:val="44"/>
        </w:rPr>
      </w:pPr>
      <w:r>
        <w:rPr>
          <w:rFonts w:hint="eastAsia" w:ascii="宋体" w:hAnsi="宋体" w:cs="宋体"/>
          <w:b/>
          <w:sz w:val="44"/>
          <w:szCs w:val="44"/>
        </w:rPr>
        <w:t>投标文件</w:t>
      </w:r>
    </w:p>
    <w:p w14:paraId="39718706">
      <w:pPr>
        <w:jc w:val="center"/>
        <w:rPr>
          <w:rFonts w:hint="eastAsia" w:ascii="宋体" w:hAnsi="宋体" w:cs="宋体"/>
          <w:b/>
          <w:sz w:val="32"/>
          <w:szCs w:val="32"/>
        </w:rPr>
      </w:pPr>
    </w:p>
    <w:p w14:paraId="5355C04E">
      <w:pPr>
        <w:jc w:val="center"/>
        <w:rPr>
          <w:rFonts w:hint="eastAsia" w:ascii="宋体" w:hAnsi="宋体" w:cs="宋体"/>
          <w:b/>
          <w:sz w:val="32"/>
          <w:szCs w:val="32"/>
        </w:rPr>
      </w:pPr>
    </w:p>
    <w:p w14:paraId="1BBF42FC">
      <w:pPr>
        <w:jc w:val="center"/>
        <w:rPr>
          <w:rFonts w:hint="eastAsia" w:ascii="宋体" w:hAnsi="宋体" w:cs="宋体"/>
          <w:b/>
          <w:sz w:val="32"/>
          <w:szCs w:val="32"/>
        </w:rPr>
      </w:pPr>
    </w:p>
    <w:p w14:paraId="13797E70">
      <w:pPr>
        <w:jc w:val="center"/>
        <w:rPr>
          <w:rFonts w:hint="eastAsia" w:ascii="宋体" w:hAnsi="宋体" w:cs="宋体"/>
          <w:b/>
          <w:sz w:val="32"/>
          <w:szCs w:val="32"/>
        </w:rPr>
      </w:pPr>
    </w:p>
    <w:p w14:paraId="36F44DB4">
      <w:pPr>
        <w:jc w:val="center"/>
        <w:rPr>
          <w:rFonts w:hint="eastAsia" w:ascii="宋体" w:hAnsi="宋体" w:cs="宋体"/>
          <w:b/>
          <w:sz w:val="32"/>
          <w:szCs w:val="32"/>
        </w:rPr>
      </w:pPr>
    </w:p>
    <w:p w14:paraId="5555C303">
      <w:pPr>
        <w:jc w:val="center"/>
        <w:rPr>
          <w:rFonts w:hint="eastAsia" w:ascii="宋体" w:hAnsi="宋体" w:cs="宋体"/>
          <w:b/>
          <w:sz w:val="28"/>
          <w:szCs w:val="28"/>
        </w:rPr>
      </w:pPr>
    </w:p>
    <w:p w14:paraId="56273503">
      <w:pPr>
        <w:adjustRightInd w:val="0"/>
        <w:snapToGrid w:val="0"/>
        <w:spacing w:line="440" w:lineRule="exact"/>
        <w:jc w:val="center"/>
        <w:rPr>
          <w:rFonts w:hint="eastAsia" w:ascii="宋体" w:hAnsi="宋体" w:cs="宋体"/>
          <w:b/>
          <w:sz w:val="28"/>
          <w:szCs w:val="28"/>
        </w:rPr>
      </w:pPr>
      <w:r>
        <w:rPr>
          <w:rFonts w:hint="eastAsia" w:ascii="宋体" w:hAnsi="宋体" w:cs="宋体"/>
          <w:b/>
          <w:sz w:val="28"/>
          <w:szCs w:val="28"/>
        </w:rPr>
        <w:t>投标人名称：</w:t>
      </w:r>
      <w:r>
        <w:rPr>
          <w:rFonts w:ascii="宋体" w:hAnsi="宋体" w:cs="宋体"/>
          <w:b/>
          <w:sz w:val="28"/>
          <w:szCs w:val="28"/>
          <w:u w:val="single"/>
        </w:rPr>
        <w:t xml:space="preserve">     </w:t>
      </w:r>
      <w:r>
        <w:rPr>
          <w:rFonts w:hint="eastAsia" w:ascii="宋体" w:hAnsi="宋体" w:cs="宋体"/>
          <w:b/>
          <w:sz w:val="28"/>
          <w:szCs w:val="28"/>
        </w:rPr>
        <w:t>（盖单位章）</w:t>
      </w:r>
    </w:p>
    <w:p w14:paraId="392995A6">
      <w:pPr>
        <w:adjustRightInd w:val="0"/>
        <w:snapToGrid w:val="0"/>
        <w:spacing w:line="440" w:lineRule="exact"/>
        <w:ind w:firstLine="1195" w:firstLineChars="425"/>
        <w:rPr>
          <w:rFonts w:hint="eastAsia" w:ascii="宋体" w:hAnsi="宋体" w:cs="宋体"/>
          <w:b/>
          <w:sz w:val="28"/>
          <w:szCs w:val="28"/>
        </w:rPr>
      </w:pPr>
    </w:p>
    <w:p w14:paraId="0B5EC7D1">
      <w:pPr>
        <w:adjustRightInd w:val="0"/>
        <w:snapToGrid w:val="0"/>
        <w:spacing w:line="440" w:lineRule="exact"/>
        <w:rPr>
          <w:rFonts w:hint="eastAsia" w:ascii="宋体" w:hAnsi="宋体" w:cs="宋体"/>
          <w:b/>
          <w:sz w:val="28"/>
          <w:szCs w:val="28"/>
          <w:u w:val="single"/>
        </w:rPr>
      </w:pPr>
      <w:r>
        <w:rPr>
          <w:rFonts w:hint="eastAsia" w:ascii="宋体" w:hAnsi="宋体" w:cs="宋体"/>
          <w:b/>
          <w:sz w:val="28"/>
          <w:szCs w:val="28"/>
        </w:rPr>
        <w:t>法定代表人（负责人）或者其委托代理人：</w:t>
      </w:r>
      <w:r>
        <w:rPr>
          <w:rFonts w:ascii="宋体" w:hAnsi="宋体" w:cs="宋体"/>
          <w:b/>
          <w:sz w:val="28"/>
          <w:szCs w:val="28"/>
          <w:u w:val="single"/>
        </w:rPr>
        <w:t xml:space="preserve">     </w:t>
      </w:r>
      <w:r>
        <w:rPr>
          <w:rFonts w:hint="eastAsia" w:ascii="宋体" w:hAnsi="宋体" w:cs="宋体"/>
          <w:b/>
          <w:sz w:val="28"/>
          <w:szCs w:val="28"/>
        </w:rPr>
        <w:t>（签字）</w:t>
      </w:r>
    </w:p>
    <w:p w14:paraId="4E244D7B">
      <w:pPr>
        <w:adjustRightInd w:val="0"/>
        <w:snapToGrid w:val="0"/>
        <w:spacing w:line="440" w:lineRule="exact"/>
        <w:ind w:firstLine="1405" w:firstLineChars="500"/>
        <w:jc w:val="left"/>
        <w:rPr>
          <w:rFonts w:hint="eastAsia" w:ascii="宋体" w:hAnsi="宋体" w:cs="宋体"/>
          <w:b/>
          <w:sz w:val="28"/>
          <w:szCs w:val="28"/>
        </w:rPr>
      </w:pPr>
    </w:p>
    <w:p w14:paraId="61BD3622">
      <w:pPr>
        <w:adjustRightInd w:val="0"/>
        <w:snapToGrid w:val="0"/>
        <w:spacing w:line="440" w:lineRule="exact"/>
        <w:jc w:val="center"/>
        <w:rPr>
          <w:rFonts w:hint="eastAsia" w:ascii="宋体" w:hAnsi="宋体"/>
          <w:b/>
          <w:bCs/>
          <w:sz w:val="32"/>
          <w:szCs w:val="32"/>
        </w:rPr>
      </w:pPr>
      <w:r>
        <w:rPr>
          <w:rFonts w:ascii="宋体" w:hAnsi="宋体" w:cs="宋体"/>
          <w:b/>
          <w:sz w:val="28"/>
          <w:szCs w:val="28"/>
        </w:rPr>
        <w:t xml:space="preserve"> </w:t>
      </w:r>
      <w:r>
        <w:rPr>
          <w:rFonts w:ascii="宋体" w:hAnsi="宋体" w:cs="宋体"/>
          <w:b/>
          <w:sz w:val="28"/>
          <w:szCs w:val="28"/>
          <w:u w:val="single"/>
        </w:rPr>
        <w:t xml:space="preserve">     </w:t>
      </w:r>
      <w:r>
        <w:rPr>
          <w:rFonts w:hint="eastAsia" w:ascii="宋体" w:hAnsi="宋体" w:cs="宋体"/>
          <w:b/>
          <w:sz w:val="28"/>
          <w:szCs w:val="28"/>
        </w:rPr>
        <w:t>年</w:t>
      </w:r>
      <w:r>
        <w:rPr>
          <w:rFonts w:ascii="宋体" w:hAnsi="宋体" w:cs="宋体"/>
          <w:b/>
          <w:sz w:val="28"/>
          <w:szCs w:val="28"/>
          <w:u w:val="single"/>
        </w:rPr>
        <w:t xml:space="preserve">    </w:t>
      </w:r>
      <w:r>
        <w:rPr>
          <w:rFonts w:hint="eastAsia" w:ascii="宋体" w:hAnsi="宋体" w:cs="宋体"/>
          <w:b/>
          <w:sz w:val="28"/>
          <w:szCs w:val="28"/>
        </w:rPr>
        <w:t>月</w:t>
      </w:r>
      <w:r>
        <w:rPr>
          <w:rFonts w:ascii="宋体" w:hAnsi="宋体" w:cs="宋体"/>
          <w:b/>
          <w:sz w:val="28"/>
          <w:szCs w:val="28"/>
          <w:u w:val="single"/>
        </w:rPr>
        <w:t xml:space="preserve">     </w:t>
      </w:r>
      <w:r>
        <w:rPr>
          <w:rFonts w:hint="eastAsia" w:ascii="宋体" w:hAnsi="宋体" w:cs="宋体"/>
          <w:b/>
          <w:sz w:val="28"/>
          <w:szCs w:val="28"/>
        </w:rPr>
        <w:t>日</w:t>
      </w:r>
      <w:bookmarkStart w:id="666" w:name="_Toc477863041"/>
      <w:r>
        <w:rPr>
          <w:rFonts w:ascii="宋体" w:hAnsi="宋体" w:cs="宋体"/>
          <w:sz w:val="24"/>
        </w:rPr>
        <w:br w:type="page"/>
      </w:r>
    </w:p>
    <w:p w14:paraId="32D29703">
      <w:pPr>
        <w:pStyle w:val="3"/>
        <w:numPr>
          <w:ilvl w:val="0"/>
          <w:numId w:val="4"/>
        </w:numPr>
        <w:spacing w:before="0" w:after="0" w:line="360" w:lineRule="auto"/>
        <w:ind w:left="562" w:hanging="562" w:hangingChars="200"/>
        <w:jc w:val="center"/>
        <w:rPr>
          <w:rFonts w:hint="eastAsia" w:ascii="宋体" w:hAnsi="宋体" w:eastAsia="宋体"/>
          <w:sz w:val="28"/>
          <w:szCs w:val="28"/>
        </w:rPr>
      </w:pPr>
      <w:bookmarkStart w:id="667" w:name="_Toc214432852"/>
      <w:r>
        <w:rPr>
          <w:rFonts w:hint="eastAsia" w:ascii="宋体" w:hAnsi="宋体" w:eastAsia="宋体"/>
          <w:sz w:val="28"/>
          <w:szCs w:val="28"/>
        </w:rPr>
        <w:t>评审索引表</w:t>
      </w:r>
      <w:bookmarkEnd w:id="666"/>
      <w:bookmarkEnd w:id="667"/>
    </w:p>
    <w:p w14:paraId="53F80DB4">
      <w:pPr>
        <w:spacing w:after="0" w:line="360" w:lineRule="auto"/>
        <w:ind w:firstLine="422" w:firstLineChars="200"/>
        <w:rPr>
          <w:rFonts w:hint="eastAsia" w:ascii="宋体" w:hAnsi="宋体"/>
          <w:b/>
          <w:szCs w:val="21"/>
        </w:rPr>
      </w:pPr>
      <w:r>
        <w:rPr>
          <w:rFonts w:hint="eastAsia" w:ascii="宋体" w:hAnsi="宋体"/>
          <w:b/>
          <w:szCs w:val="21"/>
        </w:rPr>
        <w:t>（注：下表评审内容和评审项目须和本文件第三章《评审办法》的评审内容和评审项目一致，投标人须如实填写投标的情况。）</w:t>
      </w:r>
    </w:p>
    <w:p w14:paraId="6E329465">
      <w:pPr>
        <w:pStyle w:val="42"/>
        <w:spacing w:after="0" w:line="360" w:lineRule="auto"/>
        <w:ind w:firstLine="211"/>
        <w:jc w:val="center"/>
        <w:rPr>
          <w:rFonts w:hint="eastAsia" w:ascii="宋体" w:hAnsi="宋体"/>
          <w:b/>
          <w:sz w:val="21"/>
          <w:szCs w:val="21"/>
        </w:rPr>
      </w:pPr>
      <w:r>
        <w:rPr>
          <w:rFonts w:hint="eastAsia" w:ascii="宋体" w:hAnsi="宋体"/>
          <w:b/>
          <w:sz w:val="21"/>
          <w:szCs w:val="21"/>
        </w:rPr>
        <w:t>初步评审索引表</w:t>
      </w:r>
    </w:p>
    <w:tbl>
      <w:tblPr>
        <w:tblStyle w:val="4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83"/>
        <w:gridCol w:w="7419"/>
        <w:gridCol w:w="434"/>
      </w:tblGrid>
      <w:tr w14:paraId="5BA6A4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1" w:hRule="atLeast"/>
          <w:jc w:val="center"/>
        </w:trPr>
        <w:tc>
          <w:tcPr>
            <w:tcW w:w="0" w:type="auto"/>
            <w:tcBorders>
              <w:top w:val="single" w:color="auto" w:sz="4" w:space="0"/>
              <w:bottom w:val="single" w:color="auto" w:sz="4" w:space="0"/>
              <w:right w:val="single" w:color="auto" w:sz="4" w:space="0"/>
            </w:tcBorders>
            <w:vAlign w:val="center"/>
          </w:tcPr>
          <w:p w14:paraId="2573D703">
            <w:pPr>
              <w:adjustRightInd w:val="0"/>
              <w:snapToGrid w:val="0"/>
              <w:spacing w:after="0" w:line="240" w:lineRule="auto"/>
              <w:jc w:val="center"/>
              <w:rPr>
                <w:rFonts w:hint="eastAsia" w:ascii="宋体" w:hAnsi="宋体"/>
                <w:b/>
                <w:sz w:val="18"/>
                <w:szCs w:val="21"/>
              </w:rPr>
            </w:pPr>
            <w:r>
              <w:rPr>
                <w:rFonts w:hint="eastAsia" w:ascii="宋体" w:hAnsi="宋体"/>
                <w:b/>
                <w:sz w:val="18"/>
                <w:szCs w:val="21"/>
              </w:rPr>
              <w:t>审查项</w:t>
            </w:r>
          </w:p>
        </w:tc>
        <w:tc>
          <w:tcPr>
            <w:tcW w:w="0" w:type="auto"/>
            <w:tcBorders>
              <w:top w:val="single" w:color="auto" w:sz="4" w:space="0"/>
              <w:left w:val="single" w:color="auto" w:sz="4" w:space="0"/>
              <w:bottom w:val="single" w:color="auto" w:sz="4" w:space="0"/>
              <w:right w:val="single" w:color="auto" w:sz="4" w:space="0"/>
            </w:tcBorders>
            <w:vAlign w:val="center"/>
          </w:tcPr>
          <w:p w14:paraId="680C4C5A">
            <w:pPr>
              <w:adjustRightInd w:val="0"/>
              <w:snapToGrid w:val="0"/>
              <w:spacing w:after="0" w:line="240" w:lineRule="auto"/>
              <w:jc w:val="center"/>
              <w:rPr>
                <w:rFonts w:hint="eastAsia" w:ascii="宋体" w:hAnsi="宋体"/>
                <w:b/>
                <w:sz w:val="18"/>
                <w:szCs w:val="21"/>
              </w:rPr>
            </w:pPr>
            <w:r>
              <w:rPr>
                <w:rFonts w:hint="eastAsia" w:ascii="宋体" w:hAnsi="宋体"/>
                <w:b/>
                <w:sz w:val="18"/>
                <w:szCs w:val="21"/>
              </w:rPr>
              <w:t>评审标准</w:t>
            </w:r>
          </w:p>
        </w:tc>
        <w:tc>
          <w:tcPr>
            <w:tcW w:w="0" w:type="auto"/>
            <w:tcBorders>
              <w:top w:val="single" w:color="auto" w:sz="4" w:space="0"/>
              <w:left w:val="single" w:color="auto" w:sz="4" w:space="0"/>
              <w:bottom w:val="single" w:color="auto" w:sz="4" w:space="0"/>
              <w:right w:val="single" w:color="auto" w:sz="4" w:space="0"/>
            </w:tcBorders>
            <w:vAlign w:val="center"/>
          </w:tcPr>
          <w:p w14:paraId="3ADA16BA">
            <w:pPr>
              <w:widowControl/>
              <w:adjustRightInd w:val="0"/>
              <w:snapToGrid w:val="0"/>
              <w:spacing w:after="0" w:line="240" w:lineRule="auto"/>
              <w:jc w:val="center"/>
              <w:rPr>
                <w:rFonts w:hint="eastAsia" w:ascii="宋体" w:hAnsi="宋体" w:cs="宋体"/>
                <w:b/>
                <w:bCs/>
                <w:kern w:val="0"/>
                <w:sz w:val="18"/>
                <w:szCs w:val="22"/>
              </w:rPr>
            </w:pPr>
            <w:r>
              <w:rPr>
                <w:rFonts w:hint="eastAsia" w:ascii="宋体" w:hAnsi="宋体" w:cs="宋体"/>
                <w:b/>
                <w:bCs/>
                <w:kern w:val="0"/>
                <w:sz w:val="18"/>
                <w:szCs w:val="22"/>
              </w:rPr>
              <w:t>页码</w:t>
            </w:r>
          </w:p>
        </w:tc>
      </w:tr>
      <w:tr w14:paraId="224C5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0" w:hRule="atLeast"/>
          <w:jc w:val="center"/>
        </w:trPr>
        <w:tc>
          <w:tcPr>
            <w:tcW w:w="683" w:type="dxa"/>
            <w:vMerge w:val="restart"/>
            <w:tcBorders>
              <w:top w:val="single" w:color="auto" w:sz="4" w:space="0"/>
              <w:bottom w:val="single" w:color="auto" w:sz="4" w:space="0"/>
              <w:right w:val="single" w:color="auto" w:sz="4" w:space="0"/>
            </w:tcBorders>
            <w:vAlign w:val="center"/>
          </w:tcPr>
          <w:p w14:paraId="2313E8A2">
            <w:pPr>
              <w:adjustRightInd w:val="0"/>
              <w:snapToGrid w:val="0"/>
              <w:spacing w:after="0" w:line="240" w:lineRule="auto"/>
              <w:jc w:val="center"/>
              <w:rPr>
                <w:rFonts w:hint="eastAsia" w:ascii="宋体" w:hAnsi="宋体"/>
                <w:szCs w:val="21"/>
              </w:rPr>
            </w:pPr>
            <w:r>
              <w:rPr>
                <w:rFonts w:ascii="宋体" w:hAnsi="宋体"/>
                <w:szCs w:val="21"/>
              </w:rPr>
              <w:t>资格</w:t>
            </w:r>
            <w:r>
              <w:rPr>
                <w:rFonts w:hint="eastAsia" w:ascii="宋体" w:hAnsi="宋体"/>
                <w:szCs w:val="21"/>
                <w:lang w:val="en-US" w:eastAsia="zh-CN"/>
              </w:rPr>
              <w:t>性</w:t>
            </w:r>
            <w:r>
              <w:rPr>
                <w:rFonts w:ascii="宋体" w:hAnsi="宋体"/>
                <w:szCs w:val="21"/>
              </w:rPr>
              <w:t>评审</w:t>
            </w:r>
          </w:p>
        </w:tc>
        <w:tc>
          <w:tcPr>
            <w:tcW w:w="7419" w:type="dxa"/>
            <w:tcBorders>
              <w:top w:val="single" w:color="auto" w:sz="4" w:space="0"/>
              <w:left w:val="single" w:color="auto" w:sz="4" w:space="0"/>
              <w:bottom w:val="single" w:color="auto" w:sz="4" w:space="0"/>
              <w:right w:val="single" w:color="auto" w:sz="4" w:space="0"/>
            </w:tcBorders>
            <w:vAlign w:val="center"/>
          </w:tcPr>
          <w:p w14:paraId="4DD05236">
            <w:pPr>
              <w:tabs>
                <w:tab w:val="left" w:pos="357"/>
              </w:tabs>
              <w:adjustRightInd w:val="0"/>
              <w:snapToGrid w:val="0"/>
              <w:spacing w:after="0" w:line="240" w:lineRule="auto"/>
              <w:jc w:val="left"/>
              <w:rPr>
                <w:rFonts w:hint="eastAsia" w:ascii="宋体" w:hAnsi="宋体" w:cs="宋体"/>
                <w:kern w:val="0"/>
                <w:sz w:val="22"/>
                <w:szCs w:val="22"/>
              </w:rPr>
            </w:pPr>
            <w:r>
              <w:rPr>
                <w:rFonts w:hint="eastAsia" w:ascii="宋体" w:hAnsi="宋体"/>
                <w:szCs w:val="21"/>
              </w:rPr>
              <w:t>1、投标人必须是具有独立承担民事责任能力的在中华人民共和国境内注册的法人或其他组织，提供有效的营业执照或法人登记证书复印件。</w:t>
            </w:r>
          </w:p>
        </w:tc>
        <w:tc>
          <w:tcPr>
            <w:tcW w:w="0" w:type="auto"/>
            <w:tcBorders>
              <w:top w:val="single" w:color="auto" w:sz="4" w:space="0"/>
              <w:left w:val="single" w:color="auto" w:sz="4" w:space="0"/>
              <w:bottom w:val="single" w:color="auto" w:sz="4" w:space="0"/>
              <w:right w:val="single" w:color="auto" w:sz="4" w:space="0"/>
            </w:tcBorders>
            <w:vAlign w:val="center"/>
          </w:tcPr>
          <w:p w14:paraId="4BEEC6C5">
            <w:pPr>
              <w:adjustRightInd w:val="0"/>
              <w:snapToGrid w:val="0"/>
              <w:spacing w:after="0" w:line="240" w:lineRule="auto"/>
              <w:ind w:left="330" w:hanging="330" w:hangingChars="150"/>
              <w:jc w:val="center"/>
              <w:rPr>
                <w:rFonts w:hint="eastAsia" w:ascii="宋体" w:hAnsi="宋体" w:cs="宋体"/>
                <w:kern w:val="0"/>
                <w:sz w:val="22"/>
                <w:szCs w:val="22"/>
              </w:rPr>
            </w:pPr>
          </w:p>
        </w:tc>
      </w:tr>
      <w:tr w14:paraId="4DE0E3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6" w:hRule="atLeast"/>
          <w:jc w:val="center"/>
        </w:trPr>
        <w:tc>
          <w:tcPr>
            <w:tcW w:w="683" w:type="dxa"/>
            <w:vMerge w:val="continue"/>
            <w:tcBorders>
              <w:top w:val="single" w:color="auto" w:sz="4" w:space="0"/>
              <w:bottom w:val="single" w:color="auto" w:sz="4" w:space="0"/>
              <w:right w:val="single" w:color="auto" w:sz="4" w:space="0"/>
            </w:tcBorders>
            <w:vAlign w:val="center"/>
          </w:tcPr>
          <w:p w14:paraId="657E923A">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43BC9B81">
            <w:pPr>
              <w:adjustRightInd w:val="0"/>
              <w:snapToGrid w:val="0"/>
              <w:spacing w:after="0" w:line="240" w:lineRule="auto"/>
              <w:jc w:val="left"/>
              <w:rPr>
                <w:rFonts w:hint="eastAsia" w:ascii="宋体" w:hAnsi="宋体"/>
                <w:szCs w:val="21"/>
              </w:rPr>
            </w:pPr>
            <w:r>
              <w:rPr>
                <w:rFonts w:hint="eastAsia" w:ascii="宋体" w:hAnsi="宋体"/>
              </w:rPr>
              <w:t>2、投标人未被列入“信用中国”网站(www.creditchina.gov.cn)“记录失信被执行人或重大税收违法失信主体或政府采购严重违法失信行为”记录名单。（提供信息查询结果界面截图，加盖投标人公章。如相关失信记录已失效，投标人需提供相关证明资料。）</w:t>
            </w:r>
          </w:p>
        </w:tc>
        <w:tc>
          <w:tcPr>
            <w:tcW w:w="0" w:type="auto"/>
            <w:tcBorders>
              <w:top w:val="single" w:color="auto" w:sz="4" w:space="0"/>
              <w:left w:val="single" w:color="auto" w:sz="4" w:space="0"/>
              <w:bottom w:val="single" w:color="auto" w:sz="4" w:space="0"/>
              <w:right w:val="single" w:color="auto" w:sz="4" w:space="0"/>
            </w:tcBorders>
            <w:vAlign w:val="center"/>
          </w:tcPr>
          <w:p w14:paraId="35A674F0">
            <w:pPr>
              <w:adjustRightInd w:val="0"/>
              <w:snapToGrid w:val="0"/>
              <w:spacing w:after="0" w:line="240" w:lineRule="auto"/>
              <w:ind w:left="330" w:hanging="330" w:hangingChars="150"/>
              <w:jc w:val="center"/>
              <w:rPr>
                <w:rFonts w:hint="eastAsia" w:ascii="宋体" w:hAnsi="宋体" w:cs="宋体"/>
                <w:kern w:val="0"/>
                <w:sz w:val="22"/>
                <w:szCs w:val="22"/>
              </w:rPr>
            </w:pPr>
          </w:p>
        </w:tc>
      </w:tr>
      <w:tr w14:paraId="5A69F0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83" w:type="dxa"/>
            <w:vMerge w:val="continue"/>
            <w:tcBorders>
              <w:top w:val="single" w:color="auto" w:sz="4" w:space="0"/>
              <w:bottom w:val="single" w:color="auto" w:sz="4" w:space="0"/>
              <w:right w:val="single" w:color="auto" w:sz="4" w:space="0"/>
            </w:tcBorders>
            <w:vAlign w:val="center"/>
          </w:tcPr>
          <w:p w14:paraId="4778BDFF">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7E1DA863">
            <w:pPr>
              <w:adjustRightInd w:val="0"/>
              <w:snapToGrid w:val="0"/>
              <w:spacing w:after="0" w:line="240" w:lineRule="auto"/>
              <w:jc w:val="left"/>
              <w:rPr>
                <w:rFonts w:hint="eastAsia" w:ascii="宋体" w:hAnsi="宋体"/>
              </w:rPr>
            </w:pPr>
            <w:r>
              <w:rPr>
                <w:rFonts w:hint="eastAsia" w:ascii="宋体" w:hAnsi="宋体" w:cs="宋体"/>
                <w:szCs w:val="21"/>
              </w:rPr>
              <w:t>3、本项目不接受联合体投标。</w:t>
            </w:r>
          </w:p>
        </w:tc>
        <w:tc>
          <w:tcPr>
            <w:tcW w:w="0" w:type="auto"/>
            <w:tcBorders>
              <w:top w:val="single" w:color="auto" w:sz="4" w:space="0"/>
              <w:left w:val="single" w:color="auto" w:sz="4" w:space="0"/>
              <w:bottom w:val="single" w:color="auto" w:sz="4" w:space="0"/>
              <w:right w:val="single" w:color="auto" w:sz="4" w:space="0"/>
            </w:tcBorders>
            <w:vAlign w:val="center"/>
          </w:tcPr>
          <w:p w14:paraId="52D1EC7A">
            <w:pPr>
              <w:adjustRightInd w:val="0"/>
              <w:snapToGrid w:val="0"/>
              <w:spacing w:after="0" w:line="240" w:lineRule="auto"/>
              <w:ind w:left="330" w:hanging="330" w:hangingChars="150"/>
              <w:jc w:val="center"/>
              <w:rPr>
                <w:rFonts w:hint="eastAsia" w:ascii="宋体" w:hAnsi="宋体" w:cs="宋体"/>
                <w:kern w:val="0"/>
                <w:sz w:val="22"/>
                <w:szCs w:val="22"/>
              </w:rPr>
            </w:pPr>
          </w:p>
        </w:tc>
      </w:tr>
      <w:tr w14:paraId="2695D0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683" w:type="dxa"/>
            <w:vMerge w:val="continue"/>
            <w:tcBorders>
              <w:top w:val="single" w:color="auto" w:sz="4" w:space="0"/>
              <w:bottom w:val="single" w:color="auto" w:sz="4" w:space="0"/>
              <w:right w:val="single" w:color="auto" w:sz="4" w:space="0"/>
            </w:tcBorders>
            <w:vAlign w:val="center"/>
          </w:tcPr>
          <w:p w14:paraId="2D457C7F">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5DC5D4F3">
            <w:pPr>
              <w:adjustRightInd w:val="0"/>
              <w:snapToGrid w:val="0"/>
              <w:spacing w:after="0" w:line="240" w:lineRule="auto"/>
              <w:jc w:val="left"/>
              <w:rPr>
                <w:rFonts w:hint="eastAsia" w:ascii="宋体" w:hAnsi="宋体"/>
                <w:szCs w:val="21"/>
              </w:rPr>
            </w:pPr>
            <w:r>
              <w:rPr>
                <w:rFonts w:hint="eastAsia" w:ascii="宋体" w:hAnsi="宋体"/>
                <w:szCs w:val="21"/>
              </w:rPr>
              <w:t>4、</w:t>
            </w:r>
            <w:r>
              <w:rPr>
                <w:rFonts w:hint="eastAsia" w:ascii="宋体" w:hAnsi="宋体" w:cs="宋体"/>
                <w:szCs w:val="21"/>
              </w:rPr>
              <w:t>单位负责人若为同一人或者存在控股、管理关系的不同投标人，不得同时参与本项目的投标。</w:t>
            </w:r>
          </w:p>
        </w:tc>
        <w:tc>
          <w:tcPr>
            <w:tcW w:w="0" w:type="auto"/>
            <w:tcBorders>
              <w:top w:val="single" w:color="auto" w:sz="4" w:space="0"/>
              <w:left w:val="single" w:color="auto" w:sz="4" w:space="0"/>
              <w:bottom w:val="single" w:color="auto" w:sz="4" w:space="0"/>
              <w:right w:val="single" w:color="auto" w:sz="4" w:space="0"/>
            </w:tcBorders>
            <w:vAlign w:val="center"/>
          </w:tcPr>
          <w:p w14:paraId="09874CB1">
            <w:pPr>
              <w:adjustRightInd w:val="0"/>
              <w:snapToGrid w:val="0"/>
              <w:spacing w:after="0" w:line="240" w:lineRule="auto"/>
              <w:ind w:left="330" w:hanging="330" w:hangingChars="150"/>
              <w:jc w:val="center"/>
              <w:rPr>
                <w:rFonts w:hint="eastAsia" w:ascii="宋体" w:hAnsi="宋体" w:cs="宋体"/>
                <w:kern w:val="0"/>
                <w:sz w:val="22"/>
                <w:szCs w:val="22"/>
              </w:rPr>
            </w:pPr>
          </w:p>
        </w:tc>
      </w:tr>
      <w:tr w14:paraId="6B51B2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683" w:type="dxa"/>
            <w:vMerge w:val="continue"/>
            <w:tcBorders>
              <w:top w:val="single" w:color="auto" w:sz="4" w:space="0"/>
              <w:bottom w:val="single" w:color="auto" w:sz="4" w:space="0"/>
              <w:right w:val="single" w:color="auto" w:sz="4" w:space="0"/>
            </w:tcBorders>
            <w:vAlign w:val="center"/>
          </w:tcPr>
          <w:p w14:paraId="5C738DC2">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5812308E">
            <w:pPr>
              <w:adjustRightInd w:val="0"/>
              <w:snapToGrid w:val="0"/>
              <w:spacing w:after="0" w:line="240" w:lineRule="auto"/>
              <w:jc w:val="left"/>
              <w:rPr>
                <w:rFonts w:hint="eastAsia" w:ascii="宋体" w:hAnsi="宋体"/>
                <w:szCs w:val="21"/>
              </w:rPr>
            </w:pPr>
            <w:r>
              <w:rPr>
                <w:rFonts w:hint="eastAsia" w:ascii="宋体" w:hAnsi="宋体"/>
                <w:szCs w:val="21"/>
              </w:rPr>
              <w:t>5、</w:t>
            </w:r>
            <w:r>
              <w:rPr>
                <w:rFonts w:hint="eastAsia" w:ascii="宋体" w:hAnsi="宋体" w:cs="宋体"/>
                <w:szCs w:val="21"/>
              </w:rPr>
              <w:t>法律法规规定的其他必须符合的要求。</w:t>
            </w:r>
          </w:p>
        </w:tc>
        <w:tc>
          <w:tcPr>
            <w:tcW w:w="0" w:type="auto"/>
            <w:tcBorders>
              <w:top w:val="single" w:color="auto" w:sz="4" w:space="0"/>
              <w:left w:val="single" w:color="auto" w:sz="4" w:space="0"/>
              <w:bottom w:val="single" w:color="auto" w:sz="4" w:space="0"/>
              <w:right w:val="single" w:color="auto" w:sz="4" w:space="0"/>
            </w:tcBorders>
            <w:vAlign w:val="center"/>
          </w:tcPr>
          <w:p w14:paraId="4CDD92B3">
            <w:pPr>
              <w:adjustRightInd w:val="0"/>
              <w:snapToGrid w:val="0"/>
              <w:spacing w:after="0" w:line="240" w:lineRule="auto"/>
              <w:ind w:left="330" w:hanging="330" w:hangingChars="150"/>
              <w:jc w:val="center"/>
              <w:rPr>
                <w:rFonts w:hint="eastAsia" w:ascii="宋体" w:hAnsi="宋体" w:cs="宋体"/>
                <w:kern w:val="0"/>
                <w:sz w:val="22"/>
                <w:szCs w:val="22"/>
              </w:rPr>
            </w:pPr>
          </w:p>
        </w:tc>
      </w:tr>
      <w:tr w14:paraId="6DB4E8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683" w:type="dxa"/>
            <w:vMerge w:val="restart"/>
            <w:tcBorders>
              <w:top w:val="single" w:color="auto" w:sz="4" w:space="0"/>
              <w:right w:val="single" w:color="auto" w:sz="4" w:space="0"/>
            </w:tcBorders>
            <w:vAlign w:val="center"/>
          </w:tcPr>
          <w:p w14:paraId="0CE45A8A">
            <w:pPr>
              <w:adjustRightInd w:val="0"/>
              <w:snapToGrid w:val="0"/>
              <w:spacing w:after="0" w:line="240" w:lineRule="auto"/>
              <w:jc w:val="center"/>
              <w:rPr>
                <w:rFonts w:hint="eastAsia" w:ascii="宋体" w:hAnsi="宋体"/>
                <w:szCs w:val="21"/>
              </w:rPr>
            </w:pPr>
            <w:r>
              <w:rPr>
                <w:rFonts w:hint="eastAsia" w:ascii="宋体" w:hAnsi="宋体"/>
                <w:szCs w:val="21"/>
                <w:lang w:val="en-US" w:eastAsia="zh-CN"/>
              </w:rPr>
              <w:t>符合性</w:t>
            </w:r>
            <w:r>
              <w:rPr>
                <w:rFonts w:hint="eastAsia" w:ascii="宋体" w:hAnsi="宋体"/>
                <w:szCs w:val="21"/>
              </w:rPr>
              <w:t>评审</w:t>
            </w:r>
          </w:p>
        </w:tc>
        <w:tc>
          <w:tcPr>
            <w:tcW w:w="7419" w:type="dxa"/>
            <w:tcBorders>
              <w:top w:val="single" w:color="auto" w:sz="4" w:space="0"/>
              <w:left w:val="single" w:color="auto" w:sz="4" w:space="0"/>
              <w:bottom w:val="single" w:color="auto" w:sz="4" w:space="0"/>
              <w:right w:val="single" w:color="auto" w:sz="4" w:space="0"/>
            </w:tcBorders>
            <w:vAlign w:val="center"/>
          </w:tcPr>
          <w:p w14:paraId="21068E54">
            <w:pPr>
              <w:tabs>
                <w:tab w:val="left" w:pos="7380"/>
              </w:tabs>
              <w:adjustRightInd w:val="0"/>
              <w:snapToGrid w:val="0"/>
              <w:spacing w:after="0" w:line="240" w:lineRule="auto"/>
              <w:rPr>
                <w:rFonts w:hint="eastAsia" w:ascii="宋体" w:hAnsi="宋体"/>
                <w:szCs w:val="21"/>
              </w:rPr>
            </w:pPr>
            <w:r>
              <w:rPr>
                <w:rFonts w:hint="eastAsia" w:ascii="宋体" w:hAnsi="宋体"/>
                <w:szCs w:val="21"/>
              </w:rPr>
              <w:t>1、投标人名称与营业执照一致。</w:t>
            </w:r>
          </w:p>
        </w:tc>
        <w:tc>
          <w:tcPr>
            <w:tcW w:w="0" w:type="auto"/>
            <w:tcBorders>
              <w:top w:val="single" w:color="auto" w:sz="4" w:space="0"/>
              <w:left w:val="single" w:color="auto" w:sz="4" w:space="0"/>
              <w:bottom w:val="single" w:color="auto" w:sz="4" w:space="0"/>
              <w:right w:val="single" w:color="auto" w:sz="4" w:space="0"/>
            </w:tcBorders>
            <w:vAlign w:val="center"/>
          </w:tcPr>
          <w:p w14:paraId="138EF0B4">
            <w:pPr>
              <w:adjustRightInd w:val="0"/>
              <w:snapToGrid w:val="0"/>
              <w:spacing w:after="0" w:line="240" w:lineRule="auto"/>
              <w:ind w:left="330" w:hanging="330" w:hangingChars="150"/>
              <w:jc w:val="center"/>
              <w:rPr>
                <w:rFonts w:hint="eastAsia" w:ascii="宋体" w:hAnsi="宋体" w:cs="宋体"/>
                <w:kern w:val="0"/>
                <w:sz w:val="22"/>
                <w:szCs w:val="22"/>
              </w:rPr>
            </w:pPr>
          </w:p>
        </w:tc>
      </w:tr>
      <w:tr w14:paraId="32D823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683" w:type="dxa"/>
            <w:vMerge w:val="continue"/>
            <w:tcBorders>
              <w:right w:val="single" w:color="auto" w:sz="4" w:space="0"/>
            </w:tcBorders>
            <w:vAlign w:val="center"/>
          </w:tcPr>
          <w:p w14:paraId="50392EEC">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3CC9E8C7">
            <w:pPr>
              <w:tabs>
                <w:tab w:val="left" w:pos="7380"/>
              </w:tabs>
              <w:adjustRightInd w:val="0"/>
              <w:snapToGrid w:val="0"/>
              <w:spacing w:after="0" w:line="240" w:lineRule="auto"/>
              <w:rPr>
                <w:rFonts w:hint="eastAsia" w:ascii="宋体" w:hAnsi="宋体"/>
                <w:szCs w:val="21"/>
              </w:rPr>
            </w:pPr>
            <w:r>
              <w:rPr>
                <w:rFonts w:hint="eastAsia" w:ascii="宋体" w:hAnsi="宋体"/>
              </w:rPr>
              <w:t>2、</w:t>
            </w:r>
            <w:r>
              <w:rPr>
                <w:rFonts w:hint="eastAsia" w:ascii="宋体" w:hAnsi="宋体" w:cs="宋体"/>
                <w:kern w:val="0"/>
                <w:szCs w:val="21"/>
              </w:rPr>
              <w:t>投标有效期符合第二章“投标人须知”</w:t>
            </w:r>
            <w:r>
              <w:rPr>
                <w:rFonts w:ascii="宋体" w:hAnsi="宋体" w:cs="宋体"/>
                <w:kern w:val="0"/>
                <w:szCs w:val="21"/>
              </w:rPr>
              <w:t>3.4.1</w:t>
            </w:r>
            <w:r>
              <w:rPr>
                <w:rFonts w:hint="eastAsia" w:ascii="宋体" w:hAnsi="宋体" w:cs="宋体"/>
                <w:kern w:val="0"/>
                <w:szCs w:val="21"/>
              </w:rPr>
              <w:t>款规定。</w:t>
            </w:r>
          </w:p>
        </w:tc>
        <w:tc>
          <w:tcPr>
            <w:tcW w:w="0" w:type="auto"/>
            <w:tcBorders>
              <w:top w:val="single" w:color="auto" w:sz="4" w:space="0"/>
              <w:left w:val="single" w:color="auto" w:sz="4" w:space="0"/>
              <w:bottom w:val="single" w:color="auto" w:sz="4" w:space="0"/>
              <w:right w:val="single" w:color="auto" w:sz="4" w:space="0"/>
            </w:tcBorders>
            <w:vAlign w:val="center"/>
          </w:tcPr>
          <w:p w14:paraId="28F3FA5A">
            <w:pPr>
              <w:adjustRightInd w:val="0"/>
              <w:snapToGrid w:val="0"/>
              <w:spacing w:after="0" w:line="240" w:lineRule="auto"/>
              <w:ind w:left="330" w:hanging="330" w:hangingChars="150"/>
              <w:jc w:val="center"/>
              <w:rPr>
                <w:rFonts w:hint="eastAsia" w:ascii="宋体" w:hAnsi="宋体" w:cs="宋体"/>
                <w:kern w:val="0"/>
                <w:sz w:val="22"/>
                <w:szCs w:val="22"/>
              </w:rPr>
            </w:pPr>
          </w:p>
        </w:tc>
      </w:tr>
      <w:tr w14:paraId="78C1A1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5" w:hRule="atLeast"/>
          <w:jc w:val="center"/>
        </w:trPr>
        <w:tc>
          <w:tcPr>
            <w:tcW w:w="683" w:type="dxa"/>
            <w:vMerge w:val="continue"/>
            <w:tcBorders>
              <w:right w:val="single" w:color="auto" w:sz="4" w:space="0"/>
            </w:tcBorders>
            <w:vAlign w:val="center"/>
          </w:tcPr>
          <w:p w14:paraId="28CEAA7F">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1B6F9119">
            <w:pPr>
              <w:tabs>
                <w:tab w:val="left" w:pos="7380"/>
              </w:tabs>
              <w:adjustRightInd w:val="0"/>
              <w:snapToGrid w:val="0"/>
              <w:spacing w:after="0" w:line="240" w:lineRule="auto"/>
              <w:rPr>
                <w:rFonts w:hint="eastAsia" w:ascii="宋体" w:hAnsi="宋体"/>
                <w:szCs w:val="21"/>
              </w:rPr>
            </w:pPr>
            <w:r>
              <w:rPr>
                <w:rFonts w:hint="eastAsia" w:ascii="宋体" w:hAnsi="宋体"/>
                <w:szCs w:val="21"/>
              </w:rPr>
              <w:t>3、提供有效的法定代表人证明书及法定代表授权委托书原件（如是法定代表人直接签署投标文件并参加投标的，则无需提交法定代表授权委托书），按照第六章“投标文件格式”中的格式及要求提供，且有身份证复印件。</w:t>
            </w:r>
          </w:p>
        </w:tc>
        <w:tc>
          <w:tcPr>
            <w:tcW w:w="0" w:type="auto"/>
            <w:tcBorders>
              <w:top w:val="single" w:color="auto" w:sz="4" w:space="0"/>
              <w:left w:val="single" w:color="auto" w:sz="4" w:space="0"/>
              <w:bottom w:val="single" w:color="auto" w:sz="4" w:space="0"/>
              <w:right w:val="single" w:color="auto" w:sz="4" w:space="0"/>
            </w:tcBorders>
            <w:vAlign w:val="center"/>
          </w:tcPr>
          <w:p w14:paraId="221E2016">
            <w:pPr>
              <w:adjustRightInd w:val="0"/>
              <w:snapToGrid w:val="0"/>
              <w:spacing w:after="0" w:line="240" w:lineRule="auto"/>
              <w:jc w:val="center"/>
              <w:rPr>
                <w:rFonts w:hint="eastAsia" w:ascii="宋体" w:hAnsi="宋体"/>
              </w:rPr>
            </w:pPr>
          </w:p>
        </w:tc>
      </w:tr>
      <w:tr w14:paraId="4F6A04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683" w:type="dxa"/>
            <w:vMerge w:val="continue"/>
            <w:tcBorders>
              <w:right w:val="single" w:color="auto" w:sz="4" w:space="0"/>
            </w:tcBorders>
            <w:vAlign w:val="center"/>
          </w:tcPr>
          <w:p w14:paraId="3765CC63">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575EC2D0">
            <w:pPr>
              <w:tabs>
                <w:tab w:val="left" w:pos="7380"/>
              </w:tabs>
              <w:adjustRightInd w:val="0"/>
              <w:snapToGrid w:val="0"/>
              <w:spacing w:after="0" w:line="240" w:lineRule="auto"/>
              <w:rPr>
                <w:rFonts w:hint="eastAsia" w:ascii="宋体" w:hAnsi="宋体"/>
                <w:szCs w:val="21"/>
              </w:rPr>
            </w:pPr>
            <w:r>
              <w:rPr>
                <w:rFonts w:hint="eastAsia" w:ascii="宋体" w:hAnsi="宋体"/>
                <w:szCs w:val="21"/>
              </w:rPr>
              <w:t>4、</w:t>
            </w:r>
            <w:r>
              <w:rPr>
                <w:rFonts w:hint="eastAsia" w:ascii="宋体" w:hAnsi="宋体" w:cs="宋体"/>
                <w:kern w:val="0"/>
                <w:szCs w:val="21"/>
              </w:rPr>
              <w:t>投标文件签字盖章符合第二章“投标人须知”第</w:t>
            </w:r>
            <w:r>
              <w:rPr>
                <w:rFonts w:ascii="宋体" w:hAnsi="宋体" w:cs="宋体"/>
                <w:kern w:val="0"/>
                <w:szCs w:val="21"/>
              </w:rPr>
              <w:t>3.2.4</w:t>
            </w:r>
            <w:r>
              <w:rPr>
                <w:rFonts w:hint="eastAsia" w:ascii="宋体" w:hAnsi="宋体" w:cs="宋体"/>
                <w:kern w:val="0"/>
                <w:szCs w:val="21"/>
              </w:rPr>
              <w:t>款规定。</w:t>
            </w:r>
          </w:p>
        </w:tc>
        <w:tc>
          <w:tcPr>
            <w:tcW w:w="0" w:type="auto"/>
            <w:tcBorders>
              <w:top w:val="single" w:color="auto" w:sz="4" w:space="0"/>
              <w:left w:val="single" w:color="auto" w:sz="4" w:space="0"/>
              <w:bottom w:val="single" w:color="auto" w:sz="4" w:space="0"/>
              <w:right w:val="single" w:color="auto" w:sz="4" w:space="0"/>
            </w:tcBorders>
            <w:vAlign w:val="center"/>
          </w:tcPr>
          <w:p w14:paraId="69647F06">
            <w:pPr>
              <w:adjustRightInd w:val="0"/>
              <w:snapToGrid w:val="0"/>
              <w:spacing w:after="0" w:line="240" w:lineRule="auto"/>
              <w:jc w:val="center"/>
              <w:rPr>
                <w:rFonts w:hint="eastAsia" w:ascii="宋体" w:hAnsi="宋体"/>
              </w:rPr>
            </w:pPr>
          </w:p>
        </w:tc>
      </w:tr>
      <w:tr w14:paraId="11F83C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683" w:type="dxa"/>
            <w:vMerge w:val="continue"/>
            <w:tcBorders>
              <w:right w:val="single" w:color="auto" w:sz="4" w:space="0"/>
            </w:tcBorders>
            <w:vAlign w:val="center"/>
          </w:tcPr>
          <w:p w14:paraId="31448E4B">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2E139F99">
            <w:pPr>
              <w:tabs>
                <w:tab w:val="left" w:pos="7380"/>
              </w:tabs>
              <w:adjustRightInd w:val="0"/>
              <w:snapToGrid w:val="0"/>
              <w:spacing w:after="0" w:line="240" w:lineRule="auto"/>
              <w:rPr>
                <w:rFonts w:hint="eastAsia" w:ascii="宋体" w:hAnsi="宋体"/>
                <w:szCs w:val="21"/>
              </w:rPr>
            </w:pPr>
            <w:r>
              <w:rPr>
                <w:rFonts w:hint="eastAsia" w:ascii="宋体" w:hAnsi="宋体"/>
                <w:szCs w:val="21"/>
                <w:lang w:val="en-US" w:eastAsia="zh-CN"/>
              </w:rPr>
              <w:t>5</w:t>
            </w:r>
            <w:r>
              <w:rPr>
                <w:rFonts w:hint="eastAsia" w:ascii="宋体" w:hAnsi="宋体"/>
                <w:szCs w:val="21"/>
              </w:rPr>
              <w:t>、保证金</w:t>
            </w:r>
            <w:r>
              <w:rPr>
                <w:rFonts w:hint="eastAsia" w:ascii="宋体" w:hAnsi="宋体" w:cs="宋体"/>
                <w:kern w:val="0"/>
                <w:szCs w:val="21"/>
              </w:rPr>
              <w:t>符合第二章“投标人须知”</w:t>
            </w:r>
            <w:r>
              <w:rPr>
                <w:rFonts w:ascii="宋体" w:hAnsi="宋体" w:cs="宋体"/>
                <w:kern w:val="0"/>
                <w:szCs w:val="21"/>
              </w:rPr>
              <w:t>3.5.1</w:t>
            </w:r>
            <w:r>
              <w:rPr>
                <w:rFonts w:hint="eastAsia" w:ascii="宋体" w:hAnsi="宋体" w:cs="宋体"/>
                <w:kern w:val="0"/>
                <w:szCs w:val="21"/>
              </w:rPr>
              <w:t>、</w:t>
            </w:r>
            <w:r>
              <w:rPr>
                <w:rFonts w:ascii="宋体" w:hAnsi="宋体" w:cs="宋体"/>
                <w:kern w:val="0"/>
                <w:szCs w:val="21"/>
              </w:rPr>
              <w:t>3.5</w:t>
            </w:r>
            <w:r>
              <w:rPr>
                <w:rFonts w:hint="eastAsia" w:ascii="宋体" w:hAnsi="宋体" w:cs="宋体"/>
                <w:kern w:val="0"/>
                <w:szCs w:val="21"/>
              </w:rPr>
              <w:t>.</w:t>
            </w:r>
            <w:r>
              <w:rPr>
                <w:rFonts w:ascii="宋体" w:hAnsi="宋体" w:cs="宋体"/>
                <w:kern w:val="0"/>
                <w:szCs w:val="21"/>
              </w:rPr>
              <w:t>2</w:t>
            </w:r>
            <w:r>
              <w:rPr>
                <w:rFonts w:hint="eastAsia" w:ascii="宋体" w:hAnsi="宋体" w:cs="宋体"/>
                <w:kern w:val="0"/>
                <w:szCs w:val="21"/>
              </w:rPr>
              <w:t>款规定。</w:t>
            </w:r>
          </w:p>
        </w:tc>
        <w:tc>
          <w:tcPr>
            <w:tcW w:w="0" w:type="auto"/>
            <w:tcBorders>
              <w:top w:val="single" w:color="auto" w:sz="4" w:space="0"/>
              <w:left w:val="single" w:color="auto" w:sz="4" w:space="0"/>
              <w:bottom w:val="single" w:color="auto" w:sz="4" w:space="0"/>
              <w:right w:val="single" w:color="auto" w:sz="4" w:space="0"/>
            </w:tcBorders>
            <w:vAlign w:val="center"/>
          </w:tcPr>
          <w:p w14:paraId="41DE8DF1">
            <w:pPr>
              <w:adjustRightInd w:val="0"/>
              <w:snapToGrid w:val="0"/>
              <w:spacing w:after="0" w:line="240" w:lineRule="auto"/>
              <w:jc w:val="center"/>
              <w:rPr>
                <w:rFonts w:hint="eastAsia" w:ascii="宋体" w:hAnsi="宋体"/>
              </w:rPr>
            </w:pPr>
          </w:p>
        </w:tc>
      </w:tr>
      <w:tr w14:paraId="123A93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83" w:type="dxa"/>
            <w:vMerge w:val="continue"/>
            <w:tcBorders>
              <w:right w:val="single" w:color="auto" w:sz="4" w:space="0"/>
            </w:tcBorders>
            <w:vAlign w:val="center"/>
          </w:tcPr>
          <w:p w14:paraId="7B426887">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3DB1093D">
            <w:pPr>
              <w:tabs>
                <w:tab w:val="left" w:pos="7380"/>
              </w:tabs>
              <w:adjustRightInd w:val="0"/>
              <w:snapToGrid w:val="0"/>
              <w:spacing w:after="0" w:line="240" w:lineRule="auto"/>
              <w:rPr>
                <w:rFonts w:hint="eastAsia" w:ascii="宋体" w:hAnsi="宋体"/>
                <w:szCs w:val="21"/>
              </w:rPr>
            </w:pPr>
            <w:r>
              <w:rPr>
                <w:rFonts w:hint="eastAsia" w:ascii="宋体" w:hAnsi="宋体"/>
                <w:szCs w:val="21"/>
                <w:lang w:val="en-US" w:eastAsia="zh-CN"/>
              </w:rPr>
              <w:t>6</w:t>
            </w:r>
            <w:r>
              <w:rPr>
                <w:rFonts w:hint="eastAsia" w:ascii="宋体" w:hAnsi="宋体"/>
                <w:szCs w:val="21"/>
              </w:rPr>
              <w:t>、</w:t>
            </w:r>
            <w:r>
              <w:rPr>
                <w:rFonts w:hint="eastAsia" w:ascii="宋体" w:hAnsi="宋体" w:cs="宋体"/>
                <w:kern w:val="0"/>
                <w:szCs w:val="21"/>
              </w:rPr>
              <w:t>投标报价要求符合第二章“投标人须知”</w:t>
            </w:r>
            <w:r>
              <w:rPr>
                <w:rFonts w:ascii="宋体" w:hAnsi="宋体" w:cs="宋体"/>
                <w:kern w:val="0"/>
                <w:szCs w:val="21"/>
              </w:rPr>
              <w:t>3.3.3款规定</w:t>
            </w:r>
            <w:r>
              <w:rPr>
                <w:rFonts w:hint="eastAsia" w:ascii="宋体" w:hAnsi="宋体" w:cs="宋体"/>
                <w:kern w:val="0"/>
                <w:szCs w:val="21"/>
              </w:rPr>
              <w:t>。</w:t>
            </w:r>
          </w:p>
        </w:tc>
        <w:tc>
          <w:tcPr>
            <w:tcW w:w="0" w:type="auto"/>
            <w:tcBorders>
              <w:top w:val="single" w:color="auto" w:sz="4" w:space="0"/>
              <w:left w:val="single" w:color="auto" w:sz="4" w:space="0"/>
              <w:bottom w:val="single" w:color="auto" w:sz="4" w:space="0"/>
              <w:right w:val="single" w:color="auto" w:sz="4" w:space="0"/>
            </w:tcBorders>
            <w:vAlign w:val="center"/>
          </w:tcPr>
          <w:p w14:paraId="4BBC4F49">
            <w:pPr>
              <w:adjustRightInd w:val="0"/>
              <w:snapToGrid w:val="0"/>
              <w:spacing w:after="0" w:line="240" w:lineRule="auto"/>
              <w:jc w:val="center"/>
              <w:rPr>
                <w:rFonts w:hint="eastAsia" w:ascii="宋体" w:hAnsi="宋体"/>
              </w:rPr>
            </w:pPr>
          </w:p>
        </w:tc>
      </w:tr>
      <w:tr w14:paraId="275CD8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683" w:type="dxa"/>
            <w:vMerge w:val="continue"/>
            <w:tcBorders>
              <w:right w:val="single" w:color="auto" w:sz="4" w:space="0"/>
            </w:tcBorders>
            <w:vAlign w:val="center"/>
          </w:tcPr>
          <w:p w14:paraId="6C37FDF1">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3B15EBDB">
            <w:pPr>
              <w:tabs>
                <w:tab w:val="left" w:pos="7380"/>
              </w:tabs>
              <w:adjustRightInd w:val="0"/>
              <w:snapToGrid w:val="0"/>
              <w:spacing w:after="0" w:line="240" w:lineRule="auto"/>
              <w:rPr>
                <w:rFonts w:hint="eastAsia" w:ascii="宋体" w:hAnsi="宋体"/>
                <w:szCs w:val="21"/>
              </w:rPr>
            </w:pPr>
            <w:r>
              <w:rPr>
                <w:rFonts w:hint="eastAsia" w:ascii="宋体" w:hAnsi="宋体"/>
                <w:lang w:val="en-US" w:eastAsia="zh-CN"/>
              </w:rPr>
              <w:t>7</w:t>
            </w:r>
            <w:r>
              <w:rPr>
                <w:rFonts w:hint="eastAsia" w:ascii="宋体" w:hAnsi="宋体"/>
              </w:rPr>
              <w:t>、投标文件没有招标文件中规定的其它无效投标条款的。</w:t>
            </w:r>
          </w:p>
        </w:tc>
        <w:tc>
          <w:tcPr>
            <w:tcW w:w="0" w:type="auto"/>
            <w:tcBorders>
              <w:top w:val="single" w:color="auto" w:sz="4" w:space="0"/>
              <w:left w:val="single" w:color="auto" w:sz="4" w:space="0"/>
              <w:bottom w:val="single" w:color="auto" w:sz="4" w:space="0"/>
              <w:right w:val="single" w:color="auto" w:sz="4" w:space="0"/>
            </w:tcBorders>
            <w:vAlign w:val="center"/>
          </w:tcPr>
          <w:p w14:paraId="5305FA36">
            <w:pPr>
              <w:adjustRightInd w:val="0"/>
              <w:snapToGrid w:val="0"/>
              <w:spacing w:after="0" w:line="240" w:lineRule="auto"/>
              <w:jc w:val="center"/>
              <w:rPr>
                <w:rFonts w:hint="eastAsia" w:ascii="宋体" w:hAnsi="宋体"/>
              </w:rPr>
            </w:pPr>
          </w:p>
        </w:tc>
      </w:tr>
      <w:tr w14:paraId="0AA209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683" w:type="dxa"/>
            <w:vMerge w:val="continue"/>
            <w:tcBorders>
              <w:bottom w:val="single" w:color="auto" w:sz="4" w:space="0"/>
              <w:right w:val="single" w:color="auto" w:sz="4" w:space="0"/>
            </w:tcBorders>
            <w:vAlign w:val="center"/>
          </w:tcPr>
          <w:p w14:paraId="2FF0AC94">
            <w:pPr>
              <w:adjustRightInd w:val="0"/>
              <w:snapToGrid w:val="0"/>
              <w:spacing w:after="0" w:line="240" w:lineRule="auto"/>
              <w:jc w:val="center"/>
              <w:rPr>
                <w:rFonts w:hint="eastAsia" w:ascii="宋体" w:hAnsi="宋体"/>
                <w:szCs w:val="21"/>
              </w:rPr>
            </w:pPr>
          </w:p>
        </w:tc>
        <w:tc>
          <w:tcPr>
            <w:tcW w:w="7419" w:type="dxa"/>
            <w:tcBorders>
              <w:top w:val="single" w:color="auto" w:sz="4" w:space="0"/>
              <w:left w:val="single" w:color="auto" w:sz="4" w:space="0"/>
              <w:bottom w:val="single" w:color="auto" w:sz="4" w:space="0"/>
              <w:right w:val="single" w:color="auto" w:sz="4" w:space="0"/>
            </w:tcBorders>
            <w:vAlign w:val="center"/>
          </w:tcPr>
          <w:p w14:paraId="3F1973CC">
            <w:pPr>
              <w:tabs>
                <w:tab w:val="left" w:pos="7380"/>
              </w:tabs>
              <w:adjustRightInd w:val="0"/>
              <w:snapToGrid w:val="0"/>
              <w:spacing w:after="0" w:line="240" w:lineRule="auto"/>
              <w:rPr>
                <w:rFonts w:hint="eastAsia" w:ascii="宋体" w:hAnsi="宋体"/>
              </w:rPr>
            </w:pPr>
            <w:r>
              <w:rPr>
                <w:rFonts w:hint="eastAsia" w:ascii="宋体" w:hAnsi="宋体"/>
                <w:lang w:val="en-US" w:eastAsia="zh-CN"/>
              </w:rPr>
              <w:t>8</w:t>
            </w:r>
            <w:r>
              <w:rPr>
                <w:rFonts w:hint="eastAsia" w:ascii="宋体" w:hAnsi="宋体"/>
              </w:rPr>
              <w:t>、</w:t>
            </w:r>
            <w:r>
              <w:t>投标文件对招标文件的实质性技术与商务的条款</w:t>
            </w:r>
            <w:r>
              <w:rPr>
                <w:rFonts w:hint="eastAsia"/>
              </w:rPr>
              <w:t>（</w:t>
            </w:r>
            <w:r>
              <w:t>即标注“★”号条款</w:t>
            </w:r>
            <w:r>
              <w:rPr>
                <w:rFonts w:hint="eastAsia"/>
              </w:rPr>
              <w:t>）</w:t>
            </w:r>
            <w:r>
              <w:t>无产生负偏离 ；</w:t>
            </w:r>
          </w:p>
        </w:tc>
        <w:tc>
          <w:tcPr>
            <w:tcW w:w="0" w:type="auto"/>
            <w:tcBorders>
              <w:top w:val="single" w:color="auto" w:sz="4" w:space="0"/>
              <w:left w:val="single" w:color="auto" w:sz="4" w:space="0"/>
              <w:bottom w:val="single" w:color="auto" w:sz="4" w:space="0"/>
              <w:right w:val="single" w:color="auto" w:sz="4" w:space="0"/>
            </w:tcBorders>
            <w:vAlign w:val="center"/>
          </w:tcPr>
          <w:p w14:paraId="4E7C1E45">
            <w:pPr>
              <w:adjustRightInd w:val="0"/>
              <w:snapToGrid w:val="0"/>
              <w:spacing w:after="0" w:line="240" w:lineRule="auto"/>
              <w:jc w:val="center"/>
              <w:rPr>
                <w:rFonts w:hint="eastAsia" w:ascii="宋体" w:hAnsi="宋体"/>
              </w:rPr>
            </w:pPr>
          </w:p>
        </w:tc>
      </w:tr>
    </w:tbl>
    <w:p w14:paraId="0558CAD9">
      <w:pPr>
        <w:pStyle w:val="42"/>
        <w:ind w:firstLine="0" w:firstLineChars="0"/>
        <w:jc w:val="center"/>
        <w:rPr>
          <w:rFonts w:hint="eastAsia" w:ascii="宋体" w:hAnsi="宋体"/>
          <w:b/>
          <w:sz w:val="21"/>
          <w:szCs w:val="21"/>
        </w:rPr>
      </w:pPr>
      <w:r>
        <w:br w:type="page"/>
      </w:r>
      <w:r>
        <w:rPr>
          <w:rFonts w:hint="eastAsia" w:ascii="宋体" w:hAnsi="宋体"/>
          <w:b/>
          <w:sz w:val="21"/>
          <w:szCs w:val="21"/>
        </w:rPr>
        <w:t>详细评审索引表</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597"/>
        <w:gridCol w:w="653"/>
        <w:gridCol w:w="5997"/>
        <w:gridCol w:w="502"/>
      </w:tblGrid>
      <w:tr w14:paraId="1572E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exact"/>
          <w:jc w:val="center"/>
        </w:trPr>
        <w:tc>
          <w:tcPr>
            <w:tcW w:w="0" w:type="auto"/>
            <w:gridSpan w:val="2"/>
            <w:tcBorders>
              <w:bottom w:val="single" w:color="auto" w:sz="4" w:space="0"/>
            </w:tcBorders>
            <w:vAlign w:val="center"/>
          </w:tcPr>
          <w:p w14:paraId="3A6A9A62">
            <w:pPr>
              <w:pStyle w:val="5"/>
              <w:autoSpaceDE/>
              <w:autoSpaceDN/>
              <w:adjustRightInd/>
              <w:spacing w:after="0"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0" w:type="auto"/>
            <w:tcBorders>
              <w:bottom w:val="single" w:color="auto" w:sz="4" w:space="0"/>
            </w:tcBorders>
            <w:vAlign w:val="center"/>
          </w:tcPr>
          <w:p w14:paraId="26B17A3E">
            <w:pPr>
              <w:pStyle w:val="5"/>
              <w:autoSpaceDE/>
              <w:autoSpaceDN/>
              <w:adjustRightInd/>
              <w:spacing w:after="0"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评分内容</w:t>
            </w:r>
          </w:p>
        </w:tc>
        <w:tc>
          <w:tcPr>
            <w:tcW w:w="0" w:type="auto"/>
            <w:tcBorders>
              <w:bottom w:val="single" w:color="auto" w:sz="4" w:space="0"/>
            </w:tcBorders>
            <w:vAlign w:val="center"/>
          </w:tcPr>
          <w:p w14:paraId="01AB71CC">
            <w:pPr>
              <w:pStyle w:val="5"/>
              <w:autoSpaceDE/>
              <w:autoSpaceDN/>
              <w:adjustRightInd/>
              <w:spacing w:after="0"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评分标准</w:t>
            </w:r>
          </w:p>
        </w:tc>
        <w:tc>
          <w:tcPr>
            <w:tcW w:w="0" w:type="auto"/>
            <w:tcBorders>
              <w:bottom w:val="single" w:color="auto" w:sz="4" w:space="0"/>
            </w:tcBorders>
            <w:vAlign w:val="center"/>
          </w:tcPr>
          <w:p w14:paraId="29394759">
            <w:pPr>
              <w:pStyle w:val="5"/>
              <w:autoSpaceDE/>
              <w:autoSpaceDN/>
              <w:adjustRightInd/>
              <w:spacing w:after="0"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页码</w:t>
            </w:r>
          </w:p>
        </w:tc>
      </w:tr>
      <w:tr w14:paraId="17DF7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exact"/>
          <w:jc w:val="center"/>
        </w:trPr>
        <w:tc>
          <w:tcPr>
            <w:tcW w:w="787" w:type="dxa"/>
            <w:vMerge w:val="restart"/>
            <w:tcBorders>
              <w:top w:val="single" w:color="auto" w:sz="4" w:space="0"/>
              <w:left w:val="single" w:color="auto" w:sz="4" w:space="0"/>
              <w:bottom w:val="single" w:color="auto" w:sz="4" w:space="0"/>
              <w:right w:val="single" w:color="auto" w:sz="4" w:space="0"/>
            </w:tcBorders>
            <w:vAlign w:val="center"/>
          </w:tcPr>
          <w:p w14:paraId="74772E0C">
            <w:pPr>
              <w:adjustRightInd w:val="0"/>
              <w:snapToGrid w:val="0"/>
              <w:spacing w:after="0" w:line="240" w:lineRule="auto"/>
              <w:jc w:val="center"/>
              <w:rPr>
                <w:rFonts w:hint="eastAsia" w:ascii="宋体" w:hAnsi="宋体" w:cs="宋体"/>
                <w:szCs w:val="21"/>
              </w:rPr>
            </w:pPr>
          </w:p>
        </w:tc>
        <w:tc>
          <w:tcPr>
            <w:tcW w:w="597" w:type="dxa"/>
            <w:tcBorders>
              <w:top w:val="single" w:color="auto" w:sz="4" w:space="0"/>
              <w:left w:val="single" w:color="auto" w:sz="4" w:space="0"/>
              <w:bottom w:val="single" w:color="auto" w:sz="4" w:space="0"/>
              <w:right w:val="single" w:color="auto" w:sz="4" w:space="0"/>
            </w:tcBorders>
            <w:vAlign w:val="center"/>
          </w:tcPr>
          <w:p w14:paraId="1B2E826A">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624DE051">
            <w:pPr>
              <w:adjustRightInd w:val="0"/>
              <w:snapToGrid w:val="0"/>
              <w:spacing w:after="0" w:line="240" w:lineRule="auto"/>
              <w:jc w:val="center"/>
              <w:rPr>
                <w:rFonts w:hint="eastAsia" w:ascii="宋体" w:hAnsi="宋体" w:cs="宋体"/>
                <w:szCs w:val="21"/>
              </w:rPr>
            </w:pPr>
          </w:p>
        </w:tc>
        <w:tc>
          <w:tcPr>
            <w:tcW w:w="5997" w:type="dxa"/>
            <w:tcBorders>
              <w:top w:val="single" w:color="auto" w:sz="4" w:space="0"/>
              <w:left w:val="single" w:color="auto" w:sz="4" w:space="0"/>
              <w:bottom w:val="single" w:color="auto" w:sz="4" w:space="0"/>
              <w:right w:val="single" w:color="auto" w:sz="4" w:space="0"/>
            </w:tcBorders>
            <w:vAlign w:val="center"/>
          </w:tcPr>
          <w:p w14:paraId="60A36C06">
            <w:pPr>
              <w:tabs>
                <w:tab w:val="left" w:pos="0"/>
                <w:tab w:val="left" w:pos="1134"/>
                <w:tab w:val="left" w:pos="8505"/>
              </w:tabs>
              <w:adjustRightInd w:val="0"/>
              <w:snapToGrid w:val="0"/>
              <w:spacing w:after="0" w:line="240" w:lineRule="auto"/>
              <w:contextualSpacing/>
              <w:textAlignment w:val="baseline"/>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787411E5">
            <w:pPr>
              <w:pStyle w:val="5"/>
              <w:autoSpaceDE/>
              <w:autoSpaceDN/>
              <w:adjustRightInd/>
              <w:spacing w:after="0" w:line="240" w:lineRule="auto"/>
              <w:ind w:firstLine="0"/>
              <w:jc w:val="center"/>
              <w:rPr>
                <w:rFonts w:hint="eastAsia" w:ascii="宋体" w:hAnsi="宋体" w:eastAsia="宋体" w:cs="宋体"/>
                <w:sz w:val="21"/>
                <w:szCs w:val="21"/>
              </w:rPr>
            </w:pPr>
          </w:p>
        </w:tc>
      </w:tr>
      <w:tr w14:paraId="0AFF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jc w:val="center"/>
        </w:trPr>
        <w:tc>
          <w:tcPr>
            <w:tcW w:w="787" w:type="dxa"/>
            <w:vMerge w:val="continue"/>
            <w:tcBorders>
              <w:top w:val="single" w:color="auto" w:sz="4" w:space="0"/>
              <w:left w:val="single" w:color="auto" w:sz="4" w:space="0"/>
              <w:bottom w:val="single" w:color="auto" w:sz="4" w:space="0"/>
              <w:right w:val="single" w:color="auto" w:sz="4" w:space="0"/>
            </w:tcBorders>
            <w:vAlign w:val="center"/>
          </w:tcPr>
          <w:p w14:paraId="7300E605">
            <w:pPr>
              <w:adjustRightInd w:val="0"/>
              <w:snapToGrid w:val="0"/>
              <w:spacing w:after="0" w:line="240" w:lineRule="auto"/>
              <w:jc w:val="center"/>
              <w:rPr>
                <w:rFonts w:hint="eastAsia" w:ascii="宋体" w:hAnsi="宋体" w:cs="宋体"/>
                <w:szCs w:val="21"/>
              </w:rPr>
            </w:pPr>
          </w:p>
        </w:tc>
        <w:tc>
          <w:tcPr>
            <w:tcW w:w="597" w:type="dxa"/>
            <w:tcBorders>
              <w:top w:val="single" w:color="auto" w:sz="4" w:space="0"/>
              <w:left w:val="single" w:color="auto" w:sz="4" w:space="0"/>
              <w:bottom w:val="single" w:color="auto" w:sz="4" w:space="0"/>
              <w:right w:val="single" w:color="auto" w:sz="4" w:space="0"/>
            </w:tcBorders>
            <w:vAlign w:val="center"/>
          </w:tcPr>
          <w:p w14:paraId="04854AA7">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088D8D76">
            <w:pPr>
              <w:adjustRightInd w:val="0"/>
              <w:snapToGrid w:val="0"/>
              <w:spacing w:beforeAutospacing="1" w:after="0" w:line="273" w:lineRule="auto"/>
              <w:jc w:val="center"/>
              <w:rPr>
                <w:rFonts w:hint="eastAsia" w:ascii="宋体" w:hAnsi="宋体" w:cs="宋体"/>
                <w:szCs w:val="21"/>
              </w:rPr>
            </w:pPr>
          </w:p>
        </w:tc>
        <w:tc>
          <w:tcPr>
            <w:tcW w:w="5997" w:type="dxa"/>
            <w:tcBorders>
              <w:top w:val="single" w:color="auto" w:sz="4" w:space="0"/>
              <w:left w:val="single" w:color="auto" w:sz="4" w:space="0"/>
              <w:bottom w:val="single" w:color="auto" w:sz="4" w:space="0"/>
              <w:right w:val="single" w:color="auto" w:sz="4" w:space="0"/>
            </w:tcBorders>
            <w:vAlign w:val="center"/>
          </w:tcPr>
          <w:p w14:paraId="3978A276">
            <w:pPr>
              <w:adjustRightInd w:val="0"/>
              <w:snapToGrid w:val="0"/>
              <w:spacing w:beforeAutospacing="1" w:after="0" w:line="273" w:lineRule="auto"/>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63FD645A">
            <w:pPr>
              <w:pStyle w:val="5"/>
              <w:autoSpaceDE/>
              <w:autoSpaceDN/>
              <w:adjustRightInd/>
              <w:spacing w:after="0" w:line="240" w:lineRule="auto"/>
              <w:ind w:firstLine="0"/>
              <w:jc w:val="center"/>
              <w:rPr>
                <w:rFonts w:hint="eastAsia" w:ascii="宋体" w:hAnsi="宋体" w:eastAsia="宋体" w:cs="宋体"/>
                <w:sz w:val="21"/>
                <w:szCs w:val="21"/>
              </w:rPr>
            </w:pPr>
          </w:p>
        </w:tc>
      </w:tr>
      <w:tr w14:paraId="0A07F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exact"/>
          <w:jc w:val="center"/>
        </w:trPr>
        <w:tc>
          <w:tcPr>
            <w:tcW w:w="787" w:type="dxa"/>
            <w:vMerge w:val="continue"/>
            <w:tcBorders>
              <w:top w:val="single" w:color="auto" w:sz="4" w:space="0"/>
              <w:left w:val="single" w:color="auto" w:sz="4" w:space="0"/>
              <w:bottom w:val="single" w:color="auto" w:sz="4" w:space="0"/>
              <w:right w:val="single" w:color="auto" w:sz="4" w:space="0"/>
            </w:tcBorders>
            <w:vAlign w:val="center"/>
          </w:tcPr>
          <w:p w14:paraId="11BEC796">
            <w:pPr>
              <w:adjustRightInd w:val="0"/>
              <w:snapToGrid w:val="0"/>
              <w:spacing w:after="0" w:line="240" w:lineRule="auto"/>
              <w:jc w:val="center"/>
              <w:rPr>
                <w:rFonts w:hint="eastAsia" w:ascii="宋体" w:hAnsi="宋体" w:cs="宋体"/>
                <w:szCs w:val="21"/>
              </w:rPr>
            </w:pPr>
          </w:p>
        </w:tc>
        <w:tc>
          <w:tcPr>
            <w:tcW w:w="597" w:type="dxa"/>
            <w:tcBorders>
              <w:top w:val="single" w:color="auto" w:sz="4" w:space="0"/>
              <w:left w:val="single" w:color="auto" w:sz="4" w:space="0"/>
              <w:bottom w:val="single" w:color="auto" w:sz="4" w:space="0"/>
              <w:right w:val="single" w:color="auto" w:sz="4" w:space="0"/>
            </w:tcBorders>
            <w:vAlign w:val="center"/>
          </w:tcPr>
          <w:p w14:paraId="5EFB7598">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6FDB3995">
            <w:pPr>
              <w:adjustRightInd w:val="0"/>
              <w:snapToGrid w:val="0"/>
              <w:spacing w:beforeAutospacing="1" w:after="0" w:line="273" w:lineRule="auto"/>
              <w:jc w:val="center"/>
              <w:rPr>
                <w:rFonts w:hint="eastAsia" w:ascii="宋体" w:hAnsi="宋体" w:cs="宋体"/>
                <w:szCs w:val="21"/>
              </w:rPr>
            </w:pPr>
          </w:p>
        </w:tc>
        <w:tc>
          <w:tcPr>
            <w:tcW w:w="5997" w:type="dxa"/>
            <w:tcBorders>
              <w:top w:val="single" w:color="auto" w:sz="4" w:space="0"/>
              <w:left w:val="single" w:color="auto" w:sz="4" w:space="0"/>
              <w:bottom w:val="single" w:color="auto" w:sz="4" w:space="0"/>
              <w:right w:val="single" w:color="auto" w:sz="4" w:space="0"/>
            </w:tcBorders>
            <w:vAlign w:val="center"/>
          </w:tcPr>
          <w:p w14:paraId="483D0283">
            <w:pPr>
              <w:adjustRightInd w:val="0"/>
              <w:snapToGrid w:val="0"/>
              <w:spacing w:beforeAutospacing="1" w:after="0" w:line="240" w:lineRule="auto"/>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67963F51">
            <w:pPr>
              <w:pStyle w:val="5"/>
              <w:autoSpaceDE/>
              <w:autoSpaceDN/>
              <w:adjustRightInd/>
              <w:spacing w:after="0" w:line="240" w:lineRule="auto"/>
              <w:ind w:firstLine="0"/>
              <w:jc w:val="center"/>
              <w:rPr>
                <w:rFonts w:hint="eastAsia" w:ascii="宋体" w:hAnsi="宋体" w:eastAsia="宋体" w:cs="宋体"/>
                <w:sz w:val="21"/>
                <w:szCs w:val="21"/>
              </w:rPr>
            </w:pPr>
          </w:p>
        </w:tc>
      </w:tr>
      <w:tr w14:paraId="3CD4A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exact"/>
          <w:jc w:val="center"/>
        </w:trPr>
        <w:tc>
          <w:tcPr>
            <w:tcW w:w="787" w:type="dxa"/>
            <w:vMerge w:val="restart"/>
            <w:tcBorders>
              <w:top w:val="single" w:color="auto" w:sz="4" w:space="0"/>
              <w:left w:val="single" w:color="auto" w:sz="4" w:space="0"/>
              <w:bottom w:val="single" w:color="auto" w:sz="4" w:space="0"/>
              <w:right w:val="single" w:color="auto" w:sz="4" w:space="0"/>
            </w:tcBorders>
            <w:vAlign w:val="center"/>
          </w:tcPr>
          <w:p w14:paraId="6F974FCE">
            <w:pPr>
              <w:adjustRightInd w:val="0"/>
              <w:snapToGrid w:val="0"/>
              <w:spacing w:after="0" w:line="240" w:lineRule="auto"/>
              <w:jc w:val="center"/>
              <w:rPr>
                <w:rFonts w:hint="eastAsia" w:ascii="宋体" w:hAnsi="宋体" w:cs="宋体"/>
                <w:szCs w:val="21"/>
              </w:rPr>
            </w:pPr>
          </w:p>
        </w:tc>
        <w:tc>
          <w:tcPr>
            <w:tcW w:w="597" w:type="dxa"/>
            <w:tcBorders>
              <w:top w:val="single" w:color="auto" w:sz="4" w:space="0"/>
              <w:left w:val="single" w:color="auto" w:sz="4" w:space="0"/>
              <w:bottom w:val="single" w:color="auto" w:sz="4" w:space="0"/>
              <w:right w:val="single" w:color="auto" w:sz="4" w:space="0"/>
            </w:tcBorders>
            <w:vAlign w:val="center"/>
          </w:tcPr>
          <w:p w14:paraId="1ADD9184">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41243C36">
            <w:pPr>
              <w:adjustRightInd w:val="0"/>
              <w:snapToGrid w:val="0"/>
              <w:spacing w:after="0" w:line="240" w:lineRule="auto"/>
              <w:jc w:val="left"/>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2626B37E">
            <w:pPr>
              <w:adjustRightInd w:val="0"/>
              <w:snapToGrid w:val="0"/>
              <w:spacing w:after="0" w:line="240" w:lineRule="auto"/>
              <w:jc w:val="left"/>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35C0B461">
            <w:pPr>
              <w:pStyle w:val="5"/>
              <w:autoSpaceDE/>
              <w:autoSpaceDN/>
              <w:adjustRightInd/>
              <w:spacing w:after="0" w:line="240" w:lineRule="auto"/>
              <w:ind w:firstLine="0"/>
              <w:jc w:val="center"/>
              <w:rPr>
                <w:rFonts w:hint="eastAsia" w:ascii="宋体" w:hAnsi="宋体" w:eastAsia="宋体" w:cs="宋体"/>
                <w:sz w:val="21"/>
                <w:szCs w:val="21"/>
              </w:rPr>
            </w:pPr>
          </w:p>
        </w:tc>
      </w:tr>
      <w:tr w14:paraId="7CAC3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exact"/>
          <w:jc w:val="center"/>
        </w:trPr>
        <w:tc>
          <w:tcPr>
            <w:tcW w:w="787" w:type="dxa"/>
            <w:vMerge w:val="continue"/>
            <w:tcBorders>
              <w:top w:val="single" w:color="auto" w:sz="4" w:space="0"/>
              <w:left w:val="single" w:color="auto" w:sz="4" w:space="0"/>
              <w:bottom w:val="single" w:color="auto" w:sz="4" w:space="0"/>
              <w:right w:val="single" w:color="auto" w:sz="4" w:space="0"/>
            </w:tcBorders>
            <w:vAlign w:val="center"/>
          </w:tcPr>
          <w:p w14:paraId="45BBABEB">
            <w:pPr>
              <w:adjustRightInd w:val="0"/>
              <w:snapToGrid w:val="0"/>
              <w:spacing w:after="0" w:line="240" w:lineRule="auto"/>
              <w:jc w:val="center"/>
              <w:rPr>
                <w:rFonts w:hint="eastAsia" w:ascii="宋体" w:hAnsi="宋体" w:cs="宋体"/>
                <w:szCs w:val="21"/>
              </w:rPr>
            </w:pPr>
          </w:p>
        </w:tc>
        <w:tc>
          <w:tcPr>
            <w:tcW w:w="597" w:type="dxa"/>
            <w:tcBorders>
              <w:top w:val="single" w:color="auto" w:sz="4" w:space="0"/>
              <w:left w:val="single" w:color="auto" w:sz="4" w:space="0"/>
              <w:bottom w:val="single" w:color="auto" w:sz="4" w:space="0"/>
              <w:right w:val="single" w:color="auto" w:sz="4" w:space="0"/>
            </w:tcBorders>
            <w:vAlign w:val="center"/>
          </w:tcPr>
          <w:p w14:paraId="4BBF2A24">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7FC083C3">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178BC422">
            <w:pPr>
              <w:tabs>
                <w:tab w:val="left" w:pos="0"/>
                <w:tab w:val="left" w:pos="1134"/>
                <w:tab w:val="left" w:pos="8505"/>
              </w:tabs>
              <w:adjustRightInd w:val="0"/>
              <w:snapToGrid w:val="0"/>
              <w:spacing w:after="0" w:line="240" w:lineRule="auto"/>
              <w:textAlignment w:val="baseline"/>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67EFFC3B">
            <w:pPr>
              <w:pStyle w:val="5"/>
              <w:autoSpaceDE/>
              <w:autoSpaceDN/>
              <w:adjustRightInd/>
              <w:spacing w:after="0" w:line="240" w:lineRule="auto"/>
              <w:ind w:firstLine="0"/>
              <w:jc w:val="center"/>
              <w:rPr>
                <w:rFonts w:hint="eastAsia" w:ascii="宋体" w:hAnsi="宋体" w:eastAsia="宋体" w:cs="宋体"/>
                <w:sz w:val="21"/>
                <w:szCs w:val="21"/>
              </w:rPr>
            </w:pPr>
          </w:p>
        </w:tc>
      </w:tr>
      <w:tr w14:paraId="458F5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exact"/>
          <w:jc w:val="center"/>
        </w:trPr>
        <w:tc>
          <w:tcPr>
            <w:tcW w:w="787" w:type="dxa"/>
            <w:vMerge w:val="continue"/>
            <w:tcBorders>
              <w:top w:val="single" w:color="auto" w:sz="4" w:space="0"/>
              <w:left w:val="single" w:color="auto" w:sz="4" w:space="0"/>
              <w:bottom w:val="single" w:color="auto" w:sz="4" w:space="0"/>
              <w:right w:val="single" w:color="auto" w:sz="4" w:space="0"/>
            </w:tcBorders>
            <w:vAlign w:val="center"/>
          </w:tcPr>
          <w:p w14:paraId="771C1392">
            <w:pPr>
              <w:adjustRightInd w:val="0"/>
              <w:snapToGrid w:val="0"/>
              <w:spacing w:after="0" w:line="240" w:lineRule="auto"/>
              <w:jc w:val="center"/>
              <w:rPr>
                <w:rFonts w:hint="eastAsia" w:ascii="宋体" w:hAnsi="宋体" w:cs="宋体"/>
                <w:szCs w:val="21"/>
              </w:rPr>
            </w:pPr>
          </w:p>
        </w:tc>
        <w:tc>
          <w:tcPr>
            <w:tcW w:w="597" w:type="dxa"/>
            <w:tcBorders>
              <w:top w:val="single" w:color="auto" w:sz="4" w:space="0"/>
              <w:left w:val="single" w:color="auto" w:sz="4" w:space="0"/>
              <w:bottom w:val="single" w:color="auto" w:sz="4" w:space="0"/>
              <w:right w:val="single" w:color="auto" w:sz="4" w:space="0"/>
            </w:tcBorders>
            <w:vAlign w:val="center"/>
          </w:tcPr>
          <w:p w14:paraId="0B27D116">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118CF503">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67A03A85">
            <w:pPr>
              <w:adjustRightInd w:val="0"/>
              <w:snapToGrid w:val="0"/>
              <w:spacing w:after="0" w:line="240" w:lineRule="auto"/>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08F1F6A2">
            <w:pPr>
              <w:pStyle w:val="5"/>
              <w:autoSpaceDE/>
              <w:autoSpaceDN/>
              <w:adjustRightInd/>
              <w:spacing w:after="0" w:line="240" w:lineRule="auto"/>
              <w:ind w:firstLine="0"/>
              <w:jc w:val="center"/>
              <w:rPr>
                <w:rFonts w:hint="eastAsia" w:ascii="宋体" w:hAnsi="宋体" w:eastAsia="宋体" w:cs="宋体"/>
                <w:sz w:val="21"/>
                <w:szCs w:val="21"/>
              </w:rPr>
            </w:pPr>
          </w:p>
        </w:tc>
      </w:tr>
      <w:tr w14:paraId="1F5E1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9" w:hRule="exact"/>
          <w:jc w:val="center"/>
        </w:trPr>
        <w:tc>
          <w:tcPr>
            <w:tcW w:w="787" w:type="dxa"/>
            <w:vMerge w:val="continue"/>
            <w:tcBorders>
              <w:top w:val="single" w:color="auto" w:sz="4" w:space="0"/>
              <w:left w:val="single" w:color="auto" w:sz="4" w:space="0"/>
              <w:bottom w:val="single" w:color="auto" w:sz="4" w:space="0"/>
              <w:right w:val="single" w:color="auto" w:sz="4" w:space="0"/>
            </w:tcBorders>
            <w:vAlign w:val="center"/>
          </w:tcPr>
          <w:p w14:paraId="26258CBC">
            <w:pPr>
              <w:adjustRightInd w:val="0"/>
              <w:snapToGrid w:val="0"/>
              <w:spacing w:after="0" w:line="240" w:lineRule="auto"/>
              <w:jc w:val="center"/>
              <w:rPr>
                <w:rFonts w:hint="eastAsia" w:ascii="宋体" w:hAnsi="宋体" w:cs="宋体"/>
                <w:szCs w:val="21"/>
              </w:rPr>
            </w:pPr>
          </w:p>
        </w:tc>
        <w:tc>
          <w:tcPr>
            <w:tcW w:w="597" w:type="dxa"/>
            <w:tcBorders>
              <w:top w:val="single" w:color="auto" w:sz="4" w:space="0"/>
              <w:left w:val="single" w:color="auto" w:sz="4" w:space="0"/>
              <w:bottom w:val="single" w:color="auto" w:sz="4" w:space="0"/>
              <w:right w:val="single" w:color="auto" w:sz="4" w:space="0"/>
            </w:tcBorders>
            <w:vAlign w:val="center"/>
          </w:tcPr>
          <w:p w14:paraId="0994CB70">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2C4D3193">
            <w:pPr>
              <w:adjustRightInd w:val="0"/>
              <w:snapToGrid w:val="0"/>
              <w:spacing w:after="0" w:line="240" w:lineRule="auto"/>
              <w:jc w:val="center"/>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28739C7C">
            <w:pPr>
              <w:adjustRightInd w:val="0"/>
              <w:snapToGrid w:val="0"/>
              <w:spacing w:after="0" w:line="240" w:lineRule="auto"/>
              <w:jc w:val="left"/>
              <w:rPr>
                <w:rFonts w:hint="eastAsia" w:ascii="宋体" w:hAnsi="宋体" w:cs="宋体"/>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764710D8">
            <w:pPr>
              <w:pStyle w:val="5"/>
              <w:autoSpaceDE/>
              <w:autoSpaceDN/>
              <w:adjustRightInd/>
              <w:spacing w:after="0" w:line="240" w:lineRule="auto"/>
              <w:ind w:firstLine="0"/>
              <w:jc w:val="center"/>
              <w:rPr>
                <w:rFonts w:hint="eastAsia" w:ascii="宋体" w:hAnsi="宋体" w:eastAsia="宋体" w:cs="宋体"/>
                <w:sz w:val="21"/>
                <w:szCs w:val="21"/>
              </w:rPr>
            </w:pPr>
          </w:p>
        </w:tc>
      </w:tr>
    </w:tbl>
    <w:p w14:paraId="7803D2C1">
      <w:pPr>
        <w:pStyle w:val="42"/>
        <w:ind w:firstLine="280"/>
        <w:rPr>
          <w:rFonts w:hint="eastAsia" w:ascii="宋体" w:hAnsi="宋体"/>
        </w:rPr>
        <w:sectPr>
          <w:pgSz w:w="11920" w:h="16840"/>
          <w:pgMar w:top="1440" w:right="1800" w:bottom="1440" w:left="1800" w:header="851" w:footer="992" w:gutter="0"/>
          <w:pgBorders>
            <w:top w:val="none" w:sz="0" w:space="0"/>
            <w:left w:val="none" w:sz="0" w:space="0"/>
            <w:bottom w:val="none" w:sz="0" w:space="0"/>
            <w:right w:val="none" w:sz="0" w:space="0"/>
          </w:pgBorders>
          <w:cols w:space="720" w:num="1"/>
          <w:docGrid w:linePitch="312" w:charSpace="0"/>
        </w:sectPr>
      </w:pPr>
    </w:p>
    <w:p w14:paraId="45B91EDD">
      <w:pPr>
        <w:pStyle w:val="3"/>
        <w:spacing w:before="0" w:after="0"/>
        <w:jc w:val="center"/>
        <w:rPr>
          <w:rFonts w:hint="eastAsia" w:ascii="宋体" w:hAnsi="宋体" w:eastAsia="宋体"/>
          <w:sz w:val="28"/>
          <w:szCs w:val="28"/>
        </w:rPr>
      </w:pPr>
      <w:bookmarkStart w:id="668" w:name="_Toc438052120"/>
      <w:bookmarkStart w:id="669" w:name="_Toc214432853"/>
      <w:r>
        <w:rPr>
          <w:rFonts w:hint="eastAsia" w:ascii="宋体" w:hAnsi="宋体" w:eastAsia="宋体"/>
          <w:sz w:val="28"/>
          <w:szCs w:val="28"/>
        </w:rPr>
        <w:t>三、投标函</w:t>
      </w:r>
      <w:bookmarkEnd w:id="668"/>
      <w:r>
        <w:rPr>
          <w:rFonts w:hint="eastAsia" w:ascii="宋体" w:hAnsi="宋体" w:eastAsia="宋体"/>
          <w:sz w:val="28"/>
          <w:szCs w:val="28"/>
        </w:rPr>
        <w:t>格式（投标人需据实修改）</w:t>
      </w:r>
      <w:bookmarkEnd w:id="669"/>
    </w:p>
    <w:p w14:paraId="69E1DBB9">
      <w:pPr>
        <w:pStyle w:val="81"/>
        <w:spacing w:after="0"/>
        <w:ind w:firstLine="0" w:firstLineChars="0"/>
        <w:jc w:val="center"/>
        <w:rPr>
          <w:rFonts w:hint="eastAsia" w:ascii="宋体" w:hAnsi="宋体"/>
          <w:b/>
          <w:sz w:val="28"/>
          <w:szCs w:val="28"/>
        </w:rPr>
      </w:pPr>
      <w:r>
        <w:rPr>
          <w:rFonts w:hint="eastAsia" w:ascii="宋体" w:hAnsi="宋体"/>
          <w:b/>
          <w:sz w:val="28"/>
          <w:szCs w:val="28"/>
        </w:rPr>
        <w:t>投  标</w:t>
      </w:r>
      <w:r>
        <w:rPr>
          <w:rFonts w:ascii="宋体" w:hAnsi="宋体"/>
          <w:b/>
          <w:sz w:val="28"/>
          <w:szCs w:val="28"/>
        </w:rPr>
        <w:t xml:space="preserve">  </w:t>
      </w:r>
      <w:r>
        <w:rPr>
          <w:rFonts w:hint="eastAsia" w:ascii="宋体" w:hAnsi="宋体"/>
          <w:b/>
          <w:sz w:val="28"/>
          <w:szCs w:val="28"/>
        </w:rPr>
        <w:t>函</w:t>
      </w:r>
    </w:p>
    <w:p w14:paraId="18B74770">
      <w:pPr>
        <w:adjustRightInd w:val="0"/>
        <w:snapToGrid w:val="0"/>
        <w:spacing w:after="0" w:line="360" w:lineRule="auto"/>
        <w:jc w:val="left"/>
        <w:rPr>
          <w:rFonts w:hint="eastAsia" w:ascii="宋体" w:hAnsi="宋体" w:cs="宋体"/>
          <w:szCs w:val="21"/>
        </w:rPr>
      </w:pPr>
      <w:bookmarkStart w:id="670" w:name="_Toc447265635"/>
      <w:bookmarkStart w:id="671" w:name="_Toc447265349"/>
      <w:r>
        <w:rPr>
          <w:rFonts w:hint="eastAsia" w:ascii="宋体" w:hAnsi="宋体" w:cs="宋体"/>
          <w:szCs w:val="21"/>
        </w:rPr>
        <w:t>致：</w:t>
      </w:r>
      <w:r>
        <w:rPr>
          <w:rFonts w:hint="eastAsia" w:ascii="宋体" w:hAnsi="宋体" w:cs="宋体"/>
          <w:szCs w:val="21"/>
          <w:u w:val="single"/>
        </w:rPr>
        <w:t>（招标人名称）</w:t>
      </w:r>
      <w:r>
        <w:rPr>
          <w:rFonts w:hint="eastAsia" w:ascii="宋体" w:hAnsi="宋体" w:cs="宋体"/>
          <w:szCs w:val="21"/>
        </w:rPr>
        <w:t>：</w:t>
      </w:r>
    </w:p>
    <w:p w14:paraId="4A3C577F">
      <w:pPr>
        <w:spacing w:after="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（投标人名称）</w:t>
      </w:r>
      <w:r>
        <w:rPr>
          <w:rFonts w:ascii="宋体" w:hAnsi="宋体"/>
          <w:szCs w:val="21"/>
          <w:u w:val="single"/>
        </w:rPr>
        <w:t xml:space="preserve">    </w:t>
      </w:r>
      <w:r>
        <w:rPr>
          <w:rFonts w:hint="eastAsia" w:ascii="宋体" w:hAnsi="宋体"/>
          <w:szCs w:val="21"/>
        </w:rPr>
        <w:t>（以下称“我方”）已仔细研究了</w:t>
      </w:r>
      <w:r>
        <w:rPr>
          <w:rFonts w:hint="eastAsia" w:ascii="宋体" w:hAnsi="宋体"/>
          <w:szCs w:val="21"/>
          <w:u w:val="single"/>
        </w:rPr>
        <w:t>惠州交投能源投资有限公司节能技改项目货物采购（第一批）</w:t>
      </w:r>
      <w:r>
        <w:rPr>
          <w:rFonts w:hint="eastAsia" w:ascii="宋体" w:hAnsi="宋体"/>
          <w:szCs w:val="21"/>
        </w:rPr>
        <w:t>招标文件的全部内容，</w:t>
      </w:r>
      <w:r>
        <w:rPr>
          <w:rFonts w:hint="eastAsia" w:ascii="宋体" w:hAnsi="宋体"/>
          <w:bCs/>
          <w:szCs w:val="21"/>
        </w:rPr>
        <w:t>包括澄清或者修改文件以及有关附件</w:t>
      </w:r>
      <w:r>
        <w:rPr>
          <w:rFonts w:hint="eastAsia" w:ascii="宋体" w:hAnsi="宋体"/>
          <w:szCs w:val="21"/>
        </w:rPr>
        <w:t>，我方将严格按照招标文件要求递交符合要求的全部投标文件。</w:t>
      </w:r>
    </w:p>
    <w:p w14:paraId="07F58BBE">
      <w:pPr>
        <w:spacing w:after="0" w:line="360" w:lineRule="auto"/>
        <w:ind w:firstLine="420" w:firstLineChars="200"/>
        <w:rPr>
          <w:rFonts w:hint="eastAsia" w:ascii="宋体" w:hAnsi="宋体"/>
          <w:szCs w:val="21"/>
        </w:rPr>
      </w:pPr>
      <w:r>
        <w:rPr>
          <w:rFonts w:hint="eastAsia" w:ascii="宋体" w:hAnsi="宋体"/>
          <w:szCs w:val="21"/>
        </w:rPr>
        <w:t>我方承诺如下内容：</w:t>
      </w:r>
    </w:p>
    <w:p w14:paraId="71FE9B03">
      <w:pPr>
        <w:pStyle w:val="81"/>
        <w:numPr>
          <w:ilvl w:val="3"/>
          <w:numId w:val="5"/>
        </w:numPr>
        <w:tabs>
          <w:tab w:val="left" w:pos="709"/>
        </w:tabs>
        <w:spacing w:after="0" w:line="360" w:lineRule="auto"/>
        <w:ind w:left="0" w:firstLine="420"/>
        <w:rPr>
          <w:rFonts w:hint="eastAsia" w:ascii="宋体" w:hAnsi="宋体"/>
          <w:szCs w:val="21"/>
        </w:rPr>
      </w:pPr>
      <w:r>
        <w:rPr>
          <w:rFonts w:hint="eastAsia" w:ascii="宋体" w:hAnsi="宋体"/>
          <w:szCs w:val="21"/>
        </w:rPr>
        <w:t>我方的投标文件包含第二章“投标人须知”第</w:t>
      </w:r>
      <w:r>
        <w:rPr>
          <w:rFonts w:ascii="宋体" w:hAnsi="宋体"/>
          <w:szCs w:val="21"/>
        </w:rPr>
        <w:t>3.1</w:t>
      </w:r>
      <w:r>
        <w:rPr>
          <w:rFonts w:hint="eastAsia" w:ascii="宋体" w:hAnsi="宋体"/>
          <w:szCs w:val="21"/>
        </w:rPr>
        <w:t>款规定的全部内容。</w:t>
      </w:r>
    </w:p>
    <w:p w14:paraId="4F8DBB9F">
      <w:pPr>
        <w:pStyle w:val="81"/>
        <w:numPr>
          <w:ilvl w:val="3"/>
          <w:numId w:val="5"/>
        </w:numPr>
        <w:tabs>
          <w:tab w:val="left" w:pos="709"/>
        </w:tabs>
        <w:spacing w:after="0" w:line="360" w:lineRule="auto"/>
        <w:ind w:left="0" w:firstLine="420"/>
        <w:rPr>
          <w:rFonts w:hint="eastAsia" w:ascii="宋体" w:hAnsi="宋体"/>
          <w:szCs w:val="21"/>
        </w:rPr>
      </w:pPr>
      <w:r>
        <w:rPr>
          <w:rFonts w:hint="eastAsia" w:ascii="宋体" w:hAnsi="宋体"/>
          <w:szCs w:val="21"/>
        </w:rPr>
        <w:t>我方承诺在招标文件规定的投标有效期（投标有效期为</w:t>
      </w:r>
      <w:r>
        <w:rPr>
          <w:rFonts w:ascii="宋体" w:hAnsi="宋体"/>
          <w:szCs w:val="21"/>
          <w:u w:val="single"/>
        </w:rPr>
        <w:t>120</w:t>
      </w:r>
      <w:r>
        <w:rPr>
          <w:rFonts w:hint="eastAsia" w:ascii="宋体" w:hAnsi="宋体"/>
          <w:szCs w:val="21"/>
          <w:u w:val="single"/>
        </w:rPr>
        <w:t>天</w:t>
      </w:r>
      <w:r>
        <w:rPr>
          <w:rFonts w:hint="eastAsia" w:ascii="宋体" w:hAnsi="宋体"/>
          <w:szCs w:val="21"/>
        </w:rPr>
        <w:t>）内不修改、撤销投标文件。</w:t>
      </w:r>
    </w:p>
    <w:p w14:paraId="0B63B495">
      <w:pPr>
        <w:pStyle w:val="81"/>
        <w:numPr>
          <w:ilvl w:val="3"/>
          <w:numId w:val="5"/>
        </w:numPr>
        <w:tabs>
          <w:tab w:val="left" w:pos="709"/>
        </w:tabs>
        <w:spacing w:after="0" w:line="360" w:lineRule="auto"/>
        <w:ind w:left="0" w:firstLine="420"/>
        <w:rPr>
          <w:rFonts w:hint="eastAsia" w:ascii="宋体" w:hAnsi="宋体"/>
          <w:szCs w:val="21"/>
        </w:rPr>
      </w:pPr>
      <w:r>
        <w:rPr>
          <w:rFonts w:hint="eastAsia" w:ascii="宋体" w:hAnsi="宋体"/>
          <w:szCs w:val="21"/>
        </w:rPr>
        <w:t>随同本投标函递交保证金一份，金额为人民币（大写）</w:t>
      </w:r>
      <w:r>
        <w:rPr>
          <w:rFonts w:ascii="宋体" w:hAnsi="宋体"/>
          <w:szCs w:val="21"/>
          <w:u w:val="single"/>
        </w:rPr>
        <w:t xml:space="preserve">         </w:t>
      </w:r>
      <w:r>
        <w:rPr>
          <w:rFonts w:hint="eastAsia" w:ascii="宋体" w:hAnsi="宋体"/>
          <w:szCs w:val="21"/>
        </w:rPr>
        <w:t>（</w:t>
      </w:r>
      <w:r>
        <w:rPr>
          <w:rFonts w:ascii="宋体" w:hAnsi="宋体"/>
          <w:szCs w:val="21"/>
        </w:rPr>
        <w:t xml:space="preserve">¥       </w:t>
      </w:r>
      <w:r>
        <w:rPr>
          <w:rFonts w:hint="eastAsia" w:ascii="宋体" w:hAnsi="宋体"/>
          <w:szCs w:val="21"/>
        </w:rPr>
        <w:t>）。</w:t>
      </w:r>
    </w:p>
    <w:p w14:paraId="0B13683D">
      <w:pPr>
        <w:pStyle w:val="81"/>
        <w:numPr>
          <w:ilvl w:val="3"/>
          <w:numId w:val="5"/>
        </w:numPr>
        <w:tabs>
          <w:tab w:val="left" w:pos="709"/>
        </w:tabs>
        <w:spacing w:after="0" w:line="360" w:lineRule="auto"/>
        <w:ind w:left="0" w:firstLine="420"/>
        <w:rPr>
          <w:rFonts w:hint="eastAsia" w:ascii="宋体" w:hAnsi="宋体"/>
          <w:szCs w:val="21"/>
        </w:rPr>
      </w:pPr>
      <w:r>
        <w:rPr>
          <w:rFonts w:hint="eastAsia" w:ascii="宋体" w:hAnsi="宋体"/>
          <w:szCs w:val="21"/>
        </w:rPr>
        <w:t>我方在评审过程中根据评审委员会要求提供的符合相关规定的澄清文件，构成投标文件的组成部分。</w:t>
      </w:r>
    </w:p>
    <w:p w14:paraId="029290CE">
      <w:pPr>
        <w:pStyle w:val="81"/>
        <w:numPr>
          <w:ilvl w:val="3"/>
          <w:numId w:val="5"/>
        </w:numPr>
        <w:tabs>
          <w:tab w:val="left" w:pos="709"/>
        </w:tabs>
        <w:spacing w:after="0" w:line="360" w:lineRule="auto"/>
        <w:ind w:left="0" w:firstLine="420"/>
        <w:rPr>
          <w:rFonts w:hint="eastAsia" w:ascii="宋体" w:hAnsi="宋体"/>
          <w:szCs w:val="21"/>
        </w:rPr>
      </w:pPr>
      <w:r>
        <w:rPr>
          <w:rFonts w:hint="eastAsia" w:ascii="宋体" w:hAnsi="宋体"/>
          <w:szCs w:val="21"/>
        </w:rPr>
        <w:t>我方同意提供贵方可能要求的与投标有关的一切数据或者资料，并完全理解贵方不一定接受最低价的投标。</w:t>
      </w:r>
    </w:p>
    <w:p w14:paraId="4BC9DB7E">
      <w:pPr>
        <w:pStyle w:val="81"/>
        <w:numPr>
          <w:ilvl w:val="3"/>
          <w:numId w:val="5"/>
        </w:numPr>
        <w:tabs>
          <w:tab w:val="left" w:pos="709"/>
        </w:tabs>
        <w:spacing w:after="0" w:line="360" w:lineRule="auto"/>
        <w:ind w:left="0" w:firstLine="420"/>
        <w:rPr>
          <w:rFonts w:hint="eastAsia" w:ascii="宋体" w:hAnsi="宋体"/>
          <w:szCs w:val="21"/>
        </w:rPr>
      </w:pPr>
      <w:r>
        <w:rPr>
          <w:rFonts w:hint="eastAsia" w:ascii="宋体" w:hAnsi="宋体"/>
          <w:szCs w:val="21"/>
        </w:rPr>
        <w:t>我方承诺不向第三方透露与采购相关的所有信息。</w:t>
      </w:r>
    </w:p>
    <w:p w14:paraId="19F65482">
      <w:pPr>
        <w:pStyle w:val="81"/>
        <w:numPr>
          <w:ilvl w:val="3"/>
          <w:numId w:val="5"/>
        </w:numPr>
        <w:tabs>
          <w:tab w:val="left" w:pos="709"/>
        </w:tabs>
        <w:spacing w:after="0" w:line="360" w:lineRule="auto"/>
        <w:ind w:left="0" w:firstLine="420"/>
        <w:rPr>
          <w:rFonts w:hint="eastAsia" w:ascii="宋体" w:hAnsi="宋体"/>
          <w:szCs w:val="21"/>
        </w:rPr>
      </w:pPr>
      <w:r>
        <w:rPr>
          <w:rFonts w:hint="eastAsia" w:ascii="宋体" w:hAnsi="宋体"/>
          <w:szCs w:val="21"/>
        </w:rPr>
        <w:t>如我方成交：</w:t>
      </w:r>
    </w:p>
    <w:p w14:paraId="1A14C0A4">
      <w:pPr>
        <w:pStyle w:val="81"/>
        <w:numPr>
          <w:ilvl w:val="0"/>
          <w:numId w:val="6"/>
        </w:numPr>
        <w:tabs>
          <w:tab w:val="left" w:pos="993"/>
        </w:tabs>
        <w:spacing w:after="0" w:line="360" w:lineRule="auto"/>
        <w:ind w:left="0" w:firstLine="420"/>
        <w:rPr>
          <w:rFonts w:hint="eastAsia" w:ascii="宋体" w:hAnsi="宋体"/>
          <w:szCs w:val="21"/>
        </w:rPr>
      </w:pPr>
      <w:r>
        <w:rPr>
          <w:rFonts w:hint="eastAsia" w:ascii="宋体" w:hAnsi="宋体"/>
          <w:szCs w:val="21"/>
        </w:rPr>
        <w:t>我方承诺在收到成交通知书后，在成交通知书规定的期限内与你方签订合同。</w:t>
      </w:r>
    </w:p>
    <w:p w14:paraId="292F1D02">
      <w:pPr>
        <w:pStyle w:val="81"/>
        <w:numPr>
          <w:ilvl w:val="0"/>
          <w:numId w:val="6"/>
        </w:numPr>
        <w:tabs>
          <w:tab w:val="left" w:pos="993"/>
        </w:tabs>
        <w:spacing w:after="0" w:line="360" w:lineRule="auto"/>
        <w:ind w:left="0" w:firstLine="420"/>
        <w:rPr>
          <w:rFonts w:hint="eastAsia" w:ascii="宋体" w:hAnsi="宋体"/>
          <w:szCs w:val="21"/>
        </w:rPr>
      </w:pPr>
      <w:r>
        <w:rPr>
          <w:rFonts w:hint="eastAsia" w:ascii="宋体" w:hAnsi="宋体"/>
          <w:szCs w:val="21"/>
        </w:rPr>
        <w:t>我方承诺按照招标文件规定递交履约保证金、支付招标代理服务费。</w:t>
      </w:r>
    </w:p>
    <w:p w14:paraId="0F78AFDE">
      <w:pPr>
        <w:pStyle w:val="81"/>
        <w:numPr>
          <w:ilvl w:val="0"/>
          <w:numId w:val="6"/>
        </w:numPr>
        <w:tabs>
          <w:tab w:val="left" w:pos="993"/>
        </w:tabs>
        <w:spacing w:after="0" w:line="360" w:lineRule="auto"/>
        <w:ind w:left="0" w:firstLine="420"/>
        <w:rPr>
          <w:rFonts w:hint="eastAsia" w:ascii="宋体" w:hAnsi="宋体"/>
          <w:szCs w:val="21"/>
        </w:rPr>
      </w:pPr>
      <w:r>
        <w:rPr>
          <w:rFonts w:hint="eastAsia" w:ascii="宋体" w:hAnsi="宋体"/>
          <w:szCs w:val="21"/>
        </w:rPr>
        <w:t>按照招标文件的规定及合同约定履行相关责任和义务。</w:t>
      </w:r>
    </w:p>
    <w:p w14:paraId="23FF9ED5">
      <w:pPr>
        <w:spacing w:after="0" w:line="360" w:lineRule="auto"/>
        <w:ind w:firstLine="420" w:firstLineChars="200"/>
        <w:rPr>
          <w:rFonts w:hint="eastAsia" w:ascii="宋体" w:hAnsi="宋体"/>
          <w:szCs w:val="21"/>
        </w:rPr>
      </w:pPr>
      <w:r>
        <w:rPr>
          <w:rFonts w:hint="eastAsia" w:ascii="宋体" w:hAnsi="宋体"/>
          <w:szCs w:val="21"/>
        </w:rPr>
        <w:t>我方在此声明，所递交的投标文件及有关资料内容完整、真实和准确，且不存在第二章“投标人须知”第</w:t>
      </w:r>
      <w:r>
        <w:rPr>
          <w:rFonts w:ascii="宋体" w:hAnsi="宋体"/>
          <w:szCs w:val="21"/>
        </w:rPr>
        <w:t>1.8</w:t>
      </w:r>
      <w:r>
        <w:rPr>
          <w:rFonts w:hint="eastAsia" w:ascii="宋体" w:hAnsi="宋体"/>
          <w:szCs w:val="21"/>
        </w:rPr>
        <w:t>款规定的任何一种情形。如有弄虚作假，将承担相应的法律责任，并赔偿由此造成的一切损失。</w:t>
      </w:r>
    </w:p>
    <w:p w14:paraId="207D1A49">
      <w:pPr>
        <w:pStyle w:val="81"/>
        <w:numPr>
          <w:ilvl w:val="3"/>
          <w:numId w:val="5"/>
        </w:numPr>
        <w:tabs>
          <w:tab w:val="left" w:pos="709"/>
        </w:tabs>
        <w:spacing w:after="0" w:line="360" w:lineRule="auto"/>
        <w:ind w:left="0" w:firstLine="420"/>
        <w:rPr>
          <w:rFonts w:hint="eastAsia" w:ascii="宋体" w:hAnsi="宋体"/>
          <w:szCs w:val="21"/>
        </w:rPr>
      </w:pPr>
      <w:r>
        <w:rPr>
          <w:rFonts w:hint="eastAsia" w:ascii="宋体" w:hAnsi="宋体"/>
          <w:szCs w:val="21"/>
        </w:rPr>
        <w:t>其他补充说明……</w:t>
      </w:r>
    </w:p>
    <w:p w14:paraId="7A66323D">
      <w:pPr>
        <w:spacing w:after="0" w:line="320" w:lineRule="exact"/>
        <w:ind w:firstLine="3675" w:firstLineChars="1750"/>
        <w:rPr>
          <w:rFonts w:hint="eastAsia" w:ascii="宋体" w:hAnsi="宋体"/>
          <w:szCs w:val="21"/>
        </w:rPr>
      </w:pPr>
    </w:p>
    <w:p w14:paraId="3DA2588E">
      <w:pPr>
        <w:spacing w:after="0" w:line="320" w:lineRule="exact"/>
        <w:ind w:firstLine="3675" w:firstLineChars="1750"/>
        <w:rPr>
          <w:rFonts w:hint="eastAsia" w:ascii="宋体" w:hAnsi="宋体"/>
          <w:szCs w:val="21"/>
        </w:rPr>
      </w:pPr>
    </w:p>
    <w:p w14:paraId="182C05F2">
      <w:pPr>
        <w:spacing w:after="0" w:line="320" w:lineRule="exact"/>
        <w:ind w:firstLine="3675" w:firstLineChars="1750"/>
        <w:rPr>
          <w:rFonts w:hint="eastAsia" w:ascii="宋体" w:hAnsi="宋体"/>
          <w:szCs w:val="21"/>
        </w:rPr>
      </w:pPr>
      <w:r>
        <w:rPr>
          <w:rFonts w:hint="eastAsia" w:ascii="宋体" w:hAnsi="宋体"/>
          <w:szCs w:val="21"/>
        </w:rPr>
        <w:t>投标人名称：</w:t>
      </w:r>
      <w:r>
        <w:rPr>
          <w:rFonts w:ascii="宋体" w:hAnsi="宋体"/>
          <w:szCs w:val="21"/>
        </w:rPr>
        <w:t xml:space="preserve"> </w:t>
      </w:r>
      <w:r>
        <w:rPr>
          <w:rFonts w:ascii="宋体" w:hAnsi="宋体"/>
          <w:szCs w:val="21"/>
          <w:u w:val="single"/>
        </w:rPr>
        <w:t xml:space="preserve">       </w:t>
      </w:r>
      <w:r>
        <w:rPr>
          <w:rFonts w:hint="eastAsia" w:ascii="宋体" w:hAnsi="宋体"/>
          <w:szCs w:val="21"/>
        </w:rPr>
        <w:t>（盖章）</w:t>
      </w:r>
    </w:p>
    <w:p w14:paraId="6BECDDE4">
      <w:pPr>
        <w:spacing w:after="0" w:line="320" w:lineRule="exact"/>
        <w:ind w:firstLine="3675" w:firstLineChars="1750"/>
        <w:rPr>
          <w:rFonts w:hint="eastAsia" w:ascii="宋体" w:hAnsi="宋体"/>
          <w:szCs w:val="21"/>
        </w:rPr>
      </w:pPr>
      <w:r>
        <w:rPr>
          <w:rFonts w:hint="eastAsia" w:ascii="宋体" w:hAnsi="宋体"/>
          <w:szCs w:val="21"/>
        </w:rPr>
        <w:t>法定代表人或者其委托代理人：</w:t>
      </w:r>
      <w:r>
        <w:rPr>
          <w:rFonts w:ascii="宋体" w:hAnsi="宋体"/>
          <w:szCs w:val="21"/>
          <w:u w:val="single"/>
        </w:rPr>
        <w:t xml:space="preserve">     </w:t>
      </w:r>
      <w:r>
        <w:rPr>
          <w:rFonts w:hint="eastAsia" w:ascii="宋体" w:hAnsi="宋体"/>
          <w:szCs w:val="21"/>
        </w:rPr>
        <w:t>（签字）</w:t>
      </w:r>
    </w:p>
    <w:p w14:paraId="790970E1">
      <w:pPr>
        <w:spacing w:after="0" w:line="320" w:lineRule="exact"/>
        <w:ind w:firstLine="3675" w:firstLineChars="1750"/>
        <w:rPr>
          <w:rFonts w:hint="eastAsia" w:ascii="宋体" w:hAnsi="宋体"/>
          <w:szCs w:val="21"/>
          <w:u w:val="single"/>
        </w:rPr>
      </w:pPr>
      <w:r>
        <w:rPr>
          <w:rFonts w:hint="eastAsia" w:ascii="宋体" w:hAnsi="宋体"/>
          <w:szCs w:val="21"/>
        </w:rPr>
        <w:t>地址：</w:t>
      </w:r>
    </w:p>
    <w:p w14:paraId="7A3C6E15">
      <w:pPr>
        <w:spacing w:after="0" w:line="320" w:lineRule="exact"/>
        <w:ind w:firstLine="3675" w:firstLineChars="1750"/>
        <w:rPr>
          <w:rFonts w:hint="eastAsia" w:ascii="宋体" w:hAnsi="宋体"/>
          <w:szCs w:val="21"/>
        </w:rPr>
      </w:pPr>
      <w:r>
        <w:rPr>
          <w:rFonts w:hint="eastAsia" w:ascii="宋体" w:hAnsi="宋体"/>
          <w:szCs w:val="21"/>
        </w:rPr>
        <w:t>邮政编码：</w:t>
      </w:r>
    </w:p>
    <w:p w14:paraId="7B580FB1">
      <w:pPr>
        <w:spacing w:after="0" w:line="320" w:lineRule="exact"/>
        <w:ind w:firstLine="3675" w:firstLineChars="1750"/>
        <w:rPr>
          <w:rFonts w:hint="eastAsia" w:ascii="宋体" w:hAnsi="宋体"/>
          <w:szCs w:val="21"/>
        </w:rPr>
      </w:pPr>
      <w:r>
        <w:rPr>
          <w:rFonts w:hint="eastAsia" w:ascii="宋体" w:hAnsi="宋体"/>
          <w:szCs w:val="21"/>
        </w:rPr>
        <w:t>电话：</w:t>
      </w:r>
    </w:p>
    <w:p w14:paraId="7C5EE113">
      <w:pPr>
        <w:spacing w:after="0" w:line="320" w:lineRule="exact"/>
        <w:ind w:firstLine="3675" w:firstLineChars="1750"/>
        <w:rPr>
          <w:rFonts w:hint="eastAsia" w:ascii="宋体" w:hAnsi="宋体"/>
          <w:szCs w:val="21"/>
        </w:rPr>
      </w:pPr>
      <w:r>
        <w:rPr>
          <w:rFonts w:hint="eastAsia" w:ascii="宋体" w:hAnsi="宋体"/>
          <w:szCs w:val="21"/>
        </w:rPr>
        <w:t>传真：</w:t>
      </w:r>
    </w:p>
    <w:p w14:paraId="5EED85C5">
      <w:pPr>
        <w:spacing w:after="0" w:line="320" w:lineRule="exact"/>
        <w:ind w:firstLine="3675" w:firstLineChars="1750"/>
        <w:rPr>
          <w:rFonts w:hint="eastAsia" w:ascii="宋体" w:hAnsi="宋体"/>
          <w:szCs w:val="21"/>
        </w:rPr>
      </w:pPr>
      <w:r>
        <w:rPr>
          <w:rFonts w:hint="eastAsia" w:ascii="宋体" w:hAnsi="宋体"/>
          <w:szCs w:val="21"/>
        </w:rPr>
        <w:t>电子邮箱：</w:t>
      </w:r>
      <w:r>
        <w:rPr>
          <w:rFonts w:ascii="宋体" w:hAnsi="宋体"/>
          <w:szCs w:val="21"/>
        </w:rPr>
        <w:t xml:space="preserve">       </w:t>
      </w:r>
    </w:p>
    <w:p w14:paraId="5931B7BF">
      <w:pPr>
        <w:spacing w:after="0" w:line="240" w:lineRule="auto"/>
        <w:ind w:firstLine="3675" w:firstLineChars="1750"/>
        <w:jc w:val="right"/>
        <w:rPr>
          <w:rFonts w:hint="eastAsia" w:ascii="宋体" w:hAnsi="宋体"/>
        </w:rPr>
      </w:pPr>
      <w:r>
        <w:rPr>
          <w:rFonts w:ascii="宋体" w:hAnsi="宋体"/>
          <w:szCs w:val="21"/>
        </w:rPr>
        <w:t xml:space="preserve"> </w:t>
      </w:r>
      <w:r>
        <w:rPr>
          <w:rFonts w:ascii="宋体" w:hAnsi="宋体"/>
          <w:u w:val="single"/>
        </w:rPr>
        <w:t xml:space="preserve">   </w:t>
      </w:r>
      <w:r>
        <w:rPr>
          <w:rFonts w:ascii="宋体" w:hAnsi="宋体"/>
          <w:szCs w:val="21"/>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bookmarkEnd w:id="670"/>
      <w:bookmarkEnd w:id="671"/>
    </w:p>
    <w:p w14:paraId="63630AC7">
      <w:pPr>
        <w:widowControl/>
        <w:spacing w:after="0" w:line="240" w:lineRule="auto"/>
        <w:jc w:val="left"/>
        <w:rPr>
          <w:rFonts w:hint="eastAsia" w:ascii="宋体" w:hAnsi="宋体"/>
          <w:b/>
          <w:bCs/>
          <w:sz w:val="28"/>
          <w:szCs w:val="28"/>
        </w:rPr>
      </w:pPr>
      <w:r>
        <w:rPr>
          <w:rFonts w:ascii="宋体" w:hAnsi="宋体"/>
          <w:sz w:val="28"/>
          <w:szCs w:val="28"/>
        </w:rPr>
        <w:br w:type="page"/>
      </w:r>
    </w:p>
    <w:p w14:paraId="69A15FD0">
      <w:pPr>
        <w:pStyle w:val="3"/>
        <w:ind w:left="3545"/>
        <w:rPr>
          <w:rFonts w:hint="eastAsia" w:ascii="宋体" w:hAnsi="宋体" w:eastAsia="宋体"/>
          <w:sz w:val="28"/>
          <w:szCs w:val="28"/>
        </w:rPr>
      </w:pPr>
      <w:bookmarkStart w:id="672" w:name="_Toc214432854"/>
      <w:r>
        <w:rPr>
          <w:rFonts w:hint="eastAsia" w:ascii="宋体" w:hAnsi="宋体" w:eastAsia="宋体"/>
          <w:sz w:val="28"/>
          <w:szCs w:val="28"/>
        </w:rPr>
        <w:t>四、法定代表人身份证明</w:t>
      </w:r>
      <w:bookmarkEnd w:id="672"/>
    </w:p>
    <w:p w14:paraId="6EE5A180">
      <w:pPr>
        <w:jc w:val="center"/>
        <w:rPr>
          <w:rFonts w:hint="eastAsia" w:ascii="宋体" w:hAnsi="宋体" w:cs="宋体"/>
          <w:b/>
          <w:sz w:val="28"/>
          <w:szCs w:val="28"/>
        </w:rPr>
      </w:pPr>
    </w:p>
    <w:p w14:paraId="7A719DC3">
      <w:pPr>
        <w:jc w:val="center"/>
        <w:rPr>
          <w:rFonts w:hint="eastAsia" w:ascii="宋体" w:hAnsi="宋体" w:cs="宋体"/>
          <w:b/>
          <w:sz w:val="28"/>
          <w:szCs w:val="28"/>
        </w:rPr>
      </w:pPr>
      <w:r>
        <w:rPr>
          <w:rFonts w:hint="eastAsia" w:ascii="宋体" w:hAnsi="宋体" w:cs="宋体"/>
          <w:b/>
          <w:sz w:val="28"/>
          <w:szCs w:val="28"/>
        </w:rPr>
        <w:t>法定代表人身份证明</w:t>
      </w:r>
    </w:p>
    <w:p w14:paraId="73BE4230">
      <w:pPr>
        <w:spacing w:line="440" w:lineRule="exact"/>
        <w:rPr>
          <w:rFonts w:hint="eastAsia" w:ascii="宋体" w:hAnsi="宋体"/>
          <w:szCs w:val="21"/>
        </w:rPr>
      </w:pPr>
    </w:p>
    <w:p w14:paraId="64FE317B">
      <w:pPr>
        <w:topLinePunct/>
        <w:snapToGrid w:val="0"/>
        <w:spacing w:line="440" w:lineRule="exact"/>
        <w:rPr>
          <w:rFonts w:hint="eastAsia" w:ascii="宋体" w:hAnsi="宋体"/>
          <w:bCs/>
          <w:szCs w:val="21"/>
          <w:u w:val="single"/>
        </w:rPr>
      </w:pPr>
      <w:r>
        <w:rPr>
          <w:rFonts w:hint="eastAsia" w:ascii="宋体" w:hAnsi="宋体"/>
          <w:bCs/>
          <w:szCs w:val="21"/>
        </w:rPr>
        <w:t>投标人名称：</w:t>
      </w:r>
      <w:r>
        <w:rPr>
          <w:rFonts w:ascii="宋体" w:hAnsi="宋体"/>
          <w:bCs/>
          <w:szCs w:val="21"/>
          <w:u w:val="single"/>
        </w:rPr>
        <w:t xml:space="preserve">         </w:t>
      </w:r>
    </w:p>
    <w:p w14:paraId="06BD3A3E">
      <w:pPr>
        <w:topLinePunct/>
        <w:snapToGrid w:val="0"/>
        <w:spacing w:line="440" w:lineRule="exact"/>
        <w:rPr>
          <w:rFonts w:hint="eastAsia" w:ascii="宋体" w:hAnsi="宋体"/>
          <w:bCs/>
          <w:szCs w:val="21"/>
          <w:u w:val="single"/>
        </w:rPr>
      </w:pPr>
      <w:r>
        <w:rPr>
          <w:rFonts w:hint="eastAsia" w:ascii="宋体" w:hAnsi="宋体"/>
          <w:bCs/>
          <w:szCs w:val="21"/>
        </w:rPr>
        <w:t>单位性质：</w:t>
      </w:r>
      <w:r>
        <w:rPr>
          <w:rFonts w:ascii="宋体" w:hAnsi="宋体"/>
          <w:bCs/>
          <w:szCs w:val="21"/>
          <w:u w:val="single"/>
        </w:rPr>
        <w:t xml:space="preserve">         </w:t>
      </w:r>
    </w:p>
    <w:p w14:paraId="247007FC">
      <w:pPr>
        <w:topLinePunct/>
        <w:snapToGrid w:val="0"/>
        <w:spacing w:line="440" w:lineRule="exact"/>
        <w:rPr>
          <w:rFonts w:hint="eastAsia" w:ascii="宋体" w:hAnsi="宋体"/>
          <w:bCs/>
          <w:szCs w:val="21"/>
        </w:rPr>
      </w:pPr>
      <w:r>
        <w:rPr>
          <w:rFonts w:hint="eastAsia" w:ascii="宋体" w:hAnsi="宋体"/>
          <w:bCs/>
          <w:szCs w:val="21"/>
        </w:rPr>
        <w:t>成立时间：</w:t>
      </w:r>
      <w:r>
        <w:rPr>
          <w:rFonts w:ascii="宋体" w:hAnsi="宋体"/>
          <w:bCs/>
          <w:szCs w:val="21"/>
          <w:u w:val="single"/>
        </w:rPr>
        <w:t xml:space="preserve">  </w:t>
      </w:r>
      <w:r>
        <w:rPr>
          <w:rFonts w:hint="eastAsia" w:ascii="宋体" w:hAnsi="宋体"/>
          <w:bCs/>
          <w:szCs w:val="21"/>
        </w:rPr>
        <w:t>年</w:t>
      </w:r>
      <w:r>
        <w:rPr>
          <w:rFonts w:ascii="宋体" w:hAnsi="宋体"/>
          <w:bCs/>
          <w:szCs w:val="21"/>
          <w:u w:val="single"/>
        </w:rPr>
        <w:t xml:space="preserve">  </w:t>
      </w:r>
      <w:r>
        <w:rPr>
          <w:rFonts w:hint="eastAsia" w:ascii="宋体" w:hAnsi="宋体"/>
          <w:bCs/>
          <w:szCs w:val="21"/>
        </w:rPr>
        <w:t>月</w:t>
      </w:r>
      <w:r>
        <w:rPr>
          <w:rFonts w:ascii="宋体" w:hAnsi="宋体"/>
          <w:bCs/>
          <w:szCs w:val="21"/>
          <w:u w:val="single"/>
        </w:rPr>
        <w:t xml:space="preserve">   </w:t>
      </w:r>
      <w:r>
        <w:rPr>
          <w:rFonts w:hint="eastAsia" w:ascii="宋体" w:hAnsi="宋体"/>
          <w:bCs/>
          <w:szCs w:val="21"/>
        </w:rPr>
        <w:t>日</w:t>
      </w:r>
    </w:p>
    <w:p w14:paraId="78EF0F82">
      <w:pPr>
        <w:topLinePunct/>
        <w:snapToGrid w:val="0"/>
        <w:spacing w:line="440" w:lineRule="exact"/>
        <w:rPr>
          <w:rFonts w:hint="eastAsia" w:ascii="宋体" w:hAnsi="宋体"/>
          <w:bCs/>
          <w:szCs w:val="21"/>
          <w:u w:val="single"/>
        </w:rPr>
      </w:pPr>
      <w:r>
        <w:rPr>
          <w:rFonts w:hint="eastAsia" w:ascii="宋体" w:hAnsi="宋体"/>
          <w:bCs/>
          <w:szCs w:val="21"/>
        </w:rPr>
        <w:t>经营期限：</w:t>
      </w:r>
      <w:r>
        <w:rPr>
          <w:rFonts w:ascii="宋体" w:hAnsi="宋体"/>
          <w:bCs/>
          <w:szCs w:val="21"/>
          <w:u w:val="single"/>
        </w:rPr>
        <w:t xml:space="preserve">         </w:t>
      </w:r>
    </w:p>
    <w:p w14:paraId="0632DA94">
      <w:pPr>
        <w:topLinePunct/>
        <w:snapToGrid w:val="0"/>
        <w:spacing w:line="440" w:lineRule="exact"/>
        <w:rPr>
          <w:rFonts w:hint="eastAsia" w:ascii="宋体" w:hAnsi="宋体"/>
          <w:bCs/>
          <w:szCs w:val="21"/>
          <w:u w:val="single"/>
        </w:rPr>
      </w:pPr>
      <w:r>
        <w:rPr>
          <w:rFonts w:hint="eastAsia" w:ascii="宋体" w:hAnsi="宋体"/>
          <w:bCs/>
          <w:szCs w:val="21"/>
        </w:rPr>
        <w:t>姓名：</w:t>
      </w:r>
      <w:r>
        <w:rPr>
          <w:rFonts w:ascii="宋体" w:hAnsi="宋体"/>
          <w:bCs/>
          <w:szCs w:val="21"/>
          <w:u w:val="single"/>
        </w:rPr>
        <w:t xml:space="preserve">  </w:t>
      </w:r>
      <w:r>
        <w:rPr>
          <w:rFonts w:hint="eastAsia" w:ascii="宋体" w:hAnsi="宋体"/>
          <w:bCs/>
          <w:szCs w:val="21"/>
        </w:rPr>
        <w:t>性别：</w:t>
      </w:r>
      <w:r>
        <w:rPr>
          <w:rFonts w:ascii="宋体" w:hAnsi="宋体"/>
          <w:bCs/>
          <w:szCs w:val="21"/>
          <w:u w:val="single"/>
        </w:rPr>
        <w:t xml:space="preserve">  </w:t>
      </w:r>
      <w:r>
        <w:rPr>
          <w:rFonts w:hint="eastAsia" w:ascii="宋体" w:hAnsi="宋体"/>
          <w:bCs/>
          <w:szCs w:val="21"/>
        </w:rPr>
        <w:t>年龄：</w:t>
      </w:r>
      <w:r>
        <w:rPr>
          <w:rFonts w:ascii="宋体" w:hAnsi="宋体"/>
          <w:bCs/>
          <w:szCs w:val="21"/>
          <w:u w:val="single"/>
        </w:rPr>
        <w:t xml:space="preserve">   </w:t>
      </w:r>
      <w:r>
        <w:rPr>
          <w:rFonts w:hint="eastAsia" w:ascii="宋体" w:hAnsi="宋体"/>
          <w:bCs/>
          <w:szCs w:val="21"/>
        </w:rPr>
        <w:t>职务：</w:t>
      </w:r>
      <w:r>
        <w:rPr>
          <w:rFonts w:ascii="宋体" w:hAnsi="宋体"/>
          <w:bCs/>
          <w:szCs w:val="21"/>
          <w:u w:val="single"/>
        </w:rPr>
        <w:t xml:space="preserve">   </w:t>
      </w:r>
    </w:p>
    <w:p w14:paraId="67F8060D">
      <w:pPr>
        <w:topLinePunct/>
        <w:snapToGrid w:val="0"/>
        <w:spacing w:line="440" w:lineRule="exact"/>
        <w:rPr>
          <w:rFonts w:hint="eastAsia" w:ascii="宋体" w:hAnsi="宋体"/>
          <w:bCs/>
          <w:szCs w:val="21"/>
        </w:rPr>
      </w:pPr>
      <w:r>
        <w:rPr>
          <w:rFonts w:hint="eastAsia" w:ascii="宋体" w:hAnsi="宋体"/>
          <w:bCs/>
          <w:szCs w:val="21"/>
        </w:rPr>
        <w:t>系（投标人名称）的法定代表人。</w:t>
      </w:r>
    </w:p>
    <w:p w14:paraId="310D19F5">
      <w:pPr>
        <w:topLinePunct/>
        <w:snapToGrid w:val="0"/>
        <w:spacing w:line="440" w:lineRule="exact"/>
        <w:ind w:firstLine="420" w:firstLineChars="200"/>
        <w:rPr>
          <w:rFonts w:hint="eastAsia" w:ascii="宋体" w:hAnsi="宋体"/>
          <w:bCs/>
          <w:szCs w:val="21"/>
        </w:rPr>
      </w:pPr>
      <w:r>
        <w:rPr>
          <w:rFonts w:hint="eastAsia" w:ascii="宋体" w:hAnsi="宋体"/>
          <w:bCs/>
          <w:szCs w:val="21"/>
        </w:rPr>
        <w:t>特此证明。</w:t>
      </w:r>
    </w:p>
    <w:p w14:paraId="5EA9A1CC">
      <w:pPr>
        <w:topLinePunct/>
        <w:snapToGrid w:val="0"/>
        <w:spacing w:line="440" w:lineRule="exact"/>
        <w:ind w:firstLine="420" w:firstLineChars="200"/>
        <w:rPr>
          <w:rFonts w:hint="eastAsia" w:ascii="宋体" w:hAnsi="宋体"/>
          <w:bCs/>
          <w:szCs w:val="21"/>
        </w:rPr>
      </w:pPr>
    </w:p>
    <w:p w14:paraId="2CB0E820">
      <w:pPr>
        <w:topLinePunct/>
        <w:snapToGrid w:val="0"/>
        <w:spacing w:line="440" w:lineRule="exact"/>
        <w:rPr>
          <w:rFonts w:hint="eastAsia" w:ascii="宋体" w:hAnsi="宋体"/>
        </w:rPr>
      </w:pPr>
      <w:r>
        <w:rPr>
          <w:rFonts w:hint="eastAsia" w:ascii="宋体" w:hAnsi="宋体"/>
        </w:rPr>
        <w:t>附：法定代表人有效身份证复印件</w:t>
      </w:r>
      <w:r>
        <w:rPr>
          <w:rFonts w:ascii="宋体" w:hAnsi="宋体"/>
          <w:bCs/>
          <w:szCs w:val="21"/>
        </w:rPr>
        <w:t>(</w:t>
      </w:r>
      <w:r>
        <w:rPr>
          <w:rFonts w:hint="eastAsia" w:ascii="宋体" w:hAnsi="宋体"/>
          <w:bCs/>
          <w:szCs w:val="21"/>
        </w:rPr>
        <w:t>需同时提供正面及背面</w:t>
      </w:r>
      <w:r>
        <w:rPr>
          <w:rFonts w:ascii="宋体" w:hAnsi="宋体"/>
          <w:bCs/>
          <w:szCs w:val="21"/>
        </w:rPr>
        <w:t>)</w:t>
      </w:r>
    </w:p>
    <w:p w14:paraId="19C5E560">
      <w:pPr>
        <w:spacing w:line="500" w:lineRule="exact"/>
        <w:rPr>
          <w:rFonts w:hint="eastAsia" w:ascii="宋体" w:hAnsi="宋体"/>
          <w:szCs w:val="21"/>
        </w:rPr>
      </w:pPr>
      <w:r>
        <w:rPr>
          <w:rFonts w:ascii="宋体" w:hAnsi="宋体"/>
        </w:rPr>
        <mc:AlternateContent>
          <mc:Choice Requires="wps">
            <w:drawing>
              <wp:anchor distT="0" distB="0" distL="114300" distR="114300" simplePos="0" relativeHeight="251659264" behindDoc="0" locked="0" layoutInCell="1" allowOverlap="1">
                <wp:simplePos x="0" y="0"/>
                <wp:positionH relativeFrom="column">
                  <wp:posOffset>-120650</wp:posOffset>
                </wp:positionH>
                <wp:positionV relativeFrom="paragraph">
                  <wp:posOffset>238760</wp:posOffset>
                </wp:positionV>
                <wp:extent cx="3297555" cy="2113915"/>
                <wp:effectExtent l="12700" t="5080" r="13970" b="5080"/>
                <wp:wrapNone/>
                <wp:docPr id="8" name="流程图: 可选过程 3"/>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40AC903D">
                            <w:pPr>
                              <w:jc w:val="center"/>
                              <w:rPr>
                                <w:szCs w:val="21"/>
                              </w:rPr>
                            </w:pPr>
                            <w:r>
                              <w:rPr>
                                <w:rFonts w:hint="eastAsia"/>
                                <w:szCs w:val="21"/>
                              </w:rPr>
                              <w:t>法定代表人身份证正面复印件贴于此处</w:t>
                            </w:r>
                          </w:p>
                        </w:txbxContent>
                      </wps:txbx>
                      <wps:bodyPr rot="0" vert="horz" wrap="square" lIns="91440" tIns="45720" rIns="91440" bIns="45720" anchor="t" anchorCtr="0" upright="1">
                        <a:noAutofit/>
                      </wps:bodyPr>
                    </wps:wsp>
                  </a:graphicData>
                </a:graphic>
              </wp:anchor>
            </w:drawing>
          </mc:Choice>
          <mc:Fallback>
            <w:pict>
              <v:shape id="流程图: 可选过程 3" o:spid="_x0000_s1026" o:spt="176" type="#_x0000_t176" style="position:absolute;left:0pt;margin-left:-9.5pt;margin-top:18.8pt;height:166.45pt;width:259.65pt;z-index:251659264;mso-width-relative:page;mso-height-relative:page;" fillcolor="#FFFFFF" filled="t" stroked="t" coordsize="21600,21600" o:gfxdata="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ITPDz/YAAAACgEAAA8AAAAAAAAAAQAgAAAAIgAAAGRycy9kb3ducmV2LnhtbFBLAQIUABQAAAAI&#10;AIdO4kAyAfR9XwIAAKEEAAAOAAAAAAAAAAEAIAAAACcBAABkcnMvZTJvRG9jLnhtbFBLBQYAAAAA&#10;BgAGAFkBAAD4BQAAAAA=&#10;">
                <v:fill on="t" focussize="0,0"/>
                <v:stroke color="#000000" miterlimit="8" joinstyle="miter"/>
                <v:imagedata o:title=""/>
                <o:lock v:ext="edit" aspectratio="f"/>
                <v:textbox>
                  <w:txbxContent>
                    <w:p w14:paraId="40AC903D">
                      <w:pPr>
                        <w:jc w:val="center"/>
                        <w:rPr>
                          <w:szCs w:val="21"/>
                        </w:rPr>
                      </w:pPr>
                      <w:r>
                        <w:rPr>
                          <w:rFonts w:hint="eastAsia"/>
                          <w:szCs w:val="21"/>
                        </w:rPr>
                        <w:t>法定代表人身份证正面复印件贴于此处</w:t>
                      </w:r>
                    </w:p>
                  </w:txbxContent>
                </v:textbox>
              </v:shape>
            </w:pict>
          </mc:Fallback>
        </mc:AlternateContent>
      </w:r>
      <w:r>
        <w:rPr>
          <w:rFonts w:ascii="宋体" w:hAnsi="宋体"/>
        </w:rPr>
        <mc:AlternateContent>
          <mc:Choice Requires="wps">
            <w:drawing>
              <wp:anchor distT="0" distB="0" distL="114300" distR="114300" simplePos="0" relativeHeight="251660288" behindDoc="0" locked="0" layoutInCell="1" allowOverlap="1">
                <wp:simplePos x="0" y="0"/>
                <wp:positionH relativeFrom="column">
                  <wp:posOffset>3169285</wp:posOffset>
                </wp:positionH>
                <wp:positionV relativeFrom="paragraph">
                  <wp:posOffset>238760</wp:posOffset>
                </wp:positionV>
                <wp:extent cx="3297555" cy="2113915"/>
                <wp:effectExtent l="5080" t="5080" r="12065" b="5080"/>
                <wp:wrapNone/>
                <wp:docPr id="9" name="流程图: 可选过程 4"/>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5282B392">
                            <w:pPr>
                              <w:jc w:val="center"/>
                              <w:rPr>
                                <w:szCs w:val="21"/>
                              </w:rPr>
                            </w:pPr>
                            <w:r>
                              <w:rPr>
                                <w:rFonts w:hint="eastAsia"/>
                                <w:szCs w:val="21"/>
                              </w:rPr>
                              <w:t>法定代表人身份证背面复印件贴于此处</w:t>
                            </w:r>
                          </w:p>
                        </w:txbxContent>
                      </wps:txbx>
                      <wps:bodyPr rot="0" vert="horz" wrap="square" lIns="91440" tIns="45720" rIns="91440" bIns="45720" anchor="t" anchorCtr="0" upright="1">
                        <a:noAutofit/>
                      </wps:bodyPr>
                    </wps:wsp>
                  </a:graphicData>
                </a:graphic>
              </wp:anchor>
            </w:drawing>
          </mc:Choice>
          <mc:Fallback>
            <w:pict>
              <v:shape id="流程图: 可选过程 4" o:spid="_x0000_s1026" o:spt="176" type="#_x0000_t176" style="position:absolute;left:0pt;margin-left:249.55pt;margin-top:18.8pt;height:166.45pt;width:259.65pt;z-index:251660288;mso-width-relative:page;mso-height-relative:page;" fillcolor="#FFFFFF" filled="t" stroked="t" coordsize="21600,21600" o:gfxdata="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Tzo9+2AAAAAsBAAAPAAAAAAAAAAEAIAAAACIAAABkcnMvZG93bnJldi54bWxQSwECFAAUAAAA&#10;CACHTuJAdDNevWACAAChBAAADgAAAAAAAAABACAAAAAnAQAAZHJzL2Uyb0RvYy54bWxQSwUGAAAA&#10;AAYABgBZAQAA+QUAAAAA&#10;">
                <v:fill on="t" focussize="0,0"/>
                <v:stroke color="#000000" miterlimit="8" joinstyle="miter"/>
                <v:imagedata o:title=""/>
                <o:lock v:ext="edit" aspectratio="f"/>
                <v:textbox>
                  <w:txbxContent>
                    <w:p w14:paraId="5282B392">
                      <w:pPr>
                        <w:jc w:val="center"/>
                        <w:rPr>
                          <w:szCs w:val="21"/>
                        </w:rPr>
                      </w:pPr>
                      <w:r>
                        <w:rPr>
                          <w:rFonts w:hint="eastAsia"/>
                          <w:szCs w:val="21"/>
                        </w:rPr>
                        <w:t>法定代表人身份证背面复印件贴于此处</w:t>
                      </w:r>
                    </w:p>
                  </w:txbxContent>
                </v:textbox>
              </v:shape>
            </w:pict>
          </mc:Fallback>
        </mc:AlternateContent>
      </w:r>
    </w:p>
    <w:p w14:paraId="57FD4DDE">
      <w:pPr>
        <w:spacing w:line="500" w:lineRule="exact"/>
        <w:rPr>
          <w:rFonts w:hint="eastAsia" w:ascii="宋体" w:hAnsi="宋体"/>
          <w:szCs w:val="21"/>
        </w:rPr>
      </w:pPr>
    </w:p>
    <w:p w14:paraId="2BA12E1E">
      <w:pPr>
        <w:spacing w:line="440" w:lineRule="exact"/>
        <w:rPr>
          <w:rFonts w:hint="eastAsia" w:ascii="宋体" w:hAnsi="宋体"/>
          <w:szCs w:val="21"/>
        </w:rPr>
      </w:pPr>
    </w:p>
    <w:p w14:paraId="61730106">
      <w:pPr>
        <w:spacing w:line="440" w:lineRule="exact"/>
        <w:rPr>
          <w:rFonts w:hint="eastAsia" w:ascii="宋体" w:hAnsi="宋体"/>
          <w:szCs w:val="21"/>
        </w:rPr>
      </w:pPr>
    </w:p>
    <w:p w14:paraId="13FB3200">
      <w:pPr>
        <w:spacing w:line="500" w:lineRule="exact"/>
        <w:rPr>
          <w:rFonts w:hint="eastAsia" w:ascii="宋体" w:hAnsi="宋体"/>
          <w:szCs w:val="21"/>
        </w:rPr>
      </w:pPr>
    </w:p>
    <w:p w14:paraId="26B9F647">
      <w:pPr>
        <w:spacing w:line="440" w:lineRule="exact"/>
        <w:rPr>
          <w:rFonts w:hint="eastAsia" w:ascii="宋体" w:hAnsi="宋体"/>
          <w:szCs w:val="21"/>
        </w:rPr>
      </w:pPr>
    </w:p>
    <w:p w14:paraId="4729D82F">
      <w:pPr>
        <w:spacing w:line="440" w:lineRule="exact"/>
        <w:rPr>
          <w:rFonts w:hint="eastAsia" w:ascii="宋体" w:hAnsi="宋体"/>
          <w:szCs w:val="21"/>
        </w:rPr>
      </w:pPr>
    </w:p>
    <w:p w14:paraId="2B576D79">
      <w:pPr>
        <w:spacing w:line="440" w:lineRule="exact"/>
        <w:ind w:firstLine="4305" w:firstLineChars="2050"/>
        <w:rPr>
          <w:rFonts w:hint="eastAsia" w:ascii="宋体" w:hAnsi="宋体"/>
          <w:szCs w:val="21"/>
        </w:rPr>
      </w:pPr>
    </w:p>
    <w:p w14:paraId="540F9219">
      <w:pPr>
        <w:spacing w:line="440" w:lineRule="exact"/>
        <w:ind w:firstLine="4305" w:firstLineChars="2050"/>
        <w:jc w:val="right"/>
        <w:rPr>
          <w:rFonts w:hint="eastAsia" w:ascii="宋体" w:hAnsi="宋体"/>
          <w:szCs w:val="21"/>
        </w:rPr>
      </w:pPr>
      <w:r>
        <w:rPr>
          <w:rFonts w:hint="eastAsia" w:ascii="宋体" w:hAnsi="宋体"/>
          <w:szCs w:val="21"/>
        </w:rPr>
        <w:t>投标人名称：</w:t>
      </w:r>
      <w:r>
        <w:rPr>
          <w:rFonts w:ascii="宋体" w:hAnsi="宋体"/>
          <w:szCs w:val="21"/>
          <w:u w:val="single"/>
        </w:rPr>
        <w:t xml:space="preserve">      </w:t>
      </w:r>
      <w:r>
        <w:rPr>
          <w:rFonts w:hint="eastAsia" w:ascii="宋体" w:hAnsi="宋体"/>
          <w:szCs w:val="21"/>
        </w:rPr>
        <w:t>（盖章）</w:t>
      </w:r>
    </w:p>
    <w:p w14:paraId="7464AC6F">
      <w:pPr>
        <w:spacing w:line="440" w:lineRule="exact"/>
        <w:jc w:val="right"/>
        <w:rPr>
          <w:rFonts w:hint="eastAsia" w:ascii="宋体" w:hAnsi="宋体"/>
          <w:szCs w:val="21"/>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r>
        <w:rPr>
          <w:rFonts w:ascii="宋体" w:hAnsi="宋体"/>
          <w:szCs w:val="21"/>
        </w:rPr>
        <w:t xml:space="preserve"> </w:t>
      </w:r>
      <w:bookmarkStart w:id="673" w:name="_Toc438052122"/>
    </w:p>
    <w:p w14:paraId="553818FB">
      <w:pPr>
        <w:pStyle w:val="3"/>
        <w:jc w:val="center"/>
        <w:rPr>
          <w:rFonts w:hint="eastAsia" w:ascii="宋体" w:hAnsi="宋体" w:eastAsia="宋体"/>
          <w:sz w:val="28"/>
          <w:szCs w:val="28"/>
        </w:rPr>
      </w:pPr>
      <w:bookmarkStart w:id="674" w:name="_Toc214432855"/>
      <w:r>
        <w:rPr>
          <w:rFonts w:hint="eastAsia" w:ascii="宋体" w:hAnsi="宋体" w:eastAsia="宋体"/>
          <w:sz w:val="28"/>
          <w:szCs w:val="28"/>
        </w:rPr>
        <w:t>五、法定代表人授权委托书</w:t>
      </w:r>
      <w:bookmarkEnd w:id="673"/>
      <w:bookmarkEnd w:id="674"/>
    </w:p>
    <w:p w14:paraId="64233C5C">
      <w:pPr>
        <w:jc w:val="center"/>
        <w:rPr>
          <w:rFonts w:hint="eastAsia" w:ascii="宋体" w:hAnsi="宋体" w:cs="宋体"/>
          <w:b/>
          <w:sz w:val="24"/>
        </w:rPr>
      </w:pPr>
    </w:p>
    <w:p w14:paraId="36CF73D5">
      <w:pPr>
        <w:jc w:val="center"/>
        <w:rPr>
          <w:rFonts w:hint="eastAsia" w:ascii="宋体" w:hAnsi="宋体" w:cs="宋体"/>
          <w:b/>
          <w:sz w:val="24"/>
        </w:rPr>
      </w:pPr>
      <w:r>
        <w:rPr>
          <w:rFonts w:hint="eastAsia" w:ascii="宋体" w:hAnsi="宋体" w:cs="宋体"/>
          <w:b/>
          <w:sz w:val="24"/>
        </w:rPr>
        <w:t>法定代表人授权委托书</w:t>
      </w:r>
    </w:p>
    <w:p w14:paraId="4F9B871F">
      <w:pPr>
        <w:jc w:val="center"/>
        <w:rPr>
          <w:rFonts w:hint="eastAsia" w:ascii="宋体" w:hAnsi="宋体" w:cs="宋体"/>
          <w:b/>
          <w:sz w:val="24"/>
        </w:rPr>
      </w:pPr>
    </w:p>
    <w:p w14:paraId="1C9B9AD0">
      <w:pPr>
        <w:topLinePunct/>
        <w:snapToGrid w:val="0"/>
        <w:spacing w:line="440" w:lineRule="exact"/>
        <w:ind w:firstLine="420" w:firstLineChars="200"/>
        <w:rPr>
          <w:rFonts w:hint="eastAsia" w:ascii="宋体" w:hAnsi="宋体"/>
          <w:bCs/>
          <w:szCs w:val="21"/>
        </w:rPr>
      </w:pPr>
      <w:r>
        <w:rPr>
          <w:rFonts w:hint="eastAsia" w:ascii="宋体" w:hAnsi="宋体"/>
          <w:bCs/>
          <w:szCs w:val="21"/>
        </w:rPr>
        <w:t>本人</w:t>
      </w:r>
      <w:r>
        <w:rPr>
          <w:rFonts w:hint="eastAsia" w:ascii="宋体" w:hAnsi="宋体"/>
          <w:bCs/>
          <w:szCs w:val="21"/>
          <w:u w:val="single"/>
        </w:rPr>
        <w:t>（姓名）</w:t>
      </w:r>
      <w:r>
        <w:rPr>
          <w:rFonts w:hint="eastAsia" w:ascii="宋体" w:hAnsi="宋体"/>
          <w:bCs/>
          <w:szCs w:val="21"/>
        </w:rPr>
        <w:t>系</w:t>
      </w:r>
      <w:r>
        <w:rPr>
          <w:rFonts w:ascii="宋体" w:hAnsi="宋体"/>
          <w:bCs/>
          <w:szCs w:val="21"/>
        </w:rPr>
        <w:t xml:space="preserve"> </w:t>
      </w:r>
      <w:r>
        <w:rPr>
          <w:rFonts w:hint="eastAsia" w:ascii="宋体" w:hAnsi="宋体"/>
          <w:bCs/>
          <w:szCs w:val="21"/>
          <w:u w:val="single"/>
        </w:rPr>
        <w:t>（投标人名称）</w:t>
      </w:r>
      <w:r>
        <w:rPr>
          <w:rFonts w:hint="eastAsia" w:ascii="宋体" w:hAnsi="宋体"/>
          <w:bCs/>
          <w:szCs w:val="21"/>
        </w:rPr>
        <w:t>的法定代表人，现委托</w:t>
      </w:r>
      <w:r>
        <w:rPr>
          <w:rFonts w:hint="eastAsia" w:ascii="宋体" w:hAnsi="宋体"/>
          <w:bCs/>
          <w:szCs w:val="21"/>
          <w:u w:val="single"/>
        </w:rPr>
        <w:t>（姓名）</w:t>
      </w:r>
      <w:r>
        <w:rPr>
          <w:rFonts w:hint="eastAsia" w:ascii="宋体" w:hAnsi="宋体"/>
          <w:bCs/>
          <w:szCs w:val="21"/>
        </w:rPr>
        <w:t>为我方代理人。代理人根据授权，以我方名义全权处理</w:t>
      </w:r>
      <w:r>
        <w:rPr>
          <w:rFonts w:ascii="宋体" w:hAnsi="宋体"/>
          <w:bCs/>
          <w:szCs w:val="21"/>
          <w:u w:val="single"/>
        </w:rPr>
        <w:t xml:space="preserve">       </w:t>
      </w:r>
      <w:r>
        <w:rPr>
          <w:rFonts w:hint="eastAsia" w:ascii="宋体" w:hAnsi="宋体"/>
          <w:bCs/>
          <w:szCs w:val="21"/>
        </w:rPr>
        <w:t>（采购项目名称）</w:t>
      </w:r>
      <w:r>
        <w:rPr>
          <w:rFonts w:hint="eastAsia" w:ascii="宋体" w:hAnsi="宋体"/>
          <w:bCs/>
          <w:szCs w:val="21"/>
          <w:u w:val="single"/>
        </w:rPr>
        <w:t>（签署、澄清、说明、补正、递交、撤回、修改投标文件，签订合同和处理一切有关事宜）</w:t>
      </w:r>
      <w:r>
        <w:rPr>
          <w:rFonts w:ascii="宋体" w:hAnsi="宋体"/>
          <w:bCs/>
          <w:szCs w:val="21"/>
          <w:u w:val="single"/>
        </w:rPr>
        <w:t xml:space="preserve">  </w:t>
      </w:r>
      <w:r>
        <w:rPr>
          <w:rFonts w:hint="eastAsia" w:ascii="宋体" w:hAnsi="宋体"/>
          <w:bCs/>
          <w:szCs w:val="21"/>
        </w:rPr>
        <w:t>，其法律后果由我方承担。</w:t>
      </w:r>
    </w:p>
    <w:p w14:paraId="188EDC48">
      <w:pPr>
        <w:topLinePunct/>
        <w:snapToGrid w:val="0"/>
        <w:spacing w:line="440" w:lineRule="exact"/>
        <w:ind w:firstLine="420" w:firstLineChars="200"/>
        <w:rPr>
          <w:rFonts w:hint="eastAsia" w:ascii="宋体" w:hAnsi="宋体"/>
          <w:bCs/>
          <w:szCs w:val="21"/>
        </w:rPr>
      </w:pPr>
      <w:r>
        <w:rPr>
          <w:rFonts w:hint="eastAsia" w:ascii="宋体" w:hAnsi="宋体"/>
          <w:bCs/>
          <w:szCs w:val="21"/>
        </w:rPr>
        <w:t>委托期限：</w:t>
      </w:r>
      <w:r>
        <w:rPr>
          <w:rFonts w:ascii="宋体" w:hAnsi="宋体"/>
          <w:bCs/>
          <w:szCs w:val="21"/>
          <w:u w:val="single"/>
        </w:rPr>
        <w:t xml:space="preserve">        </w:t>
      </w:r>
      <w:r>
        <w:rPr>
          <w:rFonts w:hint="eastAsia" w:ascii="宋体" w:hAnsi="宋体"/>
          <w:bCs/>
          <w:szCs w:val="21"/>
        </w:rPr>
        <w:t>。</w:t>
      </w:r>
    </w:p>
    <w:p w14:paraId="3BA56AE8">
      <w:pPr>
        <w:topLinePunct/>
        <w:snapToGrid w:val="0"/>
        <w:spacing w:line="440" w:lineRule="exact"/>
        <w:ind w:firstLine="420" w:firstLineChars="200"/>
        <w:rPr>
          <w:rFonts w:hint="eastAsia" w:ascii="宋体" w:hAnsi="宋体"/>
          <w:bCs/>
          <w:szCs w:val="21"/>
        </w:rPr>
      </w:pPr>
      <w:r>
        <w:rPr>
          <w:rFonts w:hint="eastAsia" w:ascii="宋体" w:hAnsi="宋体"/>
          <w:bCs/>
          <w:szCs w:val="21"/>
        </w:rPr>
        <w:t>代理人无转委托权。</w:t>
      </w:r>
    </w:p>
    <w:p w14:paraId="54031B53">
      <w:pPr>
        <w:topLinePunct/>
        <w:snapToGrid w:val="0"/>
        <w:spacing w:line="440" w:lineRule="exact"/>
        <w:ind w:firstLine="420" w:firstLineChars="200"/>
        <w:rPr>
          <w:rFonts w:hint="eastAsia" w:ascii="宋体" w:hAnsi="宋体"/>
          <w:bCs/>
          <w:szCs w:val="21"/>
        </w:rPr>
      </w:pPr>
    </w:p>
    <w:p w14:paraId="163C1F37">
      <w:pPr>
        <w:topLinePunct/>
        <w:snapToGrid w:val="0"/>
        <w:spacing w:line="440" w:lineRule="exact"/>
        <w:ind w:firstLine="420" w:firstLineChars="200"/>
        <w:rPr>
          <w:rFonts w:hint="eastAsia" w:ascii="宋体" w:hAnsi="宋体"/>
          <w:bCs/>
          <w:szCs w:val="21"/>
        </w:rPr>
      </w:pPr>
      <w:r>
        <w:rPr>
          <w:rFonts w:hint="eastAsia" w:ascii="宋体" w:hAnsi="宋体"/>
          <w:bCs/>
          <w:szCs w:val="21"/>
        </w:rPr>
        <w:t>附：委托代理人</w:t>
      </w:r>
      <w:r>
        <w:rPr>
          <w:rFonts w:hint="eastAsia" w:ascii="宋体" w:hAnsi="宋体"/>
        </w:rPr>
        <w:t>有效</w:t>
      </w:r>
      <w:r>
        <w:rPr>
          <w:rFonts w:hint="eastAsia" w:ascii="宋体" w:hAnsi="宋体"/>
          <w:bCs/>
          <w:szCs w:val="21"/>
        </w:rPr>
        <w:t>身份证复印件</w:t>
      </w:r>
      <w:r>
        <w:rPr>
          <w:rFonts w:ascii="宋体" w:hAnsi="宋体"/>
          <w:bCs/>
          <w:szCs w:val="21"/>
        </w:rPr>
        <w:t>(</w:t>
      </w:r>
      <w:r>
        <w:rPr>
          <w:rFonts w:hint="eastAsia" w:ascii="宋体" w:hAnsi="宋体"/>
          <w:bCs/>
          <w:szCs w:val="21"/>
        </w:rPr>
        <w:t>需同时提供正面及背面</w:t>
      </w:r>
      <w:r>
        <w:rPr>
          <w:rFonts w:ascii="宋体" w:hAnsi="宋体"/>
          <w:bCs/>
          <w:szCs w:val="21"/>
        </w:rPr>
        <w:t>)</w:t>
      </w:r>
    </w:p>
    <w:p w14:paraId="1B862F37">
      <w:pPr>
        <w:spacing w:line="500" w:lineRule="exact"/>
        <w:rPr>
          <w:rFonts w:hint="eastAsia" w:ascii="宋体" w:hAnsi="宋体"/>
          <w:szCs w:val="21"/>
        </w:rPr>
      </w:pPr>
      <w:r>
        <w:rPr>
          <w:rFonts w:ascii="宋体" w:hAnsi="宋体"/>
        </w:rPr>
        <mc:AlternateContent>
          <mc:Choice Requires="wps">
            <w:drawing>
              <wp:anchor distT="0" distB="0" distL="114300" distR="114300" simplePos="0" relativeHeight="251661312" behindDoc="0" locked="0" layoutInCell="1" allowOverlap="1">
                <wp:simplePos x="0" y="0"/>
                <wp:positionH relativeFrom="column">
                  <wp:posOffset>-175895</wp:posOffset>
                </wp:positionH>
                <wp:positionV relativeFrom="paragraph">
                  <wp:posOffset>248285</wp:posOffset>
                </wp:positionV>
                <wp:extent cx="3297555" cy="2113915"/>
                <wp:effectExtent l="12700" t="11430" r="13970" b="8255"/>
                <wp:wrapNone/>
                <wp:docPr id="6" name="流程图: 可选过程 1"/>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716FEEF1">
                            <w:pPr>
                              <w:jc w:val="center"/>
                              <w:rPr>
                                <w:szCs w:val="21"/>
                              </w:rPr>
                            </w:pPr>
                            <w:r>
                              <w:rPr>
                                <w:rFonts w:hint="eastAsia"/>
                                <w:szCs w:val="21"/>
                              </w:rPr>
                              <w:t>委托代理人身份证正面复印件贴于此处</w:t>
                            </w:r>
                          </w:p>
                          <w:p w14:paraId="6E2E96BF">
                            <w:pPr>
                              <w:jc w:val="center"/>
                              <w:rPr>
                                <w:szCs w:val="21"/>
                              </w:rPr>
                            </w:pPr>
                          </w:p>
                        </w:txbxContent>
                      </wps:txbx>
                      <wps:bodyPr rot="0" vert="horz" wrap="square" lIns="91440" tIns="45720" rIns="91440" bIns="45720" anchor="t" anchorCtr="0" upright="1">
                        <a:noAutofit/>
                      </wps:bodyPr>
                    </wps:wsp>
                  </a:graphicData>
                </a:graphic>
              </wp:anchor>
            </w:drawing>
          </mc:Choice>
          <mc:Fallback>
            <w:pict>
              <v:shape id="流程图: 可选过程 1" o:spid="_x0000_s1026" o:spt="176" type="#_x0000_t176" style="position:absolute;left:0pt;margin-left:-13.85pt;margin-top:19.55pt;height:166.45pt;width:259.65pt;z-index:251661312;mso-width-relative:page;mso-height-relative:page;" fillcolor="#FFFFFF" filled="t" stroked="t" coordsize="21600,21600" o:gfxdata="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YJb1J2QAAAAoBAAAPAAAAAAAAAAEAIAAAACIAAABkcnMvZG93bnJldi54bWxQSwECFAAUAAAA&#10;CACHTuJA1YomNF8CAAChBAAADgAAAAAAAAABACAAAAAoAQAAZHJzL2Uyb0RvYy54bWxQSwUGAAAA&#10;AAYABgBZAQAA+QUAAAAA&#10;">
                <v:fill on="t" focussize="0,0"/>
                <v:stroke color="#000000" miterlimit="8" joinstyle="miter"/>
                <v:imagedata o:title=""/>
                <o:lock v:ext="edit" aspectratio="f"/>
                <v:textbox>
                  <w:txbxContent>
                    <w:p w14:paraId="716FEEF1">
                      <w:pPr>
                        <w:jc w:val="center"/>
                        <w:rPr>
                          <w:szCs w:val="21"/>
                        </w:rPr>
                      </w:pPr>
                      <w:r>
                        <w:rPr>
                          <w:rFonts w:hint="eastAsia"/>
                          <w:szCs w:val="21"/>
                        </w:rPr>
                        <w:t>委托代理人身份证正面复印件贴于此处</w:t>
                      </w:r>
                    </w:p>
                    <w:p w14:paraId="6E2E96BF">
                      <w:pPr>
                        <w:jc w:val="center"/>
                        <w:rPr>
                          <w:szCs w:val="21"/>
                        </w:rPr>
                      </w:pPr>
                    </w:p>
                  </w:txbxContent>
                </v:textbox>
              </v:shape>
            </w:pict>
          </mc:Fallback>
        </mc:AlternateContent>
      </w:r>
      <w:r>
        <w:rPr>
          <w:rFonts w:ascii="宋体" w:hAnsi="宋体"/>
        </w:rPr>
        <mc:AlternateContent>
          <mc:Choice Requires="wps">
            <w:drawing>
              <wp:anchor distT="0" distB="0" distL="114300" distR="114300" simplePos="0" relativeHeight="251662336" behindDoc="0" locked="0" layoutInCell="1" allowOverlap="1">
                <wp:simplePos x="0" y="0"/>
                <wp:positionH relativeFrom="column">
                  <wp:posOffset>3188335</wp:posOffset>
                </wp:positionH>
                <wp:positionV relativeFrom="paragraph">
                  <wp:posOffset>238760</wp:posOffset>
                </wp:positionV>
                <wp:extent cx="3297555" cy="2113915"/>
                <wp:effectExtent l="5080" t="11430" r="12065" b="8255"/>
                <wp:wrapNone/>
                <wp:docPr id="7" name="流程图: 可选过程 2"/>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787E77FA">
                            <w:pPr>
                              <w:jc w:val="center"/>
                              <w:rPr>
                                <w:szCs w:val="21"/>
                              </w:rPr>
                            </w:pPr>
                            <w:r>
                              <w:rPr>
                                <w:rFonts w:hint="eastAsia"/>
                                <w:szCs w:val="21"/>
                              </w:rPr>
                              <w:t>委托代理人身份证背面复印件贴于此处</w:t>
                            </w:r>
                          </w:p>
                        </w:txbxContent>
                      </wps:txbx>
                      <wps:bodyPr rot="0" vert="horz" wrap="square" lIns="91440" tIns="45720" rIns="91440" bIns="45720" anchor="t" anchorCtr="0" upright="1">
                        <a:noAutofit/>
                      </wps:bodyPr>
                    </wps:wsp>
                  </a:graphicData>
                </a:graphic>
              </wp:anchor>
            </w:drawing>
          </mc:Choice>
          <mc:Fallback>
            <w:pict>
              <v:shape id="流程图: 可选过程 2" o:spid="_x0000_s1026" o:spt="176" type="#_x0000_t176" style="position:absolute;left:0pt;margin-left:251.05pt;margin-top:18.8pt;height:166.45pt;width:259.65pt;z-index:251662336;mso-width-relative:page;mso-height-relative:page;" fillcolor="#FFFFFF" filled="t" stroked="t" coordsize="21600,21600" o:gfxdata="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GYeQzXXAAAACwEAAA8AAAAAAAAAAQAgAAAAIgAAAGRycy9kb3ducmV2LnhtbFBLAQIUABQAAAAI&#10;AIdO4kDGAI12YAIAAKEEAAAOAAAAAAAAAAEAIAAAACYBAABkcnMvZTJvRG9jLnhtbFBLBQYAAAAA&#10;BgAGAFkBAAD4BQAAAAA=&#10;">
                <v:fill on="t" focussize="0,0"/>
                <v:stroke color="#000000" miterlimit="8" joinstyle="miter"/>
                <v:imagedata o:title=""/>
                <o:lock v:ext="edit" aspectratio="f"/>
                <v:textbox>
                  <w:txbxContent>
                    <w:p w14:paraId="787E77FA">
                      <w:pPr>
                        <w:jc w:val="center"/>
                        <w:rPr>
                          <w:szCs w:val="21"/>
                        </w:rPr>
                      </w:pPr>
                      <w:r>
                        <w:rPr>
                          <w:rFonts w:hint="eastAsia"/>
                          <w:szCs w:val="21"/>
                        </w:rPr>
                        <w:t>委托代理人身份证背面复印件贴于此处</w:t>
                      </w:r>
                    </w:p>
                  </w:txbxContent>
                </v:textbox>
              </v:shape>
            </w:pict>
          </mc:Fallback>
        </mc:AlternateContent>
      </w:r>
    </w:p>
    <w:p w14:paraId="05CE073C">
      <w:pPr>
        <w:spacing w:line="440" w:lineRule="exact"/>
        <w:rPr>
          <w:rFonts w:hint="eastAsia" w:ascii="宋体" w:hAnsi="宋体"/>
          <w:szCs w:val="21"/>
        </w:rPr>
      </w:pPr>
    </w:p>
    <w:p w14:paraId="4BF82964">
      <w:pPr>
        <w:spacing w:line="500" w:lineRule="exact"/>
        <w:rPr>
          <w:rFonts w:hint="eastAsia" w:ascii="宋体" w:hAnsi="宋体"/>
          <w:szCs w:val="21"/>
        </w:rPr>
      </w:pPr>
    </w:p>
    <w:p w14:paraId="0A58BBB2">
      <w:pPr>
        <w:spacing w:line="440" w:lineRule="exact"/>
        <w:rPr>
          <w:rFonts w:hint="eastAsia" w:ascii="宋体" w:hAnsi="宋体"/>
          <w:szCs w:val="21"/>
        </w:rPr>
      </w:pPr>
    </w:p>
    <w:p w14:paraId="09255164">
      <w:pPr>
        <w:spacing w:line="440" w:lineRule="exact"/>
        <w:rPr>
          <w:rFonts w:hint="eastAsia" w:ascii="宋体" w:hAnsi="宋体"/>
          <w:szCs w:val="21"/>
        </w:rPr>
      </w:pPr>
    </w:p>
    <w:p w14:paraId="77B025DE">
      <w:pPr>
        <w:spacing w:line="500" w:lineRule="exact"/>
        <w:rPr>
          <w:rFonts w:hint="eastAsia" w:ascii="宋体" w:hAnsi="宋体"/>
          <w:szCs w:val="21"/>
        </w:rPr>
      </w:pPr>
    </w:p>
    <w:p w14:paraId="3BA9ACDC">
      <w:pPr>
        <w:spacing w:line="440" w:lineRule="exact"/>
        <w:rPr>
          <w:rFonts w:hint="eastAsia" w:ascii="宋体" w:hAnsi="宋体"/>
          <w:szCs w:val="21"/>
        </w:rPr>
      </w:pPr>
    </w:p>
    <w:p w14:paraId="77594D75">
      <w:pPr>
        <w:wordWrap w:val="0"/>
        <w:topLinePunct/>
        <w:snapToGrid w:val="0"/>
        <w:spacing w:line="440" w:lineRule="exact"/>
        <w:ind w:right="420" w:firstLine="420" w:firstLineChars="200"/>
        <w:jc w:val="right"/>
        <w:rPr>
          <w:rFonts w:hint="eastAsia" w:ascii="宋体" w:hAnsi="宋体"/>
          <w:bCs/>
          <w:szCs w:val="21"/>
        </w:rPr>
      </w:pPr>
      <w:r>
        <w:rPr>
          <w:rFonts w:hint="eastAsia" w:ascii="宋体" w:hAnsi="宋体"/>
          <w:bCs/>
          <w:szCs w:val="21"/>
        </w:rPr>
        <w:t>投标人名称：</w:t>
      </w:r>
      <w:r>
        <w:rPr>
          <w:rFonts w:ascii="宋体" w:hAnsi="宋体"/>
          <w:bCs/>
          <w:szCs w:val="21"/>
          <w:u w:val="single"/>
        </w:rPr>
        <w:t xml:space="preserve">                            </w:t>
      </w:r>
      <w:r>
        <w:rPr>
          <w:rFonts w:hint="eastAsia" w:ascii="宋体" w:hAnsi="宋体"/>
          <w:bCs/>
          <w:szCs w:val="21"/>
        </w:rPr>
        <w:t>（盖章）</w:t>
      </w:r>
    </w:p>
    <w:p w14:paraId="37FD8408">
      <w:pPr>
        <w:wordWrap w:val="0"/>
        <w:topLinePunct/>
        <w:snapToGrid w:val="0"/>
        <w:spacing w:line="440" w:lineRule="exact"/>
        <w:ind w:firstLine="2310" w:firstLineChars="1100"/>
        <w:jc w:val="right"/>
        <w:rPr>
          <w:rFonts w:hint="eastAsia" w:ascii="宋体" w:hAnsi="宋体"/>
          <w:bCs/>
          <w:szCs w:val="21"/>
        </w:rPr>
      </w:pPr>
      <w:r>
        <w:rPr>
          <w:rFonts w:hint="eastAsia" w:ascii="宋体" w:hAnsi="宋体"/>
          <w:bCs/>
          <w:szCs w:val="21"/>
        </w:rPr>
        <w:t>法定代表人：</w:t>
      </w:r>
      <w:r>
        <w:rPr>
          <w:rFonts w:ascii="宋体" w:hAnsi="宋体"/>
          <w:bCs/>
          <w:szCs w:val="21"/>
          <w:u w:val="single"/>
        </w:rPr>
        <w:t xml:space="preserve">                                </w:t>
      </w:r>
      <w:r>
        <w:rPr>
          <w:rFonts w:hint="eastAsia" w:ascii="宋体" w:hAnsi="宋体"/>
          <w:bCs/>
          <w:szCs w:val="21"/>
        </w:rPr>
        <w:t>（签字）</w:t>
      </w:r>
    </w:p>
    <w:p w14:paraId="13BEEA92">
      <w:pPr>
        <w:wordWrap w:val="0"/>
        <w:topLinePunct/>
        <w:snapToGrid w:val="0"/>
        <w:spacing w:line="440" w:lineRule="exact"/>
        <w:ind w:right="420" w:firstLine="2310" w:firstLineChars="1100"/>
        <w:jc w:val="center"/>
        <w:rPr>
          <w:rFonts w:hint="eastAsia" w:ascii="宋体" w:hAnsi="宋体"/>
          <w:bCs/>
          <w:szCs w:val="21"/>
        </w:rPr>
      </w:pPr>
      <w:r>
        <w:rPr>
          <w:rFonts w:ascii="宋体" w:hAnsi="宋体"/>
          <w:bCs/>
          <w:szCs w:val="21"/>
        </w:rPr>
        <w:t xml:space="preserve">                  </w:t>
      </w:r>
      <w:r>
        <w:rPr>
          <w:rFonts w:hint="eastAsia" w:ascii="宋体" w:hAnsi="宋体"/>
          <w:bCs/>
          <w:szCs w:val="21"/>
        </w:rPr>
        <w:t>身份证号码：</w:t>
      </w:r>
      <w:r>
        <w:rPr>
          <w:rFonts w:ascii="宋体" w:hAnsi="宋体"/>
          <w:bCs/>
          <w:szCs w:val="21"/>
          <w:u w:val="single"/>
        </w:rPr>
        <w:t xml:space="preserve">                                </w:t>
      </w:r>
      <w:r>
        <w:rPr>
          <w:rFonts w:hint="eastAsia" w:ascii="宋体" w:hAnsi="宋体"/>
          <w:bCs/>
          <w:szCs w:val="21"/>
        </w:rPr>
        <w:t xml:space="preserve"> </w:t>
      </w:r>
      <w:r>
        <w:rPr>
          <w:rFonts w:ascii="宋体" w:hAnsi="宋体"/>
          <w:bCs/>
          <w:szCs w:val="21"/>
        </w:rPr>
        <w:t xml:space="preserve">  </w:t>
      </w:r>
    </w:p>
    <w:p w14:paraId="1E399757">
      <w:pPr>
        <w:wordWrap w:val="0"/>
        <w:topLinePunct/>
        <w:snapToGrid w:val="0"/>
        <w:spacing w:line="440" w:lineRule="exact"/>
        <w:ind w:firstLine="2310" w:firstLineChars="1100"/>
        <w:jc w:val="right"/>
        <w:rPr>
          <w:rFonts w:hint="eastAsia" w:ascii="宋体" w:hAnsi="宋体"/>
          <w:bCs/>
          <w:szCs w:val="21"/>
        </w:rPr>
      </w:pPr>
      <w:r>
        <w:rPr>
          <w:rFonts w:ascii="宋体" w:hAnsi="宋体"/>
          <w:bCs/>
          <w:szCs w:val="21"/>
        </w:rPr>
        <w:t xml:space="preserve">   </w:t>
      </w:r>
      <w:r>
        <w:rPr>
          <w:rFonts w:hint="eastAsia" w:ascii="宋体" w:hAnsi="宋体"/>
          <w:bCs/>
          <w:szCs w:val="21"/>
        </w:rPr>
        <w:t xml:space="preserve"> 委托代理人：</w:t>
      </w:r>
      <w:r>
        <w:rPr>
          <w:rFonts w:ascii="宋体" w:hAnsi="宋体"/>
          <w:bCs/>
          <w:szCs w:val="21"/>
          <w:u w:val="single"/>
        </w:rPr>
        <w:t xml:space="preserve">                                </w:t>
      </w:r>
      <w:r>
        <w:rPr>
          <w:rFonts w:hint="eastAsia" w:ascii="宋体" w:hAnsi="宋体"/>
          <w:bCs/>
          <w:szCs w:val="21"/>
        </w:rPr>
        <w:t>（签字）</w:t>
      </w:r>
      <w:r>
        <w:rPr>
          <w:rFonts w:ascii="宋体" w:hAnsi="宋体"/>
          <w:bCs/>
          <w:szCs w:val="21"/>
        </w:rPr>
        <w:t xml:space="preserve"> </w:t>
      </w:r>
    </w:p>
    <w:p w14:paraId="226FB634">
      <w:pPr>
        <w:wordWrap w:val="0"/>
        <w:topLinePunct/>
        <w:snapToGrid w:val="0"/>
        <w:spacing w:line="440" w:lineRule="exact"/>
        <w:ind w:firstLine="2310" w:firstLineChars="1100"/>
        <w:jc w:val="right"/>
        <w:rPr>
          <w:rFonts w:hint="eastAsia" w:ascii="宋体" w:hAnsi="宋体"/>
          <w:bCs/>
          <w:szCs w:val="21"/>
        </w:rPr>
      </w:pP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 身份证号码：</w:t>
      </w:r>
      <w:r>
        <w:rPr>
          <w:rFonts w:ascii="宋体" w:hAnsi="宋体"/>
          <w:bCs/>
          <w:szCs w:val="21"/>
          <w:u w:val="single"/>
        </w:rPr>
        <w:t xml:space="preserve">                                </w:t>
      </w:r>
      <w:r>
        <w:rPr>
          <w:rFonts w:hint="eastAsia" w:ascii="宋体" w:hAnsi="宋体"/>
          <w:bCs/>
          <w:szCs w:val="21"/>
        </w:rPr>
        <w:t xml:space="preserve"> </w:t>
      </w:r>
      <w:r>
        <w:rPr>
          <w:rFonts w:ascii="宋体" w:hAnsi="宋体"/>
          <w:bCs/>
          <w:szCs w:val="21"/>
        </w:rPr>
        <w:t xml:space="preserve">                                       </w:t>
      </w:r>
      <w:r>
        <w:rPr>
          <w:rFonts w:ascii="宋体" w:hAnsi="宋体"/>
          <w:bCs/>
          <w:szCs w:val="21"/>
          <w:u w:val="single"/>
        </w:rPr>
        <w:t xml:space="preserve">       </w:t>
      </w:r>
      <w:r>
        <w:rPr>
          <w:rFonts w:hint="eastAsia" w:ascii="宋体" w:hAnsi="宋体"/>
          <w:bCs/>
          <w:szCs w:val="21"/>
        </w:rPr>
        <w:t>年</w:t>
      </w:r>
      <w:r>
        <w:rPr>
          <w:rFonts w:ascii="宋体" w:hAnsi="宋体"/>
          <w:bCs/>
          <w:szCs w:val="21"/>
          <w:u w:val="single"/>
        </w:rPr>
        <w:t xml:space="preserve">       </w:t>
      </w:r>
      <w:r>
        <w:rPr>
          <w:rFonts w:hint="eastAsia" w:ascii="宋体" w:hAnsi="宋体"/>
          <w:bCs/>
          <w:szCs w:val="21"/>
        </w:rPr>
        <w:t>月</w:t>
      </w:r>
      <w:r>
        <w:rPr>
          <w:rFonts w:ascii="宋体" w:hAnsi="宋体"/>
          <w:bCs/>
          <w:szCs w:val="21"/>
          <w:u w:val="single"/>
        </w:rPr>
        <w:t xml:space="preserve">       </w:t>
      </w:r>
      <w:r>
        <w:rPr>
          <w:rFonts w:hint="eastAsia" w:ascii="宋体" w:hAnsi="宋体"/>
          <w:bCs/>
          <w:szCs w:val="21"/>
        </w:rPr>
        <w:t>日</w:t>
      </w:r>
      <w:bookmarkStart w:id="675" w:name="_Toc454272290"/>
      <w:bookmarkStart w:id="676" w:name="_Toc428802621"/>
      <w:bookmarkStart w:id="677" w:name="_Toc477863045"/>
    </w:p>
    <w:p w14:paraId="32ADBB50">
      <w:pPr>
        <w:pStyle w:val="42"/>
        <w:ind w:firstLine="280"/>
      </w:pPr>
    </w:p>
    <w:p w14:paraId="4DF7BE68">
      <w:pPr>
        <w:pStyle w:val="3"/>
        <w:jc w:val="center"/>
        <w:rPr>
          <w:rFonts w:hint="eastAsia" w:ascii="宋体" w:hAnsi="宋体" w:eastAsia="宋体"/>
          <w:sz w:val="28"/>
          <w:szCs w:val="28"/>
        </w:rPr>
      </w:pPr>
      <w:bookmarkStart w:id="678" w:name="_Toc214432856"/>
      <w:r>
        <w:rPr>
          <w:rFonts w:hint="eastAsia" w:ascii="宋体" w:hAnsi="宋体" w:eastAsia="宋体"/>
          <w:sz w:val="28"/>
          <w:szCs w:val="28"/>
        </w:rPr>
        <w:t>六、联合体协议书（如有）</w:t>
      </w:r>
      <w:bookmarkEnd w:id="678"/>
    </w:p>
    <w:p w14:paraId="34508D86">
      <w:pPr>
        <w:pStyle w:val="102"/>
        <w:ind w:firstLine="420"/>
        <w:rPr>
          <w:rFonts w:hint="eastAsia" w:ascii="宋体" w:hAnsi="宋体"/>
          <w:sz w:val="21"/>
        </w:rPr>
      </w:pPr>
      <w:r>
        <w:rPr>
          <w:rFonts w:hint="eastAsia" w:ascii="宋体" w:hAnsi="宋体"/>
          <w:sz w:val="21"/>
          <w:u w:val="single"/>
        </w:rPr>
        <w:t xml:space="preserve">  （所有成员单位名单）  </w:t>
      </w:r>
      <w:r>
        <w:rPr>
          <w:rFonts w:ascii="宋体" w:hAnsi="宋体"/>
          <w:sz w:val="21"/>
        </w:rPr>
        <w:t>自愿组成：</w:t>
      </w:r>
      <w:r>
        <w:rPr>
          <w:rFonts w:hint="eastAsia" w:ascii="宋体" w:hAnsi="宋体"/>
          <w:sz w:val="21"/>
          <w:u w:val="single"/>
        </w:rPr>
        <w:t xml:space="preserve">    </w:t>
      </w:r>
      <w:r>
        <w:rPr>
          <w:rFonts w:ascii="宋体" w:hAnsi="宋体"/>
          <w:sz w:val="21"/>
          <w:u w:val="single"/>
        </w:rPr>
        <w:t>（联合体名称）</w:t>
      </w:r>
      <w:r>
        <w:rPr>
          <w:rFonts w:hint="eastAsia" w:ascii="宋体" w:hAnsi="宋体"/>
          <w:sz w:val="21"/>
          <w:u w:val="single"/>
        </w:rPr>
        <w:t xml:space="preserve">  </w:t>
      </w:r>
      <w:r>
        <w:rPr>
          <w:rFonts w:ascii="宋体" w:hAnsi="宋体"/>
          <w:sz w:val="21"/>
        </w:rPr>
        <w:t>联合体，共同参加</w:t>
      </w:r>
      <w:r>
        <w:rPr>
          <w:rFonts w:hint="eastAsia" w:ascii="宋体" w:hAnsi="宋体"/>
          <w:sz w:val="21"/>
          <w:u w:val="single"/>
        </w:rPr>
        <w:t>（项目名称）</w:t>
      </w:r>
      <w:r>
        <w:rPr>
          <w:rFonts w:ascii="宋体" w:hAnsi="宋体"/>
          <w:sz w:val="21"/>
        </w:rPr>
        <w:t>投标。现就联合体投标事宜订立如下协议</w:t>
      </w:r>
      <w:r>
        <w:rPr>
          <w:rFonts w:hint="eastAsia" w:ascii="宋体" w:hAnsi="宋体"/>
          <w:sz w:val="21"/>
        </w:rPr>
        <w:t>：</w:t>
      </w:r>
    </w:p>
    <w:p w14:paraId="11521D2F">
      <w:pPr>
        <w:pStyle w:val="102"/>
        <w:ind w:firstLine="420"/>
        <w:rPr>
          <w:rFonts w:hint="eastAsia" w:ascii="宋体" w:hAnsi="宋体"/>
          <w:sz w:val="21"/>
        </w:rPr>
      </w:pPr>
      <w:r>
        <w:rPr>
          <w:rFonts w:ascii="宋体" w:hAnsi="宋体"/>
          <w:sz w:val="21"/>
        </w:rPr>
        <w:t>1</w:t>
      </w:r>
      <w:r>
        <w:rPr>
          <w:rFonts w:hint="eastAsia" w:ascii="宋体" w:hAnsi="宋体"/>
          <w:sz w:val="21"/>
        </w:rPr>
        <w:t>．</w:t>
      </w:r>
      <w:r>
        <w:rPr>
          <w:rFonts w:ascii="宋体" w:hAnsi="宋体"/>
          <w:sz w:val="21"/>
          <w:u w:val="single"/>
        </w:rPr>
        <w:t>（成员单位名称）</w:t>
      </w:r>
      <w:r>
        <w:rPr>
          <w:rFonts w:ascii="宋体" w:hAnsi="宋体"/>
          <w:sz w:val="21"/>
        </w:rPr>
        <w:t>为</w:t>
      </w:r>
      <w:r>
        <w:rPr>
          <w:rFonts w:ascii="宋体" w:hAnsi="宋体"/>
          <w:sz w:val="21"/>
          <w:u w:val="single"/>
        </w:rPr>
        <w:t>（联合体名称）</w:t>
      </w:r>
      <w:r>
        <w:rPr>
          <w:rFonts w:ascii="宋体" w:hAnsi="宋体"/>
          <w:sz w:val="21"/>
        </w:rPr>
        <w:t>牵头人。</w:t>
      </w:r>
    </w:p>
    <w:p w14:paraId="16363CD7">
      <w:pPr>
        <w:pStyle w:val="102"/>
        <w:ind w:firstLine="420"/>
        <w:rPr>
          <w:rFonts w:hint="eastAsia" w:ascii="宋体" w:hAnsi="宋体"/>
          <w:sz w:val="21"/>
        </w:rPr>
      </w:pPr>
      <w:r>
        <w:rPr>
          <w:rFonts w:ascii="宋体" w:hAnsi="宋体"/>
          <w:sz w:val="21"/>
        </w:rPr>
        <w:t>2</w:t>
      </w:r>
      <w:r>
        <w:rPr>
          <w:rFonts w:hint="eastAsia" w:ascii="宋体" w:hAnsi="宋体"/>
          <w:sz w:val="21"/>
        </w:rPr>
        <w:t>．</w:t>
      </w:r>
      <w:r>
        <w:rPr>
          <w:rFonts w:ascii="宋体" w:hAnsi="宋体"/>
          <w:sz w:val="21"/>
        </w:rPr>
        <w:t>联合体牵头人合法代表联合体各成员，负责本招标项目</w:t>
      </w:r>
      <w:r>
        <w:rPr>
          <w:rFonts w:hint="eastAsia" w:ascii="宋体" w:hAnsi="宋体"/>
          <w:sz w:val="21"/>
        </w:rPr>
        <w:t>投标文件</w:t>
      </w:r>
      <w:r>
        <w:rPr>
          <w:rFonts w:ascii="宋体" w:hAnsi="宋体"/>
          <w:sz w:val="21"/>
        </w:rPr>
        <w:t>编制和合同谈判活动，并代表联合体成员</w:t>
      </w:r>
      <w:r>
        <w:rPr>
          <w:rFonts w:hint="eastAsia" w:ascii="宋体" w:hAnsi="宋体"/>
          <w:sz w:val="21"/>
        </w:rPr>
        <w:t>递</w:t>
      </w:r>
      <w:r>
        <w:rPr>
          <w:rFonts w:ascii="宋体" w:hAnsi="宋体"/>
          <w:sz w:val="21"/>
        </w:rPr>
        <w:t>交和接受相关的资料、信息及指示，并处理与之有关的一切事务，负责合同实施阶段的主办、组织和协调工作。</w:t>
      </w:r>
    </w:p>
    <w:p w14:paraId="39C8B064">
      <w:pPr>
        <w:pStyle w:val="102"/>
        <w:ind w:firstLine="420"/>
        <w:rPr>
          <w:rFonts w:hint="eastAsia" w:ascii="宋体" w:hAnsi="宋体"/>
          <w:sz w:val="21"/>
        </w:rPr>
      </w:pPr>
      <w:r>
        <w:rPr>
          <w:rFonts w:ascii="宋体" w:hAnsi="宋体"/>
          <w:sz w:val="21"/>
        </w:rPr>
        <w:t>3</w:t>
      </w:r>
      <w:r>
        <w:rPr>
          <w:rFonts w:hint="eastAsia" w:ascii="宋体" w:hAnsi="宋体"/>
          <w:sz w:val="21"/>
        </w:rPr>
        <w:t>．</w:t>
      </w:r>
      <w:r>
        <w:rPr>
          <w:rFonts w:ascii="宋体" w:hAnsi="宋体"/>
          <w:sz w:val="21"/>
        </w:rPr>
        <w:t>联合体将严格按照招标文件的各项要求，递交</w:t>
      </w:r>
      <w:r>
        <w:rPr>
          <w:rFonts w:hint="eastAsia" w:ascii="宋体" w:hAnsi="宋体"/>
          <w:sz w:val="21"/>
        </w:rPr>
        <w:t>投标文件</w:t>
      </w:r>
      <w:r>
        <w:rPr>
          <w:rFonts w:ascii="宋体" w:hAnsi="宋体"/>
          <w:sz w:val="21"/>
        </w:rPr>
        <w:t>，履行合同，并对外承担连带责任。</w:t>
      </w:r>
    </w:p>
    <w:p w14:paraId="6323AD37">
      <w:pPr>
        <w:pStyle w:val="102"/>
        <w:ind w:firstLine="420"/>
        <w:rPr>
          <w:rFonts w:hint="eastAsia" w:ascii="宋体" w:hAnsi="宋体"/>
          <w:sz w:val="21"/>
        </w:rPr>
      </w:pPr>
      <w:r>
        <w:rPr>
          <w:rFonts w:ascii="宋体" w:hAnsi="宋体"/>
          <w:sz w:val="21"/>
        </w:rPr>
        <w:t>4</w:t>
      </w:r>
      <w:r>
        <w:rPr>
          <w:rFonts w:hint="eastAsia" w:ascii="宋体" w:hAnsi="宋体"/>
          <w:sz w:val="21"/>
        </w:rPr>
        <w:t>．</w:t>
      </w:r>
      <w:r>
        <w:rPr>
          <w:rFonts w:ascii="宋体" w:hAnsi="宋体"/>
          <w:sz w:val="21"/>
        </w:rPr>
        <w:t>联合体各成员单位内部的职责分工</w:t>
      </w:r>
      <w:r>
        <w:rPr>
          <w:rFonts w:hint="eastAsia" w:ascii="宋体" w:hAnsi="宋体"/>
          <w:sz w:val="21"/>
        </w:rPr>
        <w:t>以及资质等级</w:t>
      </w:r>
      <w:r>
        <w:rPr>
          <w:rFonts w:ascii="宋体" w:hAnsi="宋体"/>
          <w:sz w:val="21"/>
        </w:rPr>
        <w:t>如下：_____________</w:t>
      </w:r>
      <w:r>
        <w:rPr>
          <w:rFonts w:hint="eastAsia" w:ascii="宋体" w:hAnsi="宋体"/>
          <w:sz w:val="21"/>
        </w:rPr>
        <w:t>。</w:t>
      </w:r>
    </w:p>
    <w:p w14:paraId="6AB8FC5B">
      <w:pPr>
        <w:pStyle w:val="102"/>
        <w:ind w:firstLine="420"/>
        <w:rPr>
          <w:rFonts w:hint="eastAsia" w:ascii="宋体" w:hAnsi="宋体"/>
          <w:sz w:val="21"/>
        </w:rPr>
      </w:pPr>
      <w:r>
        <w:rPr>
          <w:rFonts w:hint="eastAsia" w:ascii="宋体" w:hAnsi="宋体"/>
          <w:sz w:val="21"/>
        </w:rPr>
        <w:t>按照本条上述分工，联合体成员单位各自所承担的合同工作量比例如下：</w:t>
      </w:r>
    </w:p>
    <w:p w14:paraId="55B6260B">
      <w:pPr>
        <w:spacing w:line="44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47DE5EEB">
      <w:pPr>
        <w:pStyle w:val="102"/>
        <w:ind w:firstLine="420"/>
        <w:rPr>
          <w:rFonts w:hint="eastAsia" w:ascii="宋体" w:hAnsi="宋体"/>
          <w:sz w:val="21"/>
        </w:rPr>
      </w:pPr>
      <w:r>
        <w:rPr>
          <w:rFonts w:ascii="宋体" w:hAnsi="宋体"/>
          <w:sz w:val="21"/>
        </w:rPr>
        <w:t>5</w:t>
      </w:r>
      <w:r>
        <w:rPr>
          <w:rFonts w:hint="eastAsia" w:ascii="宋体" w:hAnsi="宋体"/>
          <w:sz w:val="21"/>
        </w:rPr>
        <w:t>．</w:t>
      </w:r>
      <w:r>
        <w:rPr>
          <w:rFonts w:ascii="宋体" w:hAnsi="宋体"/>
          <w:sz w:val="21"/>
        </w:rPr>
        <w:t>投标工作以及联合体在中标后工程实施过程中的有关费用按</w:t>
      </w:r>
      <w:r>
        <w:rPr>
          <w:rFonts w:hint="eastAsia" w:ascii="宋体" w:hAnsi="宋体"/>
          <w:sz w:val="21"/>
        </w:rPr>
        <w:t>照</w:t>
      </w:r>
      <w:r>
        <w:rPr>
          <w:rFonts w:ascii="宋体" w:hAnsi="宋体"/>
          <w:sz w:val="21"/>
        </w:rPr>
        <w:t>各自承担的工作量分摊。</w:t>
      </w:r>
    </w:p>
    <w:p w14:paraId="38EC3EEE">
      <w:pPr>
        <w:pStyle w:val="102"/>
        <w:ind w:firstLine="420"/>
        <w:rPr>
          <w:rFonts w:hint="eastAsia" w:ascii="宋体" w:hAnsi="宋体"/>
          <w:sz w:val="21"/>
        </w:rPr>
      </w:pPr>
      <w:r>
        <w:rPr>
          <w:rFonts w:ascii="宋体" w:hAnsi="宋体"/>
          <w:sz w:val="21"/>
        </w:rPr>
        <w:t>6</w:t>
      </w:r>
      <w:r>
        <w:rPr>
          <w:rFonts w:hint="eastAsia" w:ascii="宋体" w:hAnsi="宋体"/>
          <w:sz w:val="21"/>
        </w:rPr>
        <w:t>．</w:t>
      </w:r>
      <w:r>
        <w:rPr>
          <w:rFonts w:ascii="宋体" w:hAnsi="宋体"/>
          <w:sz w:val="21"/>
        </w:rPr>
        <w:t>联合体中标后，本联合体协议是合同的附件，对联合体各成员单位有合同约束力。</w:t>
      </w:r>
    </w:p>
    <w:p w14:paraId="5A36F6F8">
      <w:pPr>
        <w:pStyle w:val="102"/>
        <w:ind w:firstLine="420"/>
        <w:rPr>
          <w:rFonts w:hint="eastAsia" w:ascii="宋体" w:hAnsi="宋体"/>
          <w:sz w:val="21"/>
        </w:rPr>
      </w:pPr>
      <w:r>
        <w:rPr>
          <w:rFonts w:hint="eastAsia" w:ascii="宋体" w:hAnsi="宋体"/>
          <w:sz w:val="21"/>
        </w:rPr>
        <w:t>7．</w:t>
      </w:r>
      <w:r>
        <w:rPr>
          <w:rFonts w:ascii="宋体" w:hAnsi="宋体"/>
          <w:sz w:val="21"/>
        </w:rPr>
        <w:t>本协议书自签</w:t>
      </w:r>
      <w:r>
        <w:rPr>
          <w:rFonts w:hint="eastAsia" w:ascii="宋体" w:hAnsi="宋体"/>
          <w:sz w:val="21"/>
        </w:rPr>
        <w:t>署</w:t>
      </w:r>
      <w:r>
        <w:rPr>
          <w:rFonts w:ascii="宋体" w:hAnsi="宋体"/>
          <w:sz w:val="21"/>
        </w:rPr>
        <w:t>之日起生效，合同履行完毕后自动失效。</w:t>
      </w:r>
      <w:r>
        <w:rPr>
          <w:rFonts w:ascii="宋体" w:hAnsi="宋体"/>
          <w:sz w:val="21"/>
        </w:rPr>
        <w:tab/>
      </w:r>
    </w:p>
    <w:p w14:paraId="09AD5F04">
      <w:pPr>
        <w:pStyle w:val="102"/>
        <w:ind w:firstLine="420"/>
        <w:rPr>
          <w:rFonts w:hint="eastAsia" w:ascii="宋体" w:hAnsi="宋体"/>
          <w:sz w:val="21"/>
        </w:rPr>
      </w:pPr>
      <w:r>
        <w:rPr>
          <w:rFonts w:hint="eastAsia" w:ascii="宋体" w:hAnsi="宋体"/>
          <w:sz w:val="21"/>
        </w:rPr>
        <w:t>8．</w:t>
      </w:r>
      <w:r>
        <w:rPr>
          <w:rFonts w:ascii="宋体" w:hAnsi="宋体"/>
          <w:sz w:val="21"/>
        </w:rPr>
        <w:t>本协议书一式____份，联合体成员</w:t>
      </w:r>
      <w:r>
        <w:rPr>
          <w:rFonts w:hint="eastAsia" w:ascii="宋体" w:hAnsi="宋体"/>
          <w:sz w:val="21"/>
        </w:rPr>
        <w:t>和</w:t>
      </w:r>
      <w:r>
        <w:rPr>
          <w:rFonts w:ascii="宋体" w:hAnsi="宋体"/>
          <w:sz w:val="21"/>
        </w:rPr>
        <w:t>招标人各执一份。</w:t>
      </w:r>
    </w:p>
    <w:p w14:paraId="5B22C48A">
      <w:pPr>
        <w:pStyle w:val="102"/>
        <w:ind w:firstLine="420"/>
        <w:rPr>
          <w:rFonts w:hint="eastAsia" w:ascii="宋体" w:hAnsi="宋体"/>
          <w:sz w:val="21"/>
        </w:rPr>
      </w:pPr>
      <w:r>
        <w:rPr>
          <w:rFonts w:ascii="宋体" w:hAnsi="宋体"/>
          <w:sz w:val="21"/>
        </w:rPr>
        <w:t>注：本协议书由委托人签字的，应附法定代表人签字的授权委托书。</w:t>
      </w:r>
    </w:p>
    <w:p w14:paraId="5FDAC2CA">
      <w:pPr>
        <w:pStyle w:val="102"/>
        <w:spacing w:line="200" w:lineRule="exact"/>
        <w:ind w:firstLine="420"/>
        <w:rPr>
          <w:rFonts w:hint="eastAsia" w:ascii="宋体" w:hAnsi="宋体"/>
          <w:sz w:val="21"/>
        </w:rPr>
      </w:pPr>
    </w:p>
    <w:p w14:paraId="666FA55C">
      <w:pPr>
        <w:pStyle w:val="102"/>
        <w:wordWrap w:val="0"/>
        <w:ind w:firstLine="420"/>
        <w:jc w:val="right"/>
        <w:rPr>
          <w:rFonts w:hint="eastAsia" w:ascii="宋体" w:hAnsi="宋体"/>
          <w:sz w:val="21"/>
        </w:rPr>
      </w:pPr>
      <w:r>
        <w:rPr>
          <w:rFonts w:ascii="宋体" w:hAnsi="宋体"/>
          <w:sz w:val="21"/>
        </w:rPr>
        <w:t>牵头人名称：</w:t>
      </w:r>
      <w:r>
        <w:rPr>
          <w:rFonts w:hint="eastAsia" w:ascii="宋体" w:hAnsi="宋体"/>
          <w:sz w:val="21"/>
          <w:u w:val="single"/>
        </w:rPr>
        <w:t xml:space="preserve">                       </w:t>
      </w:r>
      <w:r>
        <w:rPr>
          <w:rFonts w:ascii="宋体" w:hAnsi="宋体"/>
          <w:sz w:val="21"/>
        </w:rPr>
        <w:t>（盖单位公章）</w:t>
      </w:r>
    </w:p>
    <w:p w14:paraId="64279C6D">
      <w:pPr>
        <w:pStyle w:val="102"/>
        <w:wordWrap w:val="0"/>
        <w:ind w:firstLine="420"/>
        <w:jc w:val="right"/>
        <w:rPr>
          <w:rFonts w:hint="eastAsia" w:ascii="宋体" w:hAnsi="宋体"/>
          <w:sz w:val="21"/>
        </w:rPr>
      </w:pPr>
      <w:r>
        <w:rPr>
          <w:rFonts w:ascii="宋体" w:hAnsi="宋体"/>
          <w:sz w:val="21"/>
        </w:rPr>
        <w:t>法定代表人或其委托代理人：</w:t>
      </w:r>
      <w:r>
        <w:rPr>
          <w:rFonts w:hint="eastAsia" w:ascii="宋体" w:hAnsi="宋体"/>
          <w:sz w:val="21"/>
          <w:u w:val="single"/>
        </w:rPr>
        <w:t xml:space="preserve">               </w:t>
      </w:r>
      <w:r>
        <w:rPr>
          <w:rFonts w:ascii="宋体" w:hAnsi="宋体"/>
          <w:sz w:val="21"/>
        </w:rPr>
        <w:t>（签字）</w:t>
      </w:r>
    </w:p>
    <w:p w14:paraId="5EA8F1EA">
      <w:pPr>
        <w:pStyle w:val="102"/>
        <w:spacing w:line="200" w:lineRule="exact"/>
        <w:ind w:firstLine="420"/>
        <w:rPr>
          <w:rFonts w:hint="eastAsia" w:ascii="宋体" w:hAnsi="宋体"/>
          <w:sz w:val="21"/>
        </w:rPr>
      </w:pPr>
    </w:p>
    <w:p w14:paraId="12558291">
      <w:pPr>
        <w:pStyle w:val="102"/>
        <w:wordWrap w:val="0"/>
        <w:ind w:firstLine="420"/>
        <w:jc w:val="right"/>
        <w:rPr>
          <w:rFonts w:hint="eastAsia" w:ascii="宋体" w:hAnsi="宋体"/>
          <w:sz w:val="21"/>
        </w:rPr>
      </w:pPr>
      <w:r>
        <w:rPr>
          <w:rFonts w:ascii="宋体" w:hAnsi="宋体"/>
          <w:sz w:val="21"/>
        </w:rPr>
        <w:t>成员一名称：</w:t>
      </w:r>
      <w:r>
        <w:rPr>
          <w:rFonts w:hint="eastAsia" w:ascii="宋体" w:hAnsi="宋体"/>
          <w:sz w:val="21"/>
          <w:u w:val="single"/>
        </w:rPr>
        <w:t xml:space="preserve">                       </w:t>
      </w:r>
      <w:r>
        <w:rPr>
          <w:rFonts w:ascii="宋体" w:hAnsi="宋体"/>
          <w:sz w:val="21"/>
        </w:rPr>
        <w:t>（盖单位公章）</w:t>
      </w:r>
    </w:p>
    <w:p w14:paraId="757E9F02">
      <w:pPr>
        <w:pStyle w:val="102"/>
        <w:ind w:firstLine="420"/>
        <w:jc w:val="right"/>
        <w:rPr>
          <w:rFonts w:hint="eastAsia" w:ascii="宋体" w:hAnsi="宋体"/>
          <w:sz w:val="21"/>
        </w:rPr>
      </w:pPr>
      <w:r>
        <w:rPr>
          <w:rFonts w:ascii="宋体" w:hAnsi="宋体"/>
          <w:sz w:val="21"/>
        </w:rPr>
        <w:t>法定代表人或其委托代理人：</w:t>
      </w:r>
      <w:r>
        <w:rPr>
          <w:rFonts w:hint="eastAsia" w:ascii="宋体" w:hAnsi="宋体"/>
          <w:sz w:val="21"/>
          <w:u w:val="single"/>
        </w:rPr>
        <w:t xml:space="preserve">               </w:t>
      </w:r>
      <w:r>
        <w:rPr>
          <w:rFonts w:ascii="宋体" w:hAnsi="宋体"/>
          <w:sz w:val="21"/>
        </w:rPr>
        <w:t>（签字）</w:t>
      </w:r>
    </w:p>
    <w:p w14:paraId="15A7019F">
      <w:pPr>
        <w:pStyle w:val="102"/>
        <w:spacing w:line="200" w:lineRule="exact"/>
        <w:ind w:firstLine="420"/>
        <w:rPr>
          <w:rFonts w:hint="eastAsia" w:ascii="宋体" w:hAnsi="宋体"/>
          <w:sz w:val="21"/>
        </w:rPr>
      </w:pPr>
    </w:p>
    <w:p w14:paraId="42F5E7D6">
      <w:pPr>
        <w:pStyle w:val="5"/>
        <w:spacing w:line="360" w:lineRule="auto"/>
        <w:ind w:firstLine="280"/>
        <w:rPr>
          <w:rFonts w:hint="eastAsia" w:ascii="宋体" w:hAnsi="宋体" w:eastAsia="宋体"/>
          <w:sz w:val="24"/>
          <w:szCs w:val="21"/>
        </w:rPr>
      </w:pPr>
      <w:r>
        <w:rPr>
          <w:rFonts w:hint="eastAsia" w:ascii="宋体" w:hAnsi="宋体" w:eastAsia="宋体"/>
          <w:szCs w:val="21"/>
        </w:rPr>
        <w:t xml:space="preserve">              </w:t>
      </w:r>
      <w:r>
        <w:rPr>
          <w:rFonts w:ascii="宋体" w:hAnsi="宋体" w:eastAsia="宋体"/>
          <w:sz w:val="24"/>
          <w:szCs w:val="21"/>
        </w:rPr>
        <w:t>……</w:t>
      </w:r>
    </w:p>
    <w:p w14:paraId="6ECBC39F">
      <w:pPr>
        <w:pStyle w:val="15"/>
        <w:jc w:val="right"/>
        <w:rPr>
          <w:rFonts w:hint="eastAsia" w:ascii="宋体" w:hAnsi="宋体"/>
          <w:sz w:val="24"/>
          <w:szCs w:val="21"/>
        </w:rPr>
      </w:pPr>
      <w:r>
        <w:rPr>
          <w:rFonts w:ascii="宋体" w:hAnsi="宋体"/>
          <w:sz w:val="24"/>
          <w:szCs w:val="21"/>
        </w:rPr>
        <w:t xml:space="preserve">    年 </w:t>
      </w:r>
      <w:r>
        <w:rPr>
          <w:rFonts w:hint="eastAsia" w:ascii="宋体" w:hAnsi="宋体"/>
          <w:sz w:val="24"/>
          <w:szCs w:val="21"/>
        </w:rPr>
        <w:t xml:space="preserve">   </w:t>
      </w:r>
      <w:r>
        <w:rPr>
          <w:rFonts w:ascii="宋体" w:hAnsi="宋体"/>
          <w:sz w:val="24"/>
          <w:szCs w:val="21"/>
        </w:rPr>
        <w:t>月</w:t>
      </w:r>
      <w:r>
        <w:rPr>
          <w:rFonts w:hint="eastAsia" w:ascii="宋体" w:hAnsi="宋体"/>
          <w:sz w:val="24"/>
          <w:szCs w:val="21"/>
        </w:rPr>
        <w:t xml:space="preserve">   </w:t>
      </w:r>
      <w:r>
        <w:rPr>
          <w:rFonts w:ascii="宋体" w:hAnsi="宋体"/>
          <w:sz w:val="24"/>
          <w:szCs w:val="21"/>
        </w:rPr>
        <w:t xml:space="preserve"> 日</w:t>
      </w:r>
    </w:p>
    <w:p w14:paraId="1A1CA486">
      <w:pPr>
        <w:pStyle w:val="42"/>
        <w:ind w:firstLine="280"/>
      </w:pPr>
    </w:p>
    <w:bookmarkEnd w:id="675"/>
    <w:bookmarkEnd w:id="676"/>
    <w:bookmarkEnd w:id="677"/>
    <w:p w14:paraId="57E06299">
      <w:pPr>
        <w:pStyle w:val="3"/>
        <w:spacing w:before="0" w:after="0" w:line="360" w:lineRule="auto"/>
        <w:jc w:val="center"/>
        <w:rPr>
          <w:rFonts w:hint="eastAsia" w:ascii="宋体" w:hAnsi="宋体" w:eastAsia="宋体"/>
          <w:sz w:val="28"/>
          <w:szCs w:val="28"/>
        </w:rPr>
      </w:pPr>
      <w:bookmarkStart w:id="679" w:name="_Toc247514300"/>
      <w:bookmarkStart w:id="680" w:name="_Toc247527848"/>
      <w:bookmarkStart w:id="681" w:name="_Toc477863053"/>
      <w:bookmarkStart w:id="682" w:name="_Toc398126257"/>
      <w:bookmarkStart w:id="683" w:name="_Toc214432857"/>
      <w:bookmarkStart w:id="684" w:name="_Toc477863048"/>
      <w:bookmarkStart w:id="685" w:name="_Toc454272295"/>
      <w:bookmarkStart w:id="686" w:name="_Toc428802624"/>
      <w:r>
        <w:rPr>
          <w:rFonts w:hint="eastAsia" w:ascii="宋体" w:hAnsi="宋体" w:eastAsia="宋体"/>
          <w:sz w:val="28"/>
          <w:szCs w:val="28"/>
        </w:rPr>
        <w:t>七、</w:t>
      </w:r>
      <w:bookmarkEnd w:id="679"/>
      <w:bookmarkEnd w:id="680"/>
      <w:bookmarkEnd w:id="681"/>
      <w:bookmarkEnd w:id="682"/>
      <w:r>
        <w:rPr>
          <w:rFonts w:hint="eastAsia" w:ascii="宋体" w:hAnsi="宋体" w:eastAsia="宋体"/>
          <w:sz w:val="28"/>
          <w:szCs w:val="28"/>
        </w:rPr>
        <w:t>资格审查资料</w:t>
      </w:r>
      <w:bookmarkEnd w:id="683"/>
    </w:p>
    <w:p w14:paraId="56337114">
      <w:pPr>
        <w:spacing w:after="0" w:line="360" w:lineRule="auto"/>
        <w:jc w:val="center"/>
        <w:rPr>
          <w:b/>
          <w:sz w:val="28"/>
          <w:szCs w:val="28"/>
        </w:rPr>
      </w:pPr>
      <w:r>
        <w:rPr>
          <w:rFonts w:hint="eastAsia"/>
          <w:b/>
          <w:sz w:val="28"/>
          <w:szCs w:val="28"/>
        </w:rPr>
        <w:t>（一）投标人基本情况表</w:t>
      </w:r>
    </w:p>
    <w:tbl>
      <w:tblPr>
        <w:tblStyle w:val="44"/>
        <w:tblW w:w="9420" w:type="dxa"/>
        <w:tblInd w:w="39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99"/>
        <w:gridCol w:w="987"/>
        <w:gridCol w:w="1045"/>
        <w:gridCol w:w="922"/>
        <w:gridCol w:w="462"/>
        <w:gridCol w:w="343"/>
        <w:gridCol w:w="1185"/>
        <w:gridCol w:w="539"/>
        <w:gridCol w:w="945"/>
        <w:gridCol w:w="1093"/>
      </w:tblGrid>
      <w:tr w14:paraId="369BFD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1899" w:type="dxa"/>
            <w:tcBorders>
              <w:top w:val="single" w:color="auto" w:sz="4" w:space="0"/>
              <w:bottom w:val="single" w:color="auto" w:sz="4" w:space="0"/>
              <w:right w:val="single" w:color="auto" w:sz="4" w:space="0"/>
            </w:tcBorders>
            <w:vAlign w:val="center"/>
          </w:tcPr>
          <w:p w14:paraId="0E8602E1">
            <w:pPr>
              <w:topLinePunct/>
              <w:spacing w:line="440" w:lineRule="exact"/>
              <w:jc w:val="center"/>
              <w:rPr>
                <w:rFonts w:hint="eastAsia" w:ascii="宋体" w:hAnsi="宋体"/>
                <w:szCs w:val="21"/>
              </w:rPr>
            </w:pPr>
            <w:r>
              <w:rPr>
                <w:rFonts w:hint="eastAsia" w:ascii="宋体" w:hAnsi="宋体"/>
                <w:szCs w:val="21"/>
              </w:rPr>
              <w:t>投标人名称</w:t>
            </w:r>
          </w:p>
        </w:tc>
        <w:tc>
          <w:tcPr>
            <w:tcW w:w="7521" w:type="dxa"/>
            <w:gridSpan w:val="9"/>
            <w:tcBorders>
              <w:top w:val="single" w:color="auto" w:sz="4" w:space="0"/>
              <w:left w:val="single" w:color="auto" w:sz="4" w:space="0"/>
              <w:bottom w:val="single" w:color="auto" w:sz="4" w:space="0"/>
            </w:tcBorders>
            <w:vAlign w:val="center"/>
          </w:tcPr>
          <w:p w14:paraId="462939D2">
            <w:pPr>
              <w:topLinePunct/>
              <w:spacing w:line="440" w:lineRule="exact"/>
              <w:jc w:val="center"/>
              <w:rPr>
                <w:rFonts w:hint="eastAsia" w:ascii="宋体" w:hAnsi="宋体"/>
                <w:szCs w:val="21"/>
              </w:rPr>
            </w:pPr>
          </w:p>
        </w:tc>
      </w:tr>
      <w:tr w14:paraId="54F1C5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1899" w:type="dxa"/>
            <w:tcBorders>
              <w:top w:val="single" w:color="auto" w:sz="4" w:space="0"/>
              <w:bottom w:val="single" w:color="auto" w:sz="4" w:space="0"/>
              <w:right w:val="single" w:color="auto" w:sz="4" w:space="0"/>
            </w:tcBorders>
            <w:vAlign w:val="center"/>
          </w:tcPr>
          <w:p w14:paraId="19491FFE">
            <w:pPr>
              <w:topLinePunct/>
              <w:spacing w:line="440" w:lineRule="exact"/>
              <w:jc w:val="center"/>
              <w:rPr>
                <w:rFonts w:hint="eastAsia" w:ascii="宋体" w:hAnsi="宋体"/>
                <w:szCs w:val="21"/>
              </w:rPr>
            </w:pPr>
            <w:r>
              <w:rPr>
                <w:rFonts w:hint="eastAsia" w:ascii="宋体" w:hAnsi="宋体"/>
                <w:szCs w:val="21"/>
              </w:rPr>
              <w:t>注册地址</w:t>
            </w:r>
          </w:p>
        </w:tc>
        <w:tc>
          <w:tcPr>
            <w:tcW w:w="3759" w:type="dxa"/>
            <w:gridSpan w:val="5"/>
            <w:tcBorders>
              <w:top w:val="single" w:color="auto" w:sz="4" w:space="0"/>
              <w:left w:val="single" w:color="auto" w:sz="4" w:space="0"/>
              <w:bottom w:val="single" w:color="auto" w:sz="4" w:space="0"/>
              <w:right w:val="single" w:color="auto" w:sz="4" w:space="0"/>
            </w:tcBorders>
            <w:vAlign w:val="center"/>
          </w:tcPr>
          <w:p w14:paraId="255D1570">
            <w:pPr>
              <w:topLinePunct/>
              <w:spacing w:line="440" w:lineRule="exact"/>
              <w:jc w:val="center"/>
              <w:rPr>
                <w:rFonts w:hint="eastAsia" w:ascii="宋体" w:hAnsi="宋体"/>
                <w:szCs w:val="21"/>
              </w:rPr>
            </w:pPr>
          </w:p>
        </w:tc>
        <w:tc>
          <w:tcPr>
            <w:tcW w:w="1185" w:type="dxa"/>
            <w:tcBorders>
              <w:top w:val="single" w:color="auto" w:sz="4" w:space="0"/>
              <w:left w:val="single" w:color="auto" w:sz="4" w:space="0"/>
              <w:bottom w:val="single" w:color="auto" w:sz="4" w:space="0"/>
              <w:right w:val="single" w:color="auto" w:sz="4" w:space="0"/>
            </w:tcBorders>
            <w:vAlign w:val="center"/>
          </w:tcPr>
          <w:p w14:paraId="7F0C2C12">
            <w:pPr>
              <w:topLinePunct/>
              <w:spacing w:line="440" w:lineRule="exact"/>
              <w:jc w:val="center"/>
              <w:rPr>
                <w:rFonts w:hint="eastAsia" w:ascii="宋体" w:hAnsi="宋体"/>
                <w:szCs w:val="21"/>
              </w:rPr>
            </w:pPr>
            <w:r>
              <w:rPr>
                <w:rFonts w:hint="eastAsia" w:ascii="宋体" w:hAnsi="宋体"/>
                <w:szCs w:val="21"/>
              </w:rPr>
              <w:t>邮政编码</w:t>
            </w:r>
          </w:p>
        </w:tc>
        <w:tc>
          <w:tcPr>
            <w:tcW w:w="2577" w:type="dxa"/>
            <w:gridSpan w:val="3"/>
            <w:tcBorders>
              <w:top w:val="single" w:color="auto" w:sz="4" w:space="0"/>
              <w:left w:val="single" w:color="auto" w:sz="4" w:space="0"/>
              <w:bottom w:val="single" w:color="auto" w:sz="4" w:space="0"/>
            </w:tcBorders>
            <w:vAlign w:val="center"/>
          </w:tcPr>
          <w:p w14:paraId="1103AC32">
            <w:pPr>
              <w:topLinePunct/>
              <w:spacing w:line="440" w:lineRule="exact"/>
              <w:jc w:val="center"/>
              <w:rPr>
                <w:rFonts w:hint="eastAsia" w:ascii="宋体" w:hAnsi="宋体"/>
                <w:szCs w:val="21"/>
              </w:rPr>
            </w:pPr>
          </w:p>
        </w:tc>
      </w:tr>
      <w:tr w14:paraId="0EB6C1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3" w:hRule="atLeast"/>
        </w:trPr>
        <w:tc>
          <w:tcPr>
            <w:tcW w:w="1899" w:type="dxa"/>
            <w:vMerge w:val="restart"/>
            <w:tcBorders>
              <w:top w:val="single" w:color="auto" w:sz="4" w:space="0"/>
              <w:bottom w:val="single" w:color="auto" w:sz="4" w:space="0"/>
              <w:right w:val="single" w:color="auto" w:sz="4" w:space="0"/>
            </w:tcBorders>
            <w:vAlign w:val="center"/>
          </w:tcPr>
          <w:p w14:paraId="5A25D5A4">
            <w:pPr>
              <w:topLinePunct/>
              <w:spacing w:line="440" w:lineRule="exact"/>
              <w:jc w:val="center"/>
              <w:rPr>
                <w:rFonts w:hint="eastAsia" w:ascii="宋体" w:hAnsi="宋体"/>
                <w:szCs w:val="21"/>
              </w:rPr>
            </w:pPr>
            <w:r>
              <w:rPr>
                <w:rFonts w:hint="eastAsia" w:ascii="宋体" w:hAnsi="宋体"/>
                <w:szCs w:val="21"/>
              </w:rPr>
              <w:t>联系方式</w:t>
            </w:r>
          </w:p>
        </w:tc>
        <w:tc>
          <w:tcPr>
            <w:tcW w:w="987" w:type="dxa"/>
            <w:tcBorders>
              <w:top w:val="single" w:color="auto" w:sz="4" w:space="0"/>
              <w:left w:val="single" w:color="auto" w:sz="4" w:space="0"/>
              <w:bottom w:val="single" w:color="auto" w:sz="4" w:space="0"/>
              <w:right w:val="single" w:color="auto" w:sz="4" w:space="0"/>
            </w:tcBorders>
            <w:vAlign w:val="center"/>
          </w:tcPr>
          <w:p w14:paraId="7881D84E">
            <w:pPr>
              <w:topLinePunct/>
              <w:spacing w:line="440" w:lineRule="exact"/>
              <w:jc w:val="center"/>
              <w:rPr>
                <w:rFonts w:hint="eastAsia" w:ascii="宋体" w:hAnsi="宋体"/>
                <w:szCs w:val="21"/>
              </w:rPr>
            </w:pPr>
            <w:r>
              <w:rPr>
                <w:rFonts w:hint="eastAsia" w:ascii="宋体" w:hAnsi="宋体"/>
                <w:szCs w:val="21"/>
              </w:rPr>
              <w:t>联系人</w:t>
            </w:r>
          </w:p>
        </w:tc>
        <w:tc>
          <w:tcPr>
            <w:tcW w:w="2772" w:type="dxa"/>
            <w:gridSpan w:val="4"/>
            <w:tcBorders>
              <w:top w:val="single" w:color="auto" w:sz="4" w:space="0"/>
              <w:left w:val="single" w:color="auto" w:sz="4" w:space="0"/>
              <w:bottom w:val="single" w:color="auto" w:sz="4" w:space="0"/>
              <w:right w:val="single" w:color="auto" w:sz="4" w:space="0"/>
            </w:tcBorders>
            <w:vAlign w:val="center"/>
          </w:tcPr>
          <w:p w14:paraId="28541F79">
            <w:pPr>
              <w:topLinePunct/>
              <w:spacing w:line="440" w:lineRule="exact"/>
              <w:jc w:val="center"/>
              <w:rPr>
                <w:rFonts w:hint="eastAsia" w:ascii="宋体" w:hAnsi="宋体"/>
                <w:szCs w:val="21"/>
              </w:rPr>
            </w:pPr>
          </w:p>
        </w:tc>
        <w:tc>
          <w:tcPr>
            <w:tcW w:w="1185" w:type="dxa"/>
            <w:tcBorders>
              <w:top w:val="single" w:color="auto" w:sz="4" w:space="0"/>
              <w:left w:val="single" w:color="auto" w:sz="4" w:space="0"/>
              <w:bottom w:val="single" w:color="auto" w:sz="4" w:space="0"/>
              <w:right w:val="single" w:color="auto" w:sz="4" w:space="0"/>
            </w:tcBorders>
            <w:vAlign w:val="center"/>
          </w:tcPr>
          <w:p w14:paraId="3E48379A">
            <w:pPr>
              <w:topLinePunct/>
              <w:spacing w:line="440" w:lineRule="exact"/>
              <w:jc w:val="center"/>
              <w:rPr>
                <w:rFonts w:hint="eastAsia" w:ascii="宋体" w:hAnsi="宋体"/>
                <w:szCs w:val="21"/>
              </w:rPr>
            </w:pPr>
            <w:r>
              <w:rPr>
                <w:rFonts w:hint="eastAsia" w:ascii="宋体" w:hAnsi="宋体"/>
                <w:szCs w:val="21"/>
              </w:rPr>
              <w:t>电话</w:t>
            </w:r>
          </w:p>
        </w:tc>
        <w:tc>
          <w:tcPr>
            <w:tcW w:w="2577" w:type="dxa"/>
            <w:gridSpan w:val="3"/>
            <w:tcBorders>
              <w:top w:val="single" w:color="auto" w:sz="4" w:space="0"/>
              <w:left w:val="single" w:color="auto" w:sz="4" w:space="0"/>
              <w:bottom w:val="single" w:color="auto" w:sz="4" w:space="0"/>
            </w:tcBorders>
            <w:vAlign w:val="center"/>
          </w:tcPr>
          <w:p w14:paraId="7389F632">
            <w:pPr>
              <w:topLinePunct/>
              <w:spacing w:line="440" w:lineRule="exact"/>
              <w:jc w:val="center"/>
              <w:rPr>
                <w:rFonts w:hint="eastAsia" w:ascii="宋体" w:hAnsi="宋体"/>
                <w:szCs w:val="21"/>
              </w:rPr>
            </w:pPr>
          </w:p>
        </w:tc>
      </w:tr>
      <w:tr w14:paraId="2B38E3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93" w:hRule="atLeast"/>
        </w:trPr>
        <w:tc>
          <w:tcPr>
            <w:tcW w:w="1899" w:type="dxa"/>
            <w:vMerge w:val="continue"/>
            <w:tcBorders>
              <w:top w:val="single" w:color="auto" w:sz="4" w:space="0"/>
              <w:bottom w:val="single" w:color="auto" w:sz="4" w:space="0"/>
              <w:right w:val="single" w:color="auto" w:sz="4" w:space="0"/>
            </w:tcBorders>
            <w:vAlign w:val="center"/>
          </w:tcPr>
          <w:p w14:paraId="142BC232">
            <w:pPr>
              <w:topLinePunct/>
              <w:spacing w:line="440" w:lineRule="exact"/>
              <w:jc w:val="center"/>
              <w:rPr>
                <w:rFonts w:hint="eastAsia" w:ascii="宋体" w:hAnsi="宋体"/>
                <w:szCs w:val="21"/>
              </w:rPr>
            </w:pPr>
          </w:p>
        </w:tc>
        <w:tc>
          <w:tcPr>
            <w:tcW w:w="987" w:type="dxa"/>
            <w:tcBorders>
              <w:top w:val="single" w:color="auto" w:sz="4" w:space="0"/>
              <w:left w:val="single" w:color="auto" w:sz="4" w:space="0"/>
              <w:bottom w:val="single" w:color="auto" w:sz="4" w:space="0"/>
              <w:right w:val="single" w:color="auto" w:sz="4" w:space="0"/>
            </w:tcBorders>
            <w:vAlign w:val="center"/>
          </w:tcPr>
          <w:p w14:paraId="6DC5C3B0">
            <w:pPr>
              <w:topLinePunct/>
              <w:spacing w:line="440" w:lineRule="exact"/>
              <w:jc w:val="center"/>
              <w:rPr>
                <w:rFonts w:hint="eastAsia" w:ascii="宋体" w:hAnsi="宋体"/>
                <w:szCs w:val="21"/>
              </w:rPr>
            </w:pPr>
            <w:r>
              <w:rPr>
                <w:rFonts w:hint="eastAsia" w:ascii="宋体" w:hAnsi="宋体"/>
                <w:szCs w:val="21"/>
              </w:rPr>
              <w:t>传真</w:t>
            </w:r>
          </w:p>
        </w:tc>
        <w:tc>
          <w:tcPr>
            <w:tcW w:w="2772" w:type="dxa"/>
            <w:gridSpan w:val="4"/>
            <w:tcBorders>
              <w:top w:val="single" w:color="auto" w:sz="4" w:space="0"/>
              <w:left w:val="single" w:color="auto" w:sz="4" w:space="0"/>
              <w:bottom w:val="single" w:color="auto" w:sz="4" w:space="0"/>
              <w:right w:val="single" w:color="auto" w:sz="4" w:space="0"/>
            </w:tcBorders>
            <w:vAlign w:val="center"/>
          </w:tcPr>
          <w:p w14:paraId="56F13ABC">
            <w:pPr>
              <w:topLinePunct/>
              <w:spacing w:line="440" w:lineRule="exact"/>
              <w:jc w:val="center"/>
              <w:rPr>
                <w:rFonts w:hint="eastAsia" w:ascii="宋体" w:hAnsi="宋体"/>
                <w:szCs w:val="21"/>
              </w:rPr>
            </w:pPr>
          </w:p>
        </w:tc>
        <w:tc>
          <w:tcPr>
            <w:tcW w:w="1185" w:type="dxa"/>
            <w:tcBorders>
              <w:top w:val="single" w:color="auto" w:sz="4" w:space="0"/>
              <w:left w:val="single" w:color="auto" w:sz="4" w:space="0"/>
              <w:bottom w:val="single" w:color="auto" w:sz="4" w:space="0"/>
              <w:right w:val="single" w:color="auto" w:sz="4" w:space="0"/>
            </w:tcBorders>
            <w:vAlign w:val="center"/>
          </w:tcPr>
          <w:p w14:paraId="7F672B9D">
            <w:pPr>
              <w:topLinePunct/>
              <w:spacing w:line="440" w:lineRule="exact"/>
              <w:jc w:val="center"/>
              <w:rPr>
                <w:rFonts w:hint="eastAsia" w:ascii="宋体" w:hAnsi="宋体"/>
                <w:szCs w:val="21"/>
              </w:rPr>
            </w:pPr>
            <w:r>
              <w:rPr>
                <w:rFonts w:hint="eastAsia" w:ascii="宋体" w:hAnsi="宋体"/>
                <w:szCs w:val="21"/>
              </w:rPr>
              <w:t>通信地址</w:t>
            </w:r>
          </w:p>
        </w:tc>
        <w:tc>
          <w:tcPr>
            <w:tcW w:w="2577" w:type="dxa"/>
            <w:gridSpan w:val="3"/>
            <w:tcBorders>
              <w:top w:val="single" w:color="auto" w:sz="4" w:space="0"/>
              <w:left w:val="single" w:color="auto" w:sz="4" w:space="0"/>
              <w:bottom w:val="single" w:color="auto" w:sz="4" w:space="0"/>
            </w:tcBorders>
            <w:vAlign w:val="center"/>
          </w:tcPr>
          <w:p w14:paraId="340126C3">
            <w:pPr>
              <w:topLinePunct/>
              <w:spacing w:line="440" w:lineRule="exact"/>
              <w:jc w:val="center"/>
              <w:rPr>
                <w:rFonts w:hint="eastAsia" w:ascii="宋体" w:hAnsi="宋体"/>
                <w:szCs w:val="21"/>
              </w:rPr>
            </w:pPr>
          </w:p>
        </w:tc>
      </w:tr>
      <w:tr w14:paraId="5EC595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1899" w:type="dxa"/>
            <w:tcBorders>
              <w:top w:val="single" w:color="auto" w:sz="4" w:space="0"/>
              <w:bottom w:val="single" w:color="auto" w:sz="4" w:space="0"/>
              <w:right w:val="single" w:color="auto" w:sz="4" w:space="0"/>
            </w:tcBorders>
            <w:vAlign w:val="center"/>
          </w:tcPr>
          <w:p w14:paraId="406C40BF">
            <w:pPr>
              <w:topLinePunct/>
              <w:spacing w:line="440" w:lineRule="exact"/>
              <w:jc w:val="center"/>
              <w:rPr>
                <w:rFonts w:hint="eastAsia" w:ascii="宋体" w:hAnsi="宋体"/>
                <w:szCs w:val="21"/>
              </w:rPr>
            </w:pPr>
            <w:r>
              <w:rPr>
                <w:rFonts w:hint="eastAsia" w:ascii="宋体" w:hAnsi="宋体"/>
                <w:szCs w:val="21"/>
              </w:rPr>
              <w:t>组织结构</w:t>
            </w:r>
          </w:p>
        </w:tc>
        <w:tc>
          <w:tcPr>
            <w:tcW w:w="7521" w:type="dxa"/>
            <w:gridSpan w:val="9"/>
            <w:tcBorders>
              <w:top w:val="single" w:color="auto" w:sz="4" w:space="0"/>
              <w:left w:val="single" w:color="auto" w:sz="4" w:space="0"/>
              <w:bottom w:val="single" w:color="auto" w:sz="4" w:space="0"/>
            </w:tcBorders>
            <w:vAlign w:val="center"/>
          </w:tcPr>
          <w:p w14:paraId="13FCA7FF">
            <w:pPr>
              <w:topLinePunct/>
              <w:spacing w:line="440" w:lineRule="exact"/>
              <w:jc w:val="center"/>
              <w:rPr>
                <w:rFonts w:hint="eastAsia" w:ascii="宋体" w:hAnsi="宋体"/>
                <w:szCs w:val="21"/>
              </w:rPr>
            </w:pPr>
          </w:p>
        </w:tc>
      </w:tr>
      <w:tr w14:paraId="120380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7" w:hRule="atLeast"/>
        </w:trPr>
        <w:tc>
          <w:tcPr>
            <w:tcW w:w="1899" w:type="dxa"/>
            <w:tcBorders>
              <w:top w:val="single" w:color="auto" w:sz="4" w:space="0"/>
              <w:bottom w:val="single" w:color="auto" w:sz="4" w:space="0"/>
              <w:right w:val="single" w:color="auto" w:sz="4" w:space="0"/>
            </w:tcBorders>
            <w:vAlign w:val="center"/>
          </w:tcPr>
          <w:p w14:paraId="5D04AA8F">
            <w:pPr>
              <w:topLinePunct/>
              <w:spacing w:line="440" w:lineRule="exact"/>
              <w:jc w:val="center"/>
              <w:rPr>
                <w:rFonts w:hint="eastAsia" w:ascii="宋体" w:hAnsi="宋体"/>
                <w:szCs w:val="21"/>
              </w:rPr>
            </w:pPr>
            <w:r>
              <w:rPr>
                <w:rFonts w:hint="eastAsia" w:ascii="宋体" w:hAnsi="宋体"/>
                <w:szCs w:val="21"/>
              </w:rPr>
              <w:t>法定代表人</w:t>
            </w:r>
          </w:p>
        </w:tc>
        <w:tc>
          <w:tcPr>
            <w:tcW w:w="987" w:type="dxa"/>
            <w:tcBorders>
              <w:top w:val="single" w:color="auto" w:sz="4" w:space="0"/>
              <w:left w:val="single" w:color="auto" w:sz="4" w:space="0"/>
              <w:bottom w:val="single" w:color="auto" w:sz="4" w:space="0"/>
              <w:right w:val="single" w:color="auto" w:sz="4" w:space="0"/>
            </w:tcBorders>
            <w:vAlign w:val="center"/>
          </w:tcPr>
          <w:p w14:paraId="17101B19">
            <w:pPr>
              <w:topLinePunct/>
              <w:spacing w:line="440" w:lineRule="exact"/>
              <w:jc w:val="center"/>
              <w:rPr>
                <w:rFonts w:hint="eastAsia" w:ascii="宋体" w:hAnsi="宋体"/>
                <w:szCs w:val="21"/>
              </w:rPr>
            </w:pPr>
            <w:r>
              <w:rPr>
                <w:rFonts w:hint="eastAsia" w:ascii="宋体" w:hAnsi="宋体"/>
                <w:szCs w:val="21"/>
              </w:rPr>
              <w:t>姓名</w:t>
            </w:r>
          </w:p>
        </w:tc>
        <w:tc>
          <w:tcPr>
            <w:tcW w:w="1045" w:type="dxa"/>
            <w:tcBorders>
              <w:top w:val="single" w:color="auto" w:sz="4" w:space="0"/>
              <w:left w:val="single" w:color="auto" w:sz="4" w:space="0"/>
              <w:bottom w:val="single" w:color="auto" w:sz="4" w:space="0"/>
              <w:right w:val="single" w:color="auto" w:sz="4" w:space="0"/>
            </w:tcBorders>
            <w:vAlign w:val="center"/>
          </w:tcPr>
          <w:p w14:paraId="5FEC5E2E">
            <w:pPr>
              <w:topLinePunct/>
              <w:spacing w:line="440" w:lineRule="exact"/>
              <w:jc w:val="center"/>
              <w:rPr>
                <w:rFonts w:hint="eastAsia" w:ascii="宋体" w:hAnsi="宋体"/>
                <w:szCs w:val="21"/>
              </w:rPr>
            </w:pPr>
          </w:p>
        </w:tc>
        <w:tc>
          <w:tcPr>
            <w:tcW w:w="1384" w:type="dxa"/>
            <w:gridSpan w:val="2"/>
            <w:tcBorders>
              <w:top w:val="single" w:color="auto" w:sz="4" w:space="0"/>
              <w:left w:val="single" w:color="auto" w:sz="4" w:space="0"/>
              <w:bottom w:val="single" w:color="auto" w:sz="4" w:space="0"/>
              <w:right w:val="single" w:color="auto" w:sz="4" w:space="0"/>
            </w:tcBorders>
            <w:vAlign w:val="center"/>
          </w:tcPr>
          <w:p w14:paraId="09E5EB39">
            <w:pPr>
              <w:topLinePunct/>
              <w:spacing w:line="440" w:lineRule="exact"/>
              <w:jc w:val="center"/>
              <w:rPr>
                <w:rFonts w:hint="eastAsia" w:ascii="宋体" w:hAnsi="宋体"/>
                <w:szCs w:val="21"/>
              </w:rPr>
            </w:pPr>
            <w:r>
              <w:rPr>
                <w:rFonts w:hint="eastAsia" w:ascii="宋体" w:hAnsi="宋体"/>
                <w:szCs w:val="21"/>
              </w:rPr>
              <w:t>技术职称</w:t>
            </w:r>
          </w:p>
        </w:tc>
        <w:tc>
          <w:tcPr>
            <w:tcW w:w="2067" w:type="dxa"/>
            <w:gridSpan w:val="3"/>
            <w:tcBorders>
              <w:top w:val="single" w:color="auto" w:sz="4" w:space="0"/>
              <w:left w:val="single" w:color="auto" w:sz="4" w:space="0"/>
              <w:bottom w:val="single" w:color="auto" w:sz="4" w:space="0"/>
              <w:right w:val="single" w:color="auto" w:sz="4" w:space="0"/>
            </w:tcBorders>
            <w:vAlign w:val="center"/>
          </w:tcPr>
          <w:p w14:paraId="547D9B62">
            <w:pPr>
              <w:topLinePunct/>
              <w:spacing w:line="440" w:lineRule="exact"/>
              <w:jc w:val="center"/>
              <w:rPr>
                <w:rFonts w:hint="eastAsia" w:ascii="宋体" w:hAnsi="宋体"/>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71BEE8D9">
            <w:pPr>
              <w:topLinePunct/>
              <w:spacing w:line="440" w:lineRule="exact"/>
              <w:jc w:val="center"/>
              <w:rPr>
                <w:rFonts w:hint="eastAsia" w:ascii="宋体" w:hAnsi="宋体"/>
                <w:szCs w:val="21"/>
              </w:rPr>
            </w:pPr>
            <w:r>
              <w:rPr>
                <w:rFonts w:hint="eastAsia" w:ascii="宋体" w:hAnsi="宋体"/>
                <w:szCs w:val="21"/>
              </w:rPr>
              <w:t>电话</w:t>
            </w:r>
          </w:p>
        </w:tc>
        <w:tc>
          <w:tcPr>
            <w:tcW w:w="1093" w:type="dxa"/>
            <w:tcBorders>
              <w:top w:val="single" w:color="auto" w:sz="4" w:space="0"/>
              <w:left w:val="single" w:color="auto" w:sz="4" w:space="0"/>
              <w:bottom w:val="single" w:color="auto" w:sz="4" w:space="0"/>
            </w:tcBorders>
            <w:vAlign w:val="center"/>
          </w:tcPr>
          <w:p w14:paraId="43F7BC66">
            <w:pPr>
              <w:topLinePunct/>
              <w:spacing w:line="440" w:lineRule="exact"/>
              <w:jc w:val="center"/>
              <w:rPr>
                <w:rFonts w:hint="eastAsia" w:ascii="宋体" w:hAnsi="宋体"/>
                <w:szCs w:val="21"/>
              </w:rPr>
            </w:pPr>
          </w:p>
        </w:tc>
      </w:tr>
      <w:tr w14:paraId="16BF5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1899" w:type="dxa"/>
            <w:tcBorders>
              <w:top w:val="single" w:color="auto" w:sz="4" w:space="0"/>
              <w:bottom w:val="single" w:color="auto" w:sz="4" w:space="0"/>
              <w:right w:val="single" w:color="auto" w:sz="4" w:space="0"/>
            </w:tcBorders>
            <w:vAlign w:val="center"/>
          </w:tcPr>
          <w:p w14:paraId="2B6E3A16">
            <w:pPr>
              <w:topLinePunct/>
              <w:spacing w:line="440" w:lineRule="exact"/>
              <w:jc w:val="center"/>
              <w:rPr>
                <w:rFonts w:hint="eastAsia" w:ascii="宋体" w:hAnsi="宋体"/>
                <w:szCs w:val="21"/>
              </w:rPr>
            </w:pPr>
            <w:r>
              <w:rPr>
                <w:rFonts w:hint="eastAsia" w:ascii="宋体" w:hAnsi="宋体"/>
                <w:szCs w:val="21"/>
              </w:rPr>
              <w:t>技术负责人</w:t>
            </w:r>
          </w:p>
        </w:tc>
        <w:tc>
          <w:tcPr>
            <w:tcW w:w="987" w:type="dxa"/>
            <w:tcBorders>
              <w:top w:val="single" w:color="auto" w:sz="4" w:space="0"/>
              <w:left w:val="single" w:color="auto" w:sz="4" w:space="0"/>
              <w:bottom w:val="single" w:color="auto" w:sz="4" w:space="0"/>
              <w:right w:val="single" w:color="auto" w:sz="4" w:space="0"/>
            </w:tcBorders>
            <w:vAlign w:val="center"/>
          </w:tcPr>
          <w:p w14:paraId="3EB721A7">
            <w:pPr>
              <w:topLinePunct/>
              <w:spacing w:line="440" w:lineRule="exact"/>
              <w:jc w:val="center"/>
              <w:rPr>
                <w:rFonts w:hint="eastAsia" w:ascii="宋体" w:hAnsi="宋体"/>
                <w:szCs w:val="21"/>
              </w:rPr>
            </w:pPr>
            <w:r>
              <w:rPr>
                <w:rFonts w:hint="eastAsia" w:ascii="宋体" w:hAnsi="宋体"/>
                <w:szCs w:val="21"/>
              </w:rPr>
              <w:t>姓名</w:t>
            </w:r>
          </w:p>
        </w:tc>
        <w:tc>
          <w:tcPr>
            <w:tcW w:w="1045" w:type="dxa"/>
            <w:tcBorders>
              <w:top w:val="single" w:color="auto" w:sz="4" w:space="0"/>
              <w:left w:val="single" w:color="auto" w:sz="4" w:space="0"/>
              <w:bottom w:val="single" w:color="auto" w:sz="4" w:space="0"/>
              <w:right w:val="single" w:color="auto" w:sz="4" w:space="0"/>
            </w:tcBorders>
            <w:vAlign w:val="center"/>
          </w:tcPr>
          <w:p w14:paraId="1292DE56">
            <w:pPr>
              <w:topLinePunct/>
              <w:spacing w:line="440" w:lineRule="exact"/>
              <w:jc w:val="center"/>
              <w:rPr>
                <w:rFonts w:hint="eastAsia" w:ascii="宋体" w:hAnsi="宋体"/>
                <w:szCs w:val="21"/>
              </w:rPr>
            </w:pPr>
          </w:p>
        </w:tc>
        <w:tc>
          <w:tcPr>
            <w:tcW w:w="1384" w:type="dxa"/>
            <w:gridSpan w:val="2"/>
            <w:tcBorders>
              <w:top w:val="single" w:color="auto" w:sz="4" w:space="0"/>
              <w:left w:val="single" w:color="auto" w:sz="4" w:space="0"/>
              <w:bottom w:val="single" w:color="auto" w:sz="4" w:space="0"/>
              <w:right w:val="single" w:color="auto" w:sz="4" w:space="0"/>
            </w:tcBorders>
            <w:vAlign w:val="center"/>
          </w:tcPr>
          <w:p w14:paraId="2768347A">
            <w:pPr>
              <w:topLinePunct/>
              <w:spacing w:line="440" w:lineRule="exact"/>
              <w:jc w:val="center"/>
              <w:rPr>
                <w:rFonts w:hint="eastAsia" w:ascii="宋体" w:hAnsi="宋体"/>
                <w:szCs w:val="21"/>
              </w:rPr>
            </w:pPr>
            <w:r>
              <w:rPr>
                <w:rFonts w:hint="eastAsia" w:ascii="宋体" w:hAnsi="宋体"/>
                <w:szCs w:val="21"/>
              </w:rPr>
              <w:t>技术职称</w:t>
            </w:r>
          </w:p>
        </w:tc>
        <w:tc>
          <w:tcPr>
            <w:tcW w:w="2067" w:type="dxa"/>
            <w:gridSpan w:val="3"/>
            <w:tcBorders>
              <w:top w:val="single" w:color="auto" w:sz="4" w:space="0"/>
              <w:left w:val="single" w:color="auto" w:sz="4" w:space="0"/>
              <w:bottom w:val="single" w:color="auto" w:sz="4" w:space="0"/>
              <w:right w:val="single" w:color="auto" w:sz="4" w:space="0"/>
            </w:tcBorders>
            <w:vAlign w:val="center"/>
          </w:tcPr>
          <w:p w14:paraId="63B1FEBD">
            <w:pPr>
              <w:topLinePunct/>
              <w:spacing w:line="440" w:lineRule="exact"/>
              <w:jc w:val="center"/>
              <w:rPr>
                <w:rFonts w:hint="eastAsia" w:ascii="宋体" w:hAnsi="宋体"/>
                <w:szCs w:val="21"/>
              </w:rPr>
            </w:pPr>
          </w:p>
        </w:tc>
        <w:tc>
          <w:tcPr>
            <w:tcW w:w="945" w:type="dxa"/>
            <w:tcBorders>
              <w:top w:val="single" w:color="auto" w:sz="4" w:space="0"/>
              <w:left w:val="single" w:color="auto" w:sz="4" w:space="0"/>
              <w:bottom w:val="single" w:color="auto" w:sz="4" w:space="0"/>
              <w:right w:val="single" w:color="auto" w:sz="4" w:space="0"/>
            </w:tcBorders>
            <w:vAlign w:val="center"/>
          </w:tcPr>
          <w:p w14:paraId="3E86915F">
            <w:pPr>
              <w:topLinePunct/>
              <w:spacing w:line="440" w:lineRule="exact"/>
              <w:jc w:val="center"/>
              <w:rPr>
                <w:rFonts w:hint="eastAsia" w:ascii="宋体" w:hAnsi="宋体"/>
                <w:szCs w:val="21"/>
              </w:rPr>
            </w:pPr>
            <w:r>
              <w:rPr>
                <w:rFonts w:hint="eastAsia" w:ascii="宋体" w:hAnsi="宋体"/>
                <w:szCs w:val="21"/>
              </w:rPr>
              <w:t>电话</w:t>
            </w:r>
          </w:p>
        </w:tc>
        <w:tc>
          <w:tcPr>
            <w:tcW w:w="1093" w:type="dxa"/>
            <w:tcBorders>
              <w:top w:val="single" w:color="auto" w:sz="4" w:space="0"/>
              <w:left w:val="single" w:color="auto" w:sz="4" w:space="0"/>
              <w:bottom w:val="single" w:color="auto" w:sz="4" w:space="0"/>
            </w:tcBorders>
            <w:vAlign w:val="center"/>
          </w:tcPr>
          <w:p w14:paraId="4B83B4E4">
            <w:pPr>
              <w:topLinePunct/>
              <w:spacing w:line="440" w:lineRule="exact"/>
              <w:jc w:val="center"/>
              <w:rPr>
                <w:rFonts w:hint="eastAsia" w:ascii="宋体" w:hAnsi="宋体"/>
                <w:szCs w:val="21"/>
              </w:rPr>
            </w:pPr>
          </w:p>
        </w:tc>
      </w:tr>
      <w:tr w14:paraId="15E176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1899" w:type="dxa"/>
            <w:tcBorders>
              <w:top w:val="single" w:color="auto" w:sz="4" w:space="0"/>
              <w:bottom w:val="single" w:color="auto" w:sz="4" w:space="0"/>
              <w:right w:val="single" w:color="auto" w:sz="4" w:space="0"/>
            </w:tcBorders>
            <w:vAlign w:val="center"/>
          </w:tcPr>
          <w:p w14:paraId="46928BA4">
            <w:pPr>
              <w:topLinePunct/>
              <w:spacing w:line="440" w:lineRule="exact"/>
              <w:jc w:val="center"/>
              <w:rPr>
                <w:rFonts w:hint="eastAsia" w:ascii="宋体" w:hAnsi="宋体"/>
                <w:szCs w:val="21"/>
              </w:rPr>
            </w:pPr>
            <w:r>
              <w:rPr>
                <w:rFonts w:hint="eastAsia" w:ascii="宋体" w:hAnsi="宋体"/>
                <w:szCs w:val="21"/>
              </w:rPr>
              <w:t>成立时间</w:t>
            </w:r>
          </w:p>
        </w:tc>
        <w:tc>
          <w:tcPr>
            <w:tcW w:w="2032" w:type="dxa"/>
            <w:gridSpan w:val="2"/>
            <w:tcBorders>
              <w:top w:val="single" w:color="auto" w:sz="4" w:space="0"/>
              <w:left w:val="single" w:color="auto" w:sz="4" w:space="0"/>
              <w:bottom w:val="single" w:color="auto" w:sz="4" w:space="0"/>
              <w:right w:val="single" w:color="auto" w:sz="4" w:space="0"/>
            </w:tcBorders>
            <w:vAlign w:val="center"/>
          </w:tcPr>
          <w:p w14:paraId="7F03E538">
            <w:pPr>
              <w:topLinePunct/>
              <w:spacing w:line="440" w:lineRule="exact"/>
              <w:jc w:val="center"/>
              <w:rPr>
                <w:rFonts w:hint="eastAsia" w:ascii="宋体" w:hAnsi="宋体"/>
                <w:szCs w:val="21"/>
              </w:rPr>
            </w:pPr>
          </w:p>
        </w:tc>
        <w:tc>
          <w:tcPr>
            <w:tcW w:w="5489" w:type="dxa"/>
            <w:gridSpan w:val="7"/>
            <w:tcBorders>
              <w:top w:val="single" w:color="auto" w:sz="4" w:space="0"/>
              <w:left w:val="single" w:color="auto" w:sz="4" w:space="0"/>
              <w:bottom w:val="single" w:color="auto" w:sz="4" w:space="0"/>
            </w:tcBorders>
            <w:vAlign w:val="center"/>
          </w:tcPr>
          <w:p w14:paraId="537DA2F5">
            <w:pPr>
              <w:topLinePunct/>
              <w:spacing w:line="440" w:lineRule="exact"/>
              <w:ind w:firstLine="105" w:firstLineChars="50"/>
              <w:jc w:val="center"/>
              <w:rPr>
                <w:rFonts w:hint="eastAsia" w:ascii="宋体" w:hAnsi="宋体"/>
                <w:szCs w:val="21"/>
              </w:rPr>
            </w:pPr>
            <w:r>
              <w:rPr>
                <w:rFonts w:hint="eastAsia" w:ascii="宋体" w:hAnsi="宋体"/>
                <w:szCs w:val="21"/>
              </w:rPr>
              <w:t>员工总人数：</w:t>
            </w:r>
          </w:p>
        </w:tc>
      </w:tr>
      <w:tr w14:paraId="18830F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52" w:hRule="atLeast"/>
        </w:trPr>
        <w:tc>
          <w:tcPr>
            <w:tcW w:w="1899" w:type="dxa"/>
            <w:tcBorders>
              <w:top w:val="single" w:color="auto" w:sz="4" w:space="0"/>
              <w:bottom w:val="single" w:color="auto" w:sz="4" w:space="0"/>
              <w:right w:val="single" w:color="auto" w:sz="4" w:space="0"/>
            </w:tcBorders>
            <w:vAlign w:val="center"/>
          </w:tcPr>
          <w:p w14:paraId="058D1DF8">
            <w:pPr>
              <w:topLinePunct/>
              <w:spacing w:line="440" w:lineRule="exact"/>
              <w:jc w:val="center"/>
              <w:rPr>
                <w:rFonts w:hint="eastAsia" w:ascii="宋体" w:hAnsi="宋体"/>
                <w:szCs w:val="21"/>
              </w:rPr>
            </w:pPr>
            <w:r>
              <w:rPr>
                <w:rFonts w:hint="eastAsia" w:ascii="宋体" w:hAnsi="宋体"/>
                <w:szCs w:val="21"/>
              </w:rPr>
              <w:t>企业资质等级</w:t>
            </w:r>
          </w:p>
        </w:tc>
        <w:tc>
          <w:tcPr>
            <w:tcW w:w="2032" w:type="dxa"/>
            <w:gridSpan w:val="2"/>
            <w:tcBorders>
              <w:top w:val="single" w:color="auto" w:sz="4" w:space="0"/>
              <w:left w:val="single" w:color="auto" w:sz="4" w:space="0"/>
              <w:bottom w:val="single" w:color="auto" w:sz="4" w:space="0"/>
              <w:right w:val="single" w:color="auto" w:sz="4" w:space="0"/>
            </w:tcBorders>
            <w:vAlign w:val="center"/>
          </w:tcPr>
          <w:p w14:paraId="11C36F6A">
            <w:pPr>
              <w:topLinePunct/>
              <w:spacing w:line="440" w:lineRule="exact"/>
              <w:jc w:val="center"/>
              <w:rPr>
                <w:rFonts w:hint="eastAsia" w:ascii="宋体" w:hAnsi="宋体"/>
                <w:szCs w:val="21"/>
              </w:rPr>
            </w:pPr>
          </w:p>
        </w:tc>
        <w:tc>
          <w:tcPr>
            <w:tcW w:w="922" w:type="dxa"/>
            <w:vMerge w:val="restart"/>
            <w:tcBorders>
              <w:top w:val="single" w:color="auto" w:sz="4" w:space="0"/>
              <w:left w:val="single" w:color="auto" w:sz="4" w:space="0"/>
              <w:bottom w:val="single" w:color="auto" w:sz="4" w:space="0"/>
              <w:right w:val="single" w:color="auto" w:sz="4" w:space="0"/>
            </w:tcBorders>
            <w:vAlign w:val="center"/>
          </w:tcPr>
          <w:p w14:paraId="1195F174">
            <w:pPr>
              <w:topLinePunct/>
              <w:spacing w:line="440" w:lineRule="exact"/>
              <w:jc w:val="center"/>
              <w:rPr>
                <w:rFonts w:hint="eastAsia" w:ascii="宋体" w:hAnsi="宋体"/>
                <w:szCs w:val="21"/>
              </w:rPr>
            </w:pPr>
            <w:r>
              <w:rPr>
                <w:rFonts w:hint="eastAsia" w:ascii="宋体" w:hAnsi="宋体"/>
                <w:szCs w:val="21"/>
              </w:rPr>
              <w:t>其中</w:t>
            </w:r>
          </w:p>
        </w:tc>
        <w:tc>
          <w:tcPr>
            <w:tcW w:w="2529" w:type="dxa"/>
            <w:gridSpan w:val="4"/>
            <w:tcBorders>
              <w:top w:val="single" w:color="auto" w:sz="4" w:space="0"/>
              <w:left w:val="single" w:color="auto" w:sz="4" w:space="0"/>
              <w:bottom w:val="single" w:color="auto" w:sz="4" w:space="0"/>
              <w:right w:val="single" w:color="auto" w:sz="4" w:space="0"/>
            </w:tcBorders>
            <w:vAlign w:val="center"/>
          </w:tcPr>
          <w:p w14:paraId="405CAE9B">
            <w:pPr>
              <w:topLinePunct/>
              <w:spacing w:line="440" w:lineRule="exact"/>
              <w:jc w:val="center"/>
              <w:rPr>
                <w:rFonts w:hint="eastAsia" w:ascii="宋体" w:hAnsi="宋体"/>
                <w:szCs w:val="21"/>
              </w:rPr>
            </w:pPr>
            <w:r>
              <w:rPr>
                <w:rFonts w:hint="eastAsia" w:ascii="宋体" w:hAnsi="宋体"/>
                <w:szCs w:val="21"/>
              </w:rPr>
              <w:t>项目经理</w:t>
            </w:r>
          </w:p>
        </w:tc>
        <w:tc>
          <w:tcPr>
            <w:tcW w:w="2038" w:type="dxa"/>
            <w:gridSpan w:val="2"/>
            <w:tcBorders>
              <w:top w:val="single" w:color="auto" w:sz="4" w:space="0"/>
              <w:left w:val="single" w:color="auto" w:sz="4" w:space="0"/>
              <w:bottom w:val="single" w:color="auto" w:sz="4" w:space="0"/>
            </w:tcBorders>
            <w:vAlign w:val="center"/>
          </w:tcPr>
          <w:p w14:paraId="3EA34461">
            <w:pPr>
              <w:topLinePunct/>
              <w:spacing w:line="440" w:lineRule="exact"/>
              <w:jc w:val="center"/>
              <w:rPr>
                <w:rFonts w:hint="eastAsia" w:ascii="宋体" w:hAnsi="宋体"/>
                <w:szCs w:val="21"/>
              </w:rPr>
            </w:pPr>
          </w:p>
        </w:tc>
      </w:tr>
      <w:tr w14:paraId="79CC49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789" w:hRule="atLeast"/>
        </w:trPr>
        <w:tc>
          <w:tcPr>
            <w:tcW w:w="1899" w:type="dxa"/>
            <w:tcBorders>
              <w:top w:val="single" w:color="auto" w:sz="4" w:space="0"/>
              <w:bottom w:val="single" w:color="auto" w:sz="4" w:space="0"/>
              <w:right w:val="single" w:color="auto" w:sz="4" w:space="0"/>
            </w:tcBorders>
            <w:vAlign w:val="center"/>
          </w:tcPr>
          <w:p w14:paraId="76F3F920">
            <w:pPr>
              <w:topLinePunct/>
              <w:spacing w:line="440" w:lineRule="exact"/>
              <w:jc w:val="center"/>
              <w:rPr>
                <w:rFonts w:hint="eastAsia" w:ascii="宋体" w:hAnsi="宋体"/>
                <w:szCs w:val="21"/>
              </w:rPr>
            </w:pPr>
            <w:r>
              <w:rPr>
                <w:rFonts w:hint="eastAsia" w:ascii="宋体" w:hAnsi="宋体"/>
                <w:szCs w:val="21"/>
              </w:rPr>
              <w:t>注册证书号</w:t>
            </w:r>
          </w:p>
        </w:tc>
        <w:tc>
          <w:tcPr>
            <w:tcW w:w="2032" w:type="dxa"/>
            <w:gridSpan w:val="2"/>
            <w:tcBorders>
              <w:top w:val="single" w:color="auto" w:sz="4" w:space="0"/>
              <w:left w:val="single" w:color="auto" w:sz="4" w:space="0"/>
              <w:bottom w:val="single" w:color="auto" w:sz="4" w:space="0"/>
              <w:right w:val="single" w:color="auto" w:sz="4" w:space="0"/>
            </w:tcBorders>
            <w:vAlign w:val="center"/>
          </w:tcPr>
          <w:p w14:paraId="08A93EBC">
            <w:pPr>
              <w:topLinePunct/>
              <w:spacing w:line="440" w:lineRule="exact"/>
              <w:jc w:val="center"/>
              <w:rPr>
                <w:rFonts w:hint="eastAsia" w:ascii="宋体" w:hAnsi="宋体"/>
                <w:szCs w:val="21"/>
              </w:rPr>
            </w:pPr>
          </w:p>
        </w:tc>
        <w:tc>
          <w:tcPr>
            <w:tcW w:w="922" w:type="dxa"/>
            <w:vMerge w:val="continue"/>
            <w:tcBorders>
              <w:top w:val="single" w:color="auto" w:sz="4" w:space="0"/>
              <w:left w:val="single" w:color="auto" w:sz="4" w:space="0"/>
              <w:bottom w:val="single" w:color="auto" w:sz="4" w:space="0"/>
              <w:right w:val="single" w:color="auto" w:sz="4" w:space="0"/>
            </w:tcBorders>
            <w:vAlign w:val="center"/>
          </w:tcPr>
          <w:p w14:paraId="5FD85A62">
            <w:pPr>
              <w:topLinePunct/>
              <w:spacing w:line="440" w:lineRule="exact"/>
              <w:jc w:val="center"/>
              <w:rPr>
                <w:rFonts w:hint="eastAsia" w:ascii="宋体" w:hAnsi="宋体"/>
                <w:szCs w:val="21"/>
              </w:rPr>
            </w:pPr>
          </w:p>
        </w:tc>
        <w:tc>
          <w:tcPr>
            <w:tcW w:w="2529" w:type="dxa"/>
            <w:gridSpan w:val="4"/>
            <w:tcBorders>
              <w:top w:val="single" w:color="auto" w:sz="4" w:space="0"/>
              <w:left w:val="single" w:color="auto" w:sz="4" w:space="0"/>
              <w:bottom w:val="single" w:color="auto" w:sz="4" w:space="0"/>
              <w:right w:val="single" w:color="auto" w:sz="4" w:space="0"/>
            </w:tcBorders>
            <w:vAlign w:val="center"/>
          </w:tcPr>
          <w:p w14:paraId="0A104243">
            <w:pPr>
              <w:topLinePunct/>
              <w:spacing w:line="440" w:lineRule="exact"/>
              <w:jc w:val="center"/>
              <w:rPr>
                <w:rFonts w:hint="eastAsia" w:ascii="宋体" w:hAnsi="宋体"/>
                <w:szCs w:val="21"/>
              </w:rPr>
            </w:pPr>
            <w:r>
              <w:rPr>
                <w:rFonts w:hint="eastAsia" w:ascii="宋体" w:hAnsi="宋体"/>
                <w:szCs w:val="21"/>
              </w:rPr>
              <w:t>高级职称人员</w:t>
            </w:r>
          </w:p>
        </w:tc>
        <w:tc>
          <w:tcPr>
            <w:tcW w:w="2038" w:type="dxa"/>
            <w:gridSpan w:val="2"/>
            <w:tcBorders>
              <w:top w:val="single" w:color="auto" w:sz="4" w:space="0"/>
              <w:left w:val="single" w:color="auto" w:sz="4" w:space="0"/>
              <w:bottom w:val="single" w:color="auto" w:sz="4" w:space="0"/>
            </w:tcBorders>
            <w:vAlign w:val="center"/>
          </w:tcPr>
          <w:p w14:paraId="2CCAC3F5">
            <w:pPr>
              <w:topLinePunct/>
              <w:spacing w:line="440" w:lineRule="exact"/>
              <w:jc w:val="center"/>
              <w:rPr>
                <w:rFonts w:hint="eastAsia" w:ascii="宋体" w:hAnsi="宋体"/>
                <w:szCs w:val="21"/>
              </w:rPr>
            </w:pPr>
          </w:p>
        </w:tc>
      </w:tr>
      <w:tr w14:paraId="59E6B9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2" w:hRule="atLeast"/>
        </w:trPr>
        <w:tc>
          <w:tcPr>
            <w:tcW w:w="1899" w:type="dxa"/>
            <w:tcBorders>
              <w:top w:val="single" w:color="auto" w:sz="4" w:space="0"/>
              <w:bottom w:val="single" w:color="auto" w:sz="4" w:space="0"/>
              <w:right w:val="single" w:color="auto" w:sz="4" w:space="0"/>
            </w:tcBorders>
            <w:vAlign w:val="center"/>
          </w:tcPr>
          <w:p w14:paraId="2D322F43">
            <w:pPr>
              <w:topLinePunct/>
              <w:spacing w:line="440" w:lineRule="exact"/>
              <w:jc w:val="center"/>
              <w:rPr>
                <w:rFonts w:hint="eastAsia" w:ascii="宋体" w:hAnsi="宋体"/>
                <w:szCs w:val="21"/>
              </w:rPr>
            </w:pPr>
            <w:r>
              <w:rPr>
                <w:rFonts w:hint="eastAsia" w:ascii="宋体" w:hAnsi="宋体"/>
                <w:szCs w:val="21"/>
              </w:rPr>
              <w:t>注册资本</w:t>
            </w:r>
          </w:p>
        </w:tc>
        <w:tc>
          <w:tcPr>
            <w:tcW w:w="2032" w:type="dxa"/>
            <w:gridSpan w:val="2"/>
            <w:tcBorders>
              <w:top w:val="single" w:color="auto" w:sz="4" w:space="0"/>
              <w:left w:val="single" w:color="auto" w:sz="4" w:space="0"/>
              <w:bottom w:val="single" w:color="auto" w:sz="4" w:space="0"/>
              <w:right w:val="single" w:color="auto" w:sz="4" w:space="0"/>
            </w:tcBorders>
            <w:vAlign w:val="center"/>
          </w:tcPr>
          <w:p w14:paraId="794BDB9A">
            <w:pPr>
              <w:topLinePunct/>
              <w:spacing w:line="440" w:lineRule="exact"/>
              <w:jc w:val="center"/>
              <w:rPr>
                <w:rFonts w:hint="eastAsia" w:ascii="宋体" w:hAnsi="宋体"/>
                <w:szCs w:val="21"/>
              </w:rPr>
            </w:pPr>
          </w:p>
        </w:tc>
        <w:tc>
          <w:tcPr>
            <w:tcW w:w="922" w:type="dxa"/>
            <w:vMerge w:val="continue"/>
            <w:tcBorders>
              <w:top w:val="single" w:color="auto" w:sz="4" w:space="0"/>
              <w:left w:val="single" w:color="auto" w:sz="4" w:space="0"/>
              <w:bottom w:val="single" w:color="auto" w:sz="4" w:space="0"/>
              <w:right w:val="single" w:color="auto" w:sz="4" w:space="0"/>
            </w:tcBorders>
            <w:vAlign w:val="center"/>
          </w:tcPr>
          <w:p w14:paraId="6E34A0F9">
            <w:pPr>
              <w:topLinePunct/>
              <w:spacing w:line="440" w:lineRule="exact"/>
              <w:jc w:val="center"/>
              <w:rPr>
                <w:rFonts w:hint="eastAsia" w:ascii="宋体" w:hAnsi="宋体"/>
                <w:szCs w:val="21"/>
              </w:rPr>
            </w:pPr>
          </w:p>
        </w:tc>
        <w:tc>
          <w:tcPr>
            <w:tcW w:w="2529" w:type="dxa"/>
            <w:gridSpan w:val="4"/>
            <w:tcBorders>
              <w:top w:val="single" w:color="auto" w:sz="4" w:space="0"/>
              <w:left w:val="single" w:color="auto" w:sz="4" w:space="0"/>
              <w:bottom w:val="single" w:color="auto" w:sz="4" w:space="0"/>
              <w:right w:val="single" w:color="auto" w:sz="4" w:space="0"/>
            </w:tcBorders>
            <w:vAlign w:val="center"/>
          </w:tcPr>
          <w:p w14:paraId="74105E60">
            <w:pPr>
              <w:topLinePunct/>
              <w:spacing w:line="440" w:lineRule="exact"/>
              <w:jc w:val="center"/>
              <w:rPr>
                <w:rFonts w:hint="eastAsia" w:ascii="宋体" w:hAnsi="宋体"/>
                <w:szCs w:val="21"/>
              </w:rPr>
            </w:pPr>
            <w:r>
              <w:rPr>
                <w:rFonts w:hint="eastAsia" w:ascii="宋体" w:hAnsi="宋体"/>
                <w:szCs w:val="21"/>
              </w:rPr>
              <w:t>中级职称人员</w:t>
            </w:r>
          </w:p>
        </w:tc>
        <w:tc>
          <w:tcPr>
            <w:tcW w:w="2038" w:type="dxa"/>
            <w:gridSpan w:val="2"/>
            <w:tcBorders>
              <w:top w:val="single" w:color="auto" w:sz="4" w:space="0"/>
              <w:left w:val="single" w:color="auto" w:sz="4" w:space="0"/>
              <w:bottom w:val="single" w:color="auto" w:sz="4" w:space="0"/>
            </w:tcBorders>
            <w:vAlign w:val="center"/>
          </w:tcPr>
          <w:p w14:paraId="330174B3">
            <w:pPr>
              <w:topLinePunct/>
              <w:spacing w:line="440" w:lineRule="exact"/>
              <w:jc w:val="center"/>
              <w:rPr>
                <w:rFonts w:hint="eastAsia" w:ascii="宋体" w:hAnsi="宋体"/>
                <w:szCs w:val="21"/>
              </w:rPr>
            </w:pPr>
          </w:p>
        </w:tc>
      </w:tr>
      <w:tr w14:paraId="7ACA9D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3" w:hRule="atLeast"/>
        </w:trPr>
        <w:tc>
          <w:tcPr>
            <w:tcW w:w="1899" w:type="dxa"/>
            <w:tcBorders>
              <w:top w:val="single" w:color="auto" w:sz="4" w:space="0"/>
              <w:bottom w:val="single" w:color="auto" w:sz="4" w:space="0"/>
              <w:right w:val="single" w:color="auto" w:sz="4" w:space="0"/>
            </w:tcBorders>
            <w:vAlign w:val="center"/>
          </w:tcPr>
          <w:p w14:paraId="035B4F31">
            <w:pPr>
              <w:topLinePunct/>
              <w:spacing w:line="440" w:lineRule="exact"/>
              <w:jc w:val="center"/>
              <w:rPr>
                <w:rFonts w:hint="eastAsia" w:ascii="宋体" w:hAnsi="宋体"/>
                <w:szCs w:val="21"/>
              </w:rPr>
            </w:pPr>
            <w:r>
              <w:rPr>
                <w:rFonts w:hint="eastAsia" w:ascii="宋体" w:hAnsi="宋体"/>
                <w:szCs w:val="21"/>
              </w:rPr>
              <w:t>开户银行</w:t>
            </w:r>
          </w:p>
        </w:tc>
        <w:tc>
          <w:tcPr>
            <w:tcW w:w="2032" w:type="dxa"/>
            <w:gridSpan w:val="2"/>
            <w:tcBorders>
              <w:top w:val="single" w:color="auto" w:sz="4" w:space="0"/>
              <w:left w:val="single" w:color="auto" w:sz="4" w:space="0"/>
              <w:bottom w:val="single" w:color="auto" w:sz="4" w:space="0"/>
              <w:right w:val="single" w:color="auto" w:sz="4" w:space="0"/>
            </w:tcBorders>
            <w:vAlign w:val="center"/>
          </w:tcPr>
          <w:p w14:paraId="60F9BBBA">
            <w:pPr>
              <w:topLinePunct/>
              <w:spacing w:line="440" w:lineRule="exact"/>
              <w:jc w:val="center"/>
              <w:rPr>
                <w:rFonts w:hint="eastAsia" w:ascii="宋体" w:hAnsi="宋体"/>
                <w:szCs w:val="21"/>
              </w:rPr>
            </w:pPr>
          </w:p>
        </w:tc>
        <w:tc>
          <w:tcPr>
            <w:tcW w:w="922" w:type="dxa"/>
            <w:vMerge w:val="continue"/>
            <w:tcBorders>
              <w:top w:val="single" w:color="auto" w:sz="4" w:space="0"/>
              <w:left w:val="single" w:color="auto" w:sz="4" w:space="0"/>
              <w:bottom w:val="single" w:color="auto" w:sz="4" w:space="0"/>
              <w:right w:val="single" w:color="auto" w:sz="4" w:space="0"/>
            </w:tcBorders>
            <w:vAlign w:val="center"/>
          </w:tcPr>
          <w:p w14:paraId="67A3BFDC">
            <w:pPr>
              <w:topLinePunct/>
              <w:spacing w:line="440" w:lineRule="exact"/>
              <w:jc w:val="center"/>
              <w:rPr>
                <w:rFonts w:hint="eastAsia" w:ascii="宋体" w:hAnsi="宋体"/>
                <w:szCs w:val="21"/>
              </w:rPr>
            </w:pPr>
          </w:p>
        </w:tc>
        <w:tc>
          <w:tcPr>
            <w:tcW w:w="2529" w:type="dxa"/>
            <w:gridSpan w:val="4"/>
            <w:tcBorders>
              <w:top w:val="single" w:color="auto" w:sz="4" w:space="0"/>
              <w:left w:val="single" w:color="auto" w:sz="4" w:space="0"/>
              <w:bottom w:val="single" w:color="auto" w:sz="4" w:space="0"/>
              <w:right w:val="single" w:color="auto" w:sz="4" w:space="0"/>
            </w:tcBorders>
            <w:vAlign w:val="center"/>
          </w:tcPr>
          <w:p w14:paraId="10044D57">
            <w:pPr>
              <w:topLinePunct/>
              <w:spacing w:line="440" w:lineRule="exact"/>
              <w:jc w:val="center"/>
              <w:rPr>
                <w:rFonts w:hint="eastAsia" w:ascii="宋体" w:hAnsi="宋体"/>
                <w:szCs w:val="21"/>
              </w:rPr>
            </w:pPr>
            <w:r>
              <w:rPr>
                <w:rFonts w:hint="eastAsia" w:ascii="宋体" w:hAnsi="宋体"/>
                <w:szCs w:val="21"/>
              </w:rPr>
              <w:t>初级职称人员</w:t>
            </w:r>
          </w:p>
        </w:tc>
        <w:tc>
          <w:tcPr>
            <w:tcW w:w="2038" w:type="dxa"/>
            <w:gridSpan w:val="2"/>
            <w:tcBorders>
              <w:top w:val="single" w:color="auto" w:sz="4" w:space="0"/>
              <w:left w:val="single" w:color="auto" w:sz="4" w:space="0"/>
              <w:bottom w:val="single" w:color="auto" w:sz="4" w:space="0"/>
            </w:tcBorders>
            <w:vAlign w:val="center"/>
          </w:tcPr>
          <w:p w14:paraId="1017C419">
            <w:pPr>
              <w:topLinePunct/>
              <w:spacing w:line="440" w:lineRule="exact"/>
              <w:jc w:val="center"/>
              <w:rPr>
                <w:rFonts w:hint="eastAsia" w:ascii="宋体" w:hAnsi="宋体"/>
                <w:szCs w:val="21"/>
              </w:rPr>
            </w:pPr>
          </w:p>
        </w:tc>
      </w:tr>
      <w:tr w14:paraId="3905E8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6" w:hRule="atLeast"/>
        </w:trPr>
        <w:tc>
          <w:tcPr>
            <w:tcW w:w="1899" w:type="dxa"/>
            <w:tcBorders>
              <w:top w:val="single" w:color="auto" w:sz="4" w:space="0"/>
              <w:bottom w:val="single" w:color="auto" w:sz="4" w:space="0"/>
              <w:right w:val="single" w:color="auto" w:sz="4" w:space="0"/>
            </w:tcBorders>
            <w:vAlign w:val="center"/>
          </w:tcPr>
          <w:p w14:paraId="49FA5DEA">
            <w:pPr>
              <w:topLinePunct/>
              <w:spacing w:line="440" w:lineRule="exact"/>
              <w:jc w:val="center"/>
              <w:rPr>
                <w:rFonts w:hint="eastAsia" w:ascii="宋体" w:hAnsi="宋体"/>
                <w:szCs w:val="21"/>
              </w:rPr>
            </w:pPr>
            <w:r>
              <w:rPr>
                <w:rFonts w:hint="eastAsia" w:ascii="宋体" w:hAnsi="宋体"/>
                <w:szCs w:val="21"/>
              </w:rPr>
              <w:t>账号</w:t>
            </w:r>
          </w:p>
        </w:tc>
        <w:tc>
          <w:tcPr>
            <w:tcW w:w="2032" w:type="dxa"/>
            <w:gridSpan w:val="2"/>
            <w:tcBorders>
              <w:top w:val="single" w:color="auto" w:sz="4" w:space="0"/>
              <w:left w:val="single" w:color="auto" w:sz="4" w:space="0"/>
              <w:bottom w:val="single" w:color="auto" w:sz="4" w:space="0"/>
              <w:right w:val="single" w:color="auto" w:sz="4" w:space="0"/>
            </w:tcBorders>
            <w:vAlign w:val="center"/>
          </w:tcPr>
          <w:p w14:paraId="24F1C7EE">
            <w:pPr>
              <w:topLinePunct/>
              <w:spacing w:line="440" w:lineRule="exact"/>
              <w:jc w:val="center"/>
              <w:rPr>
                <w:rFonts w:hint="eastAsia" w:ascii="宋体" w:hAnsi="宋体"/>
                <w:szCs w:val="21"/>
              </w:rPr>
            </w:pPr>
          </w:p>
        </w:tc>
        <w:tc>
          <w:tcPr>
            <w:tcW w:w="922" w:type="dxa"/>
            <w:vMerge w:val="continue"/>
            <w:tcBorders>
              <w:top w:val="single" w:color="auto" w:sz="4" w:space="0"/>
              <w:left w:val="single" w:color="auto" w:sz="4" w:space="0"/>
              <w:bottom w:val="single" w:color="auto" w:sz="4" w:space="0"/>
              <w:right w:val="single" w:color="auto" w:sz="4" w:space="0"/>
            </w:tcBorders>
            <w:vAlign w:val="center"/>
          </w:tcPr>
          <w:p w14:paraId="6A8FBAD8">
            <w:pPr>
              <w:topLinePunct/>
              <w:spacing w:line="440" w:lineRule="exact"/>
              <w:jc w:val="center"/>
              <w:rPr>
                <w:rFonts w:hint="eastAsia" w:ascii="宋体" w:hAnsi="宋体"/>
                <w:szCs w:val="21"/>
              </w:rPr>
            </w:pPr>
          </w:p>
        </w:tc>
        <w:tc>
          <w:tcPr>
            <w:tcW w:w="2529" w:type="dxa"/>
            <w:gridSpan w:val="4"/>
            <w:tcBorders>
              <w:top w:val="single" w:color="auto" w:sz="4" w:space="0"/>
              <w:left w:val="single" w:color="auto" w:sz="4" w:space="0"/>
              <w:bottom w:val="single" w:color="auto" w:sz="4" w:space="0"/>
              <w:right w:val="single" w:color="auto" w:sz="4" w:space="0"/>
            </w:tcBorders>
            <w:vAlign w:val="center"/>
          </w:tcPr>
          <w:p w14:paraId="26FFD1F4">
            <w:pPr>
              <w:topLinePunct/>
              <w:spacing w:line="440" w:lineRule="exact"/>
              <w:jc w:val="center"/>
              <w:rPr>
                <w:rFonts w:hint="eastAsia" w:ascii="宋体" w:hAnsi="宋体"/>
              </w:rPr>
            </w:pPr>
            <w:r>
              <w:rPr>
                <w:rFonts w:hint="eastAsia" w:ascii="宋体" w:hAnsi="宋体"/>
                <w:szCs w:val="21"/>
              </w:rPr>
              <w:t>技工</w:t>
            </w:r>
          </w:p>
        </w:tc>
        <w:tc>
          <w:tcPr>
            <w:tcW w:w="2038" w:type="dxa"/>
            <w:gridSpan w:val="2"/>
            <w:tcBorders>
              <w:top w:val="single" w:color="auto" w:sz="4" w:space="0"/>
              <w:left w:val="single" w:color="auto" w:sz="4" w:space="0"/>
              <w:bottom w:val="single" w:color="auto" w:sz="4" w:space="0"/>
            </w:tcBorders>
            <w:vAlign w:val="center"/>
          </w:tcPr>
          <w:p w14:paraId="3F263D2E">
            <w:pPr>
              <w:topLinePunct/>
              <w:spacing w:line="440" w:lineRule="exact"/>
              <w:jc w:val="center"/>
              <w:rPr>
                <w:rFonts w:hint="eastAsia" w:ascii="宋体" w:hAnsi="宋体"/>
                <w:szCs w:val="21"/>
              </w:rPr>
            </w:pPr>
          </w:p>
        </w:tc>
      </w:tr>
      <w:tr w14:paraId="3A2CEC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1899" w:type="dxa"/>
            <w:tcBorders>
              <w:top w:val="single" w:color="auto" w:sz="4" w:space="0"/>
              <w:right w:val="single" w:color="auto" w:sz="4" w:space="0"/>
            </w:tcBorders>
            <w:vAlign w:val="center"/>
          </w:tcPr>
          <w:p w14:paraId="32BEDBD4">
            <w:pPr>
              <w:topLinePunct/>
              <w:spacing w:line="440" w:lineRule="exact"/>
              <w:ind w:firstLine="210" w:firstLineChars="100"/>
              <w:jc w:val="center"/>
              <w:rPr>
                <w:rFonts w:hint="eastAsia" w:ascii="宋体" w:hAnsi="宋体"/>
                <w:szCs w:val="21"/>
              </w:rPr>
            </w:pPr>
            <w:r>
              <w:rPr>
                <w:rFonts w:hint="eastAsia" w:ascii="宋体" w:hAnsi="宋体"/>
                <w:szCs w:val="21"/>
              </w:rPr>
              <w:t>经营范围</w:t>
            </w:r>
          </w:p>
        </w:tc>
        <w:tc>
          <w:tcPr>
            <w:tcW w:w="7521" w:type="dxa"/>
            <w:gridSpan w:val="9"/>
            <w:tcBorders>
              <w:top w:val="single" w:color="auto" w:sz="4" w:space="0"/>
              <w:left w:val="single" w:color="auto" w:sz="4" w:space="0"/>
            </w:tcBorders>
            <w:vAlign w:val="center"/>
          </w:tcPr>
          <w:p w14:paraId="5F0411D4">
            <w:pPr>
              <w:topLinePunct/>
              <w:spacing w:line="440" w:lineRule="exact"/>
              <w:rPr>
                <w:rFonts w:hint="eastAsia" w:ascii="宋体" w:hAnsi="宋体"/>
                <w:szCs w:val="21"/>
              </w:rPr>
            </w:pPr>
          </w:p>
        </w:tc>
      </w:tr>
      <w:tr w14:paraId="631637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899" w:type="dxa"/>
            <w:tcBorders>
              <w:top w:val="single" w:color="auto" w:sz="4" w:space="0"/>
              <w:bottom w:val="single" w:color="auto" w:sz="4" w:space="0"/>
              <w:right w:val="single" w:color="auto" w:sz="4" w:space="0"/>
            </w:tcBorders>
            <w:vAlign w:val="center"/>
          </w:tcPr>
          <w:p w14:paraId="687D89B6">
            <w:pPr>
              <w:topLinePunct/>
              <w:spacing w:line="440" w:lineRule="exact"/>
              <w:jc w:val="center"/>
              <w:rPr>
                <w:rFonts w:hint="eastAsia" w:ascii="宋体" w:hAnsi="宋体"/>
                <w:szCs w:val="21"/>
              </w:rPr>
            </w:pPr>
            <w:r>
              <w:rPr>
                <w:rFonts w:hint="eastAsia" w:ascii="宋体" w:hAnsi="宋体"/>
                <w:szCs w:val="21"/>
              </w:rPr>
              <w:t>备注</w:t>
            </w:r>
          </w:p>
        </w:tc>
        <w:tc>
          <w:tcPr>
            <w:tcW w:w="7521" w:type="dxa"/>
            <w:gridSpan w:val="9"/>
            <w:tcBorders>
              <w:top w:val="single" w:color="auto" w:sz="4" w:space="0"/>
              <w:left w:val="single" w:color="auto" w:sz="4" w:space="0"/>
              <w:bottom w:val="single" w:color="auto" w:sz="4" w:space="0"/>
            </w:tcBorders>
            <w:vAlign w:val="center"/>
          </w:tcPr>
          <w:p w14:paraId="33190D0B">
            <w:pPr>
              <w:topLinePunct/>
              <w:spacing w:line="440" w:lineRule="exact"/>
              <w:jc w:val="center"/>
              <w:rPr>
                <w:rFonts w:hint="eastAsia" w:ascii="宋体" w:hAnsi="宋体"/>
                <w:szCs w:val="21"/>
              </w:rPr>
            </w:pPr>
          </w:p>
        </w:tc>
      </w:tr>
    </w:tbl>
    <w:p w14:paraId="665B7DBD">
      <w:pPr>
        <w:spacing w:line="440" w:lineRule="exact"/>
        <w:jc w:val="left"/>
        <w:rPr>
          <w:rFonts w:hint="eastAsia" w:ascii="宋体" w:hAnsi="宋体"/>
          <w:b/>
          <w:szCs w:val="21"/>
        </w:rPr>
      </w:pPr>
      <w:r>
        <w:rPr>
          <w:rFonts w:hint="eastAsia" w:ascii="宋体" w:hAnsi="宋体"/>
          <w:b/>
          <w:szCs w:val="21"/>
        </w:rPr>
        <w:t>备注：1.本表不够时可复制和扩展。</w:t>
      </w:r>
    </w:p>
    <w:p w14:paraId="5EF3B8DD">
      <w:pPr>
        <w:pStyle w:val="42"/>
        <w:ind w:firstLine="280"/>
      </w:pPr>
    </w:p>
    <w:p w14:paraId="4707E421">
      <w:pPr>
        <w:rPr>
          <w:b/>
          <w:bCs/>
          <w:szCs w:val="28"/>
        </w:rPr>
      </w:pPr>
      <w:bookmarkStart w:id="687" w:name="_Toc100657115"/>
      <w:r>
        <w:rPr>
          <w:rFonts w:hint="eastAsia"/>
          <w:b/>
          <w:bCs/>
          <w:szCs w:val="28"/>
        </w:rPr>
        <w:br w:type="page"/>
      </w:r>
    </w:p>
    <w:p w14:paraId="14C7AAC5">
      <w:pPr>
        <w:pStyle w:val="42"/>
        <w:ind w:firstLine="281"/>
        <w:jc w:val="center"/>
        <w:rPr>
          <w:b/>
          <w:bCs/>
          <w:szCs w:val="28"/>
        </w:rPr>
      </w:pPr>
      <w:r>
        <w:rPr>
          <w:rFonts w:hint="eastAsia"/>
          <w:b/>
          <w:bCs/>
          <w:szCs w:val="28"/>
        </w:rPr>
        <w:t>（二）营业执照</w:t>
      </w:r>
      <w:bookmarkEnd w:id="687"/>
    </w:p>
    <w:p w14:paraId="4AEF06CE">
      <w:pPr>
        <w:pStyle w:val="42"/>
        <w:spacing w:after="0" w:line="360" w:lineRule="auto"/>
        <w:ind w:firstLineChars="200"/>
        <w:jc w:val="left"/>
        <w:rPr>
          <w:rFonts w:hint="eastAsia" w:ascii="宋体" w:hAnsi="宋体" w:cs="宋体"/>
          <w:b/>
          <w:sz w:val="21"/>
          <w:szCs w:val="21"/>
        </w:rPr>
      </w:pPr>
      <w:r>
        <w:rPr>
          <w:rFonts w:hint="eastAsia" w:ascii="宋体" w:hAnsi="宋体" w:cs="宋体"/>
          <w:sz w:val="21"/>
          <w:szCs w:val="21"/>
        </w:rPr>
        <w:t>投标人必须是具有独立承担民事责任能力的在中华人民共和国境内注册的法人或其他组织，提供有效的营业执照或法人登记证书复印件。</w:t>
      </w:r>
    </w:p>
    <w:p w14:paraId="4EE4F25D">
      <w:pPr>
        <w:pStyle w:val="42"/>
        <w:spacing w:after="0" w:line="360" w:lineRule="auto"/>
        <w:ind w:firstLine="422" w:firstLineChars="200"/>
        <w:jc w:val="left"/>
        <w:rPr>
          <w:rFonts w:hint="eastAsia" w:ascii="宋体" w:hAnsi="宋体" w:cs="宋体"/>
          <w:b/>
          <w:sz w:val="21"/>
          <w:szCs w:val="21"/>
        </w:rPr>
      </w:pPr>
    </w:p>
    <w:p w14:paraId="4032B858">
      <w:pPr>
        <w:pStyle w:val="42"/>
        <w:spacing w:after="0" w:line="360" w:lineRule="auto"/>
        <w:ind w:firstLine="422" w:firstLineChars="200"/>
        <w:jc w:val="left"/>
        <w:rPr>
          <w:rFonts w:hint="eastAsia" w:ascii="宋体" w:hAnsi="宋体" w:cs="宋体"/>
          <w:b/>
          <w:sz w:val="21"/>
          <w:szCs w:val="21"/>
        </w:rPr>
      </w:pPr>
      <w:r>
        <w:rPr>
          <w:rFonts w:hint="eastAsia" w:ascii="宋体" w:hAnsi="宋体" w:cs="宋体"/>
          <w:b/>
          <w:sz w:val="21"/>
          <w:szCs w:val="21"/>
        </w:rPr>
        <w:t>附：营业执照</w:t>
      </w:r>
    </w:p>
    <w:p w14:paraId="74D6EAA5">
      <w:pPr>
        <w:pStyle w:val="42"/>
        <w:spacing w:after="0" w:line="360" w:lineRule="auto"/>
        <w:ind w:firstLine="422" w:firstLineChars="200"/>
        <w:jc w:val="left"/>
        <w:rPr>
          <w:rFonts w:hint="eastAsia" w:ascii="宋体" w:hAnsi="宋体" w:cs="宋体"/>
          <w:b/>
          <w:sz w:val="21"/>
          <w:szCs w:val="21"/>
        </w:rPr>
      </w:pPr>
    </w:p>
    <w:p w14:paraId="73F4C49C">
      <w:pPr>
        <w:pStyle w:val="42"/>
        <w:spacing w:after="0" w:line="360" w:lineRule="auto"/>
        <w:ind w:firstLine="422" w:firstLineChars="200"/>
        <w:jc w:val="left"/>
        <w:rPr>
          <w:rFonts w:hint="eastAsia" w:ascii="宋体" w:hAnsi="宋体" w:cs="宋体"/>
          <w:b/>
          <w:sz w:val="21"/>
          <w:szCs w:val="21"/>
        </w:rPr>
      </w:pPr>
    </w:p>
    <w:p w14:paraId="10277A81">
      <w:pPr>
        <w:pStyle w:val="42"/>
        <w:spacing w:after="0" w:line="360" w:lineRule="auto"/>
        <w:ind w:firstLine="422" w:firstLineChars="200"/>
        <w:jc w:val="left"/>
        <w:rPr>
          <w:rFonts w:hint="eastAsia" w:ascii="宋体" w:hAnsi="宋体" w:cs="宋体"/>
          <w:b/>
          <w:sz w:val="21"/>
          <w:szCs w:val="21"/>
        </w:rPr>
      </w:pPr>
    </w:p>
    <w:p w14:paraId="559354A5">
      <w:pPr>
        <w:pStyle w:val="42"/>
        <w:spacing w:after="0" w:line="360" w:lineRule="auto"/>
        <w:ind w:firstLine="422" w:firstLineChars="200"/>
        <w:jc w:val="left"/>
        <w:rPr>
          <w:rFonts w:hint="eastAsia" w:ascii="宋体" w:hAnsi="宋体" w:cs="宋体"/>
          <w:b/>
          <w:sz w:val="21"/>
          <w:szCs w:val="21"/>
        </w:rPr>
      </w:pPr>
    </w:p>
    <w:p w14:paraId="1023171C">
      <w:pPr>
        <w:pStyle w:val="42"/>
        <w:spacing w:after="0" w:line="360" w:lineRule="auto"/>
        <w:ind w:firstLineChars="200"/>
        <w:jc w:val="left"/>
        <w:rPr>
          <w:rFonts w:hint="eastAsia" w:ascii="宋体" w:hAnsi="宋体" w:cs="宋体"/>
          <w:sz w:val="21"/>
          <w:szCs w:val="21"/>
        </w:rPr>
      </w:pPr>
    </w:p>
    <w:p w14:paraId="2D3A467E">
      <w:pPr>
        <w:pStyle w:val="42"/>
        <w:spacing w:after="0" w:line="360" w:lineRule="auto"/>
        <w:ind w:firstLine="422" w:firstLineChars="200"/>
        <w:jc w:val="left"/>
        <w:rPr>
          <w:rFonts w:hint="eastAsia" w:ascii="宋体" w:hAnsi="宋体" w:cs="宋体"/>
          <w:sz w:val="21"/>
          <w:szCs w:val="21"/>
        </w:rPr>
      </w:pPr>
      <w:r>
        <w:rPr>
          <w:rFonts w:hint="eastAsia" w:ascii="宋体" w:hAnsi="宋体" w:cs="宋体"/>
          <w:b/>
          <w:sz w:val="21"/>
          <w:szCs w:val="21"/>
        </w:rPr>
        <w:t>备注：</w:t>
      </w:r>
      <w:r>
        <w:rPr>
          <w:rFonts w:hint="eastAsia" w:ascii="宋体" w:hAnsi="宋体" w:cs="宋体"/>
          <w:sz w:val="21"/>
          <w:szCs w:val="21"/>
        </w:rPr>
        <w:t>企业信息变更证明材料扫描件（如有）。</w:t>
      </w:r>
    </w:p>
    <w:p w14:paraId="2FAF27E4">
      <w:pPr>
        <w:pStyle w:val="42"/>
        <w:spacing w:after="0" w:line="360" w:lineRule="auto"/>
        <w:ind w:firstLineChars="200"/>
        <w:jc w:val="left"/>
        <w:rPr>
          <w:rFonts w:hint="eastAsia" w:ascii="宋体" w:hAnsi="宋体" w:cs="宋体"/>
          <w:sz w:val="21"/>
          <w:szCs w:val="21"/>
        </w:rPr>
      </w:pPr>
      <w:r>
        <w:rPr>
          <w:rFonts w:hint="eastAsia" w:ascii="宋体" w:hAnsi="宋体" w:cs="宋体"/>
          <w:sz w:val="21"/>
          <w:szCs w:val="21"/>
        </w:rPr>
        <w:t>若投标人成立至今有发生名称、地址、注册资金等变更情况，并可能导致与投标文件中所提供的材料中的单位名称不一致的，必须提供加盖公章（同时有投标人公章和第三方如市场监督管理局的公章）的公司变更说明材料，否则可能导致投标人的相关材料被认定无效。如无，则无需提供。</w:t>
      </w:r>
    </w:p>
    <w:p w14:paraId="6D9A20AE">
      <w:pPr>
        <w:pStyle w:val="42"/>
        <w:spacing w:after="0" w:line="360" w:lineRule="auto"/>
        <w:ind w:firstLineChars="200"/>
        <w:jc w:val="left"/>
        <w:rPr>
          <w:rFonts w:hint="eastAsia" w:ascii="宋体" w:hAnsi="宋体" w:cs="宋体"/>
          <w:sz w:val="21"/>
          <w:szCs w:val="21"/>
        </w:rPr>
      </w:pPr>
    </w:p>
    <w:p w14:paraId="4CE49EA8">
      <w:pPr>
        <w:pStyle w:val="42"/>
        <w:spacing w:after="0" w:line="360" w:lineRule="auto"/>
        <w:ind w:firstLineChars="200"/>
        <w:jc w:val="left"/>
        <w:rPr>
          <w:rFonts w:hint="eastAsia" w:ascii="宋体" w:hAnsi="宋体" w:cs="宋体"/>
          <w:sz w:val="21"/>
          <w:szCs w:val="21"/>
        </w:rPr>
      </w:pPr>
    </w:p>
    <w:p w14:paraId="79A77F26">
      <w:pPr>
        <w:pStyle w:val="42"/>
        <w:spacing w:after="0" w:line="360" w:lineRule="auto"/>
        <w:ind w:firstLineChars="200"/>
        <w:jc w:val="left"/>
        <w:rPr>
          <w:rFonts w:hint="eastAsia" w:ascii="宋体" w:hAnsi="宋体" w:cs="宋体"/>
          <w:sz w:val="21"/>
          <w:szCs w:val="21"/>
        </w:rPr>
      </w:pPr>
    </w:p>
    <w:p w14:paraId="29C5D921">
      <w:pPr>
        <w:pStyle w:val="42"/>
        <w:spacing w:after="0" w:line="360" w:lineRule="auto"/>
        <w:ind w:firstLineChars="200"/>
        <w:jc w:val="left"/>
        <w:rPr>
          <w:rFonts w:hint="eastAsia" w:ascii="宋体" w:hAnsi="宋体" w:cs="宋体"/>
          <w:sz w:val="21"/>
          <w:szCs w:val="21"/>
        </w:rPr>
      </w:pPr>
    </w:p>
    <w:p w14:paraId="26279870">
      <w:pPr>
        <w:pStyle w:val="42"/>
        <w:ind w:firstLine="281"/>
        <w:jc w:val="center"/>
        <w:rPr>
          <w:b/>
          <w:bCs/>
          <w:szCs w:val="28"/>
        </w:rPr>
      </w:pPr>
      <w:r>
        <w:rPr>
          <w:rFonts w:hint="eastAsia"/>
          <w:b/>
          <w:bCs/>
          <w:szCs w:val="28"/>
        </w:rPr>
        <w:t>（三）专业资格要求（如有）</w:t>
      </w:r>
    </w:p>
    <w:p w14:paraId="580FC52C">
      <w:pPr>
        <w:pStyle w:val="102"/>
        <w:ind w:firstLine="420"/>
        <w:rPr>
          <w:rFonts w:hint="eastAsia" w:ascii="宋体" w:hAnsi="宋体" w:cs="宋体"/>
          <w:sz w:val="21"/>
        </w:rPr>
      </w:pPr>
      <w:r>
        <w:rPr>
          <w:rFonts w:hint="eastAsia" w:ascii="宋体" w:hAnsi="宋体" w:cs="宋体"/>
          <w:sz w:val="21"/>
        </w:rPr>
        <w:t>提供材料详见第一章 招标公告</w:t>
      </w:r>
    </w:p>
    <w:p w14:paraId="700C0392">
      <w:pPr>
        <w:pStyle w:val="5"/>
        <w:spacing w:line="360" w:lineRule="auto"/>
        <w:ind w:firstLine="480" w:firstLineChars="200"/>
        <w:rPr>
          <w:rFonts w:hint="eastAsia" w:ascii="宋体" w:hAnsi="宋体" w:eastAsia="宋体"/>
          <w:sz w:val="24"/>
          <w:szCs w:val="24"/>
        </w:rPr>
      </w:pPr>
    </w:p>
    <w:p w14:paraId="17F1E909">
      <w:pPr>
        <w:pStyle w:val="5"/>
        <w:spacing w:line="360" w:lineRule="auto"/>
        <w:ind w:firstLine="480" w:firstLineChars="200"/>
        <w:rPr>
          <w:rFonts w:hint="eastAsia" w:ascii="宋体" w:hAnsi="宋体" w:eastAsia="宋体"/>
          <w:sz w:val="24"/>
          <w:szCs w:val="24"/>
        </w:rPr>
      </w:pPr>
    </w:p>
    <w:p w14:paraId="3685AE73">
      <w:pPr>
        <w:pStyle w:val="5"/>
        <w:spacing w:line="360" w:lineRule="auto"/>
        <w:ind w:firstLine="482" w:firstLineChars="200"/>
        <w:jc w:val="center"/>
        <w:rPr>
          <w:rFonts w:hint="eastAsia" w:ascii="宋体" w:hAnsi="宋体" w:eastAsia="宋体"/>
          <w:b/>
          <w:sz w:val="24"/>
          <w:szCs w:val="24"/>
        </w:rPr>
      </w:pPr>
      <w:r>
        <w:rPr>
          <w:rFonts w:hint="eastAsia" w:ascii="宋体" w:hAnsi="宋体" w:eastAsia="宋体"/>
          <w:b/>
          <w:sz w:val="24"/>
          <w:szCs w:val="24"/>
        </w:rPr>
        <w:t>（附：资质证书复印件/扫描件）</w:t>
      </w:r>
    </w:p>
    <w:p w14:paraId="418243C0">
      <w:pPr>
        <w:pStyle w:val="42"/>
        <w:spacing w:after="0" w:line="360" w:lineRule="auto"/>
        <w:ind w:firstLineChars="200"/>
        <w:jc w:val="left"/>
        <w:rPr>
          <w:rFonts w:hint="eastAsia" w:ascii="宋体" w:hAnsi="宋体" w:cs="宋体"/>
          <w:sz w:val="21"/>
          <w:szCs w:val="21"/>
        </w:rPr>
      </w:pPr>
    </w:p>
    <w:p w14:paraId="3D6DEBA6">
      <w:pPr>
        <w:pStyle w:val="42"/>
        <w:ind w:firstLine="321"/>
        <w:jc w:val="center"/>
        <w:rPr>
          <w:b/>
          <w:bCs/>
          <w:szCs w:val="28"/>
        </w:rPr>
      </w:pPr>
      <w:r>
        <w:rPr>
          <w:rFonts w:ascii="Arial" w:hAnsi="Arial" w:eastAsia="黑体"/>
          <w:b/>
          <w:bCs/>
          <w:sz w:val="32"/>
          <w:szCs w:val="32"/>
        </w:rPr>
        <w:br w:type="page"/>
      </w:r>
      <w:r>
        <w:rPr>
          <w:rFonts w:hint="eastAsia"/>
          <w:b/>
          <w:bCs/>
          <w:szCs w:val="28"/>
        </w:rPr>
        <w:t>（四）资格承诺函</w:t>
      </w:r>
    </w:p>
    <w:p w14:paraId="3CF62369">
      <w:pPr>
        <w:spacing w:after="0" w:line="360" w:lineRule="auto"/>
        <w:rPr>
          <w:rFonts w:hint="eastAsia" w:ascii="宋体" w:hAnsi="宋体"/>
          <w:b/>
          <w:sz w:val="24"/>
        </w:rPr>
      </w:pPr>
      <w:r>
        <w:rPr>
          <w:rFonts w:hint="eastAsia" w:ascii="宋体" w:hAnsi="宋体"/>
          <w:b/>
          <w:sz w:val="24"/>
        </w:rPr>
        <w:t>惠州交投能源投资有限公司：</w:t>
      </w:r>
    </w:p>
    <w:p w14:paraId="49B94065">
      <w:pPr>
        <w:snapToGrid w:val="0"/>
        <w:spacing w:after="0" w:line="360" w:lineRule="auto"/>
        <w:ind w:firstLine="420" w:firstLineChars="200"/>
        <w:rPr>
          <w:szCs w:val="21"/>
        </w:rPr>
      </w:pPr>
    </w:p>
    <w:p w14:paraId="62E846F2">
      <w:pPr>
        <w:snapToGrid w:val="0"/>
        <w:spacing w:after="0" w:line="360" w:lineRule="auto"/>
        <w:ind w:firstLine="420" w:firstLineChars="200"/>
        <w:rPr>
          <w:szCs w:val="21"/>
        </w:rPr>
      </w:pPr>
      <w:r>
        <w:rPr>
          <w:rFonts w:hint="eastAsia"/>
          <w:szCs w:val="21"/>
        </w:rPr>
        <w:t>关于贵单位</w:t>
      </w:r>
      <w:r>
        <w:rPr>
          <w:rFonts w:hint="eastAsia"/>
          <w:szCs w:val="21"/>
          <w:u w:val="single"/>
        </w:rPr>
        <w:t>惠州交投能源投资有限公司节能技改项目货物采购（第一批）</w:t>
      </w:r>
      <w:r>
        <w:rPr>
          <w:rFonts w:hint="eastAsia"/>
          <w:szCs w:val="21"/>
        </w:rPr>
        <w:t>的招标公告，本公司（企业）愿意参加投标，并声明：</w:t>
      </w:r>
    </w:p>
    <w:p w14:paraId="03F68D1B">
      <w:pPr>
        <w:snapToGrid w:val="0"/>
        <w:spacing w:after="0" w:line="360" w:lineRule="auto"/>
        <w:ind w:firstLine="420" w:firstLineChars="200"/>
        <w:rPr>
          <w:rFonts w:hint="eastAsia" w:ascii="宋体" w:hAnsi="宋体"/>
          <w:szCs w:val="21"/>
        </w:rPr>
      </w:pPr>
      <w:r>
        <w:rPr>
          <w:rFonts w:hint="eastAsia" w:ascii="宋体" w:hAnsi="宋体"/>
          <w:szCs w:val="21"/>
        </w:rPr>
        <w:t>1、我方承诺未被列入“信用中国”网站(www.creditchina.gov.cn)“记录失信被执行人或重大税收违法失信主体或政府采购严重违法失信行为”记录名单；</w:t>
      </w:r>
    </w:p>
    <w:p w14:paraId="248FFA76">
      <w:pPr>
        <w:snapToGrid w:val="0"/>
        <w:spacing w:after="0" w:line="360" w:lineRule="auto"/>
        <w:ind w:firstLine="420" w:firstLineChars="200"/>
        <w:rPr>
          <w:rFonts w:hint="eastAsia" w:ascii="宋体" w:hAnsi="宋体"/>
          <w:szCs w:val="21"/>
        </w:rPr>
      </w:pPr>
      <w:r>
        <w:rPr>
          <w:rFonts w:ascii="宋体" w:hAnsi="宋体"/>
          <w:szCs w:val="21"/>
        </w:rPr>
        <w:t>2</w:t>
      </w:r>
      <w:r>
        <w:rPr>
          <w:rFonts w:hint="eastAsia" w:ascii="宋体" w:hAnsi="宋体"/>
          <w:szCs w:val="21"/>
        </w:rPr>
        <w:t>、我司不存在单位负责人为同一人或者存在直接控股、 管理关系的不同投标人，同时参与本项目的投标。</w:t>
      </w:r>
    </w:p>
    <w:p w14:paraId="42883671">
      <w:pPr>
        <w:pStyle w:val="42"/>
        <w:ind w:firstLineChars="200"/>
        <w:rPr>
          <w:rFonts w:hint="eastAsia" w:ascii="宋体" w:hAnsi="宋体"/>
          <w:sz w:val="21"/>
          <w:szCs w:val="21"/>
        </w:rPr>
      </w:pPr>
      <w:r>
        <w:rPr>
          <w:rFonts w:hint="eastAsia" w:ascii="宋体" w:hAnsi="宋体"/>
          <w:sz w:val="21"/>
          <w:szCs w:val="21"/>
        </w:rPr>
        <w:t>3、我司未联合体投标。</w:t>
      </w:r>
    </w:p>
    <w:p w14:paraId="7E9D6204">
      <w:pPr>
        <w:snapToGrid w:val="0"/>
        <w:spacing w:after="0" w:line="360" w:lineRule="auto"/>
        <w:ind w:firstLine="420" w:firstLineChars="200"/>
        <w:rPr>
          <w:rFonts w:hint="eastAsia" w:ascii="宋体" w:hAnsi="宋体"/>
          <w:szCs w:val="21"/>
        </w:rPr>
      </w:pPr>
      <w:r>
        <w:rPr>
          <w:rFonts w:ascii="宋体" w:hAnsi="宋体"/>
          <w:szCs w:val="21"/>
        </w:rPr>
        <w:t>4</w:t>
      </w:r>
      <w:r>
        <w:rPr>
          <w:rFonts w:hint="eastAsia" w:ascii="宋体" w:hAnsi="宋体"/>
          <w:szCs w:val="21"/>
        </w:rPr>
        <w:t>、我司符合法律法规规定的其他必须符合的要求。</w:t>
      </w:r>
    </w:p>
    <w:p w14:paraId="76C632E7">
      <w:pPr>
        <w:snapToGrid w:val="0"/>
        <w:spacing w:line="360" w:lineRule="auto"/>
        <w:ind w:firstLine="420" w:firstLineChars="200"/>
        <w:rPr>
          <w:rFonts w:hint="eastAsia" w:ascii="宋体" w:hAnsi="宋体"/>
          <w:szCs w:val="21"/>
        </w:rPr>
      </w:pPr>
    </w:p>
    <w:p w14:paraId="2C9BC713">
      <w:pPr>
        <w:spacing w:line="360" w:lineRule="auto"/>
        <w:ind w:firstLine="420"/>
        <w:rPr>
          <w:rFonts w:hint="eastAsia" w:ascii="宋体" w:hAnsi="宋体"/>
          <w:szCs w:val="21"/>
        </w:rPr>
      </w:pPr>
      <w:r>
        <w:rPr>
          <w:rFonts w:hint="eastAsia" w:ascii="宋体" w:hAnsi="宋体"/>
          <w:szCs w:val="21"/>
        </w:rPr>
        <w:t>特此声明！</w:t>
      </w:r>
    </w:p>
    <w:p w14:paraId="6F30E0D1">
      <w:pPr>
        <w:pStyle w:val="42"/>
        <w:ind w:firstLine="280"/>
      </w:pPr>
    </w:p>
    <w:p w14:paraId="412DA59E">
      <w:pPr>
        <w:pStyle w:val="42"/>
        <w:ind w:firstLine="281"/>
        <w:rPr>
          <w:b/>
        </w:rPr>
      </w:pPr>
    </w:p>
    <w:p w14:paraId="0F376343">
      <w:pPr>
        <w:pStyle w:val="42"/>
        <w:ind w:firstLine="281"/>
        <w:rPr>
          <w:rFonts w:hint="eastAsia" w:ascii="宋体" w:hAnsi="宋体"/>
          <w:b/>
        </w:rPr>
      </w:pPr>
    </w:p>
    <w:p w14:paraId="5AE7B20B">
      <w:pPr>
        <w:spacing w:line="360" w:lineRule="auto"/>
        <w:ind w:firstLine="3373" w:firstLineChars="1600"/>
        <w:jc w:val="right"/>
        <w:rPr>
          <w:rFonts w:hint="eastAsia" w:ascii="宋体" w:hAnsi="宋体"/>
          <w:b/>
          <w:szCs w:val="21"/>
        </w:rPr>
      </w:pPr>
      <w:r>
        <w:rPr>
          <w:rFonts w:hint="eastAsia" w:ascii="宋体" w:hAnsi="宋体"/>
          <w:b/>
          <w:szCs w:val="21"/>
        </w:rPr>
        <w:t>投标人：</w:t>
      </w:r>
      <w:r>
        <w:rPr>
          <w:rFonts w:ascii="宋体" w:hAnsi="宋体"/>
          <w:b/>
          <w:szCs w:val="21"/>
        </w:rPr>
        <w:t>_______________________</w:t>
      </w:r>
      <w:r>
        <w:rPr>
          <w:rFonts w:hint="eastAsia" w:ascii="宋体" w:hAnsi="宋体"/>
          <w:b/>
          <w:szCs w:val="21"/>
        </w:rPr>
        <w:t>（盖单位章）</w:t>
      </w:r>
    </w:p>
    <w:p w14:paraId="05A62C63">
      <w:pPr>
        <w:spacing w:line="360" w:lineRule="auto"/>
        <w:jc w:val="right"/>
        <w:rPr>
          <w:rFonts w:hint="eastAsia" w:ascii="宋体" w:hAnsi="宋体"/>
          <w:b/>
          <w:szCs w:val="21"/>
        </w:rPr>
      </w:pPr>
      <w:r>
        <w:rPr>
          <w:rFonts w:hint="eastAsia" w:ascii="宋体" w:hAnsi="宋体"/>
          <w:b/>
          <w:szCs w:val="21"/>
        </w:rPr>
        <w:t xml:space="preserve">投标人法定代表人或其授权委托人： </w:t>
      </w:r>
      <w:r>
        <w:rPr>
          <w:rFonts w:ascii="宋体" w:hAnsi="宋体"/>
          <w:b/>
          <w:szCs w:val="21"/>
        </w:rPr>
        <w:t xml:space="preserve">      </w:t>
      </w:r>
      <w:r>
        <w:rPr>
          <w:rFonts w:hint="eastAsia" w:ascii="宋体" w:hAnsi="宋体"/>
          <w:b/>
          <w:szCs w:val="21"/>
        </w:rPr>
        <w:t>（签字或盖章）</w:t>
      </w:r>
    </w:p>
    <w:p w14:paraId="53018404">
      <w:pPr>
        <w:spacing w:line="360" w:lineRule="auto"/>
        <w:ind w:right="840"/>
        <w:jc w:val="right"/>
        <w:rPr>
          <w:rFonts w:hint="eastAsia" w:ascii="宋体" w:hAnsi="宋体"/>
          <w:b/>
          <w:szCs w:val="21"/>
        </w:rPr>
      </w:pPr>
      <w:r>
        <w:rPr>
          <w:rFonts w:hint="eastAsia" w:ascii="宋体" w:hAnsi="宋体"/>
          <w:b/>
          <w:szCs w:val="21"/>
        </w:rPr>
        <w:t>年   月    日</w:t>
      </w:r>
    </w:p>
    <w:p w14:paraId="7C32742D">
      <w:pPr>
        <w:spacing w:line="360" w:lineRule="auto"/>
        <w:ind w:right="840"/>
        <w:jc w:val="right"/>
        <w:rPr>
          <w:rFonts w:hint="eastAsia" w:ascii="宋体" w:hAnsi="宋体"/>
          <w:b/>
          <w:szCs w:val="21"/>
        </w:rPr>
      </w:pPr>
    </w:p>
    <w:p w14:paraId="369FE3AD">
      <w:pPr>
        <w:spacing w:line="360" w:lineRule="auto"/>
        <w:ind w:right="840"/>
        <w:jc w:val="right"/>
        <w:rPr>
          <w:rFonts w:hint="eastAsia" w:ascii="宋体" w:hAnsi="宋体"/>
          <w:b/>
          <w:szCs w:val="21"/>
        </w:rPr>
      </w:pPr>
    </w:p>
    <w:p w14:paraId="2EEE2B1B">
      <w:pPr>
        <w:widowControl/>
        <w:spacing w:after="0" w:line="240" w:lineRule="auto"/>
        <w:jc w:val="left"/>
        <w:rPr>
          <w:rFonts w:hint="eastAsia" w:ascii="宋体" w:hAnsi="宋体"/>
          <w:b/>
          <w:szCs w:val="21"/>
        </w:rPr>
      </w:pPr>
      <w:r>
        <w:rPr>
          <w:rFonts w:ascii="宋体" w:hAnsi="宋体"/>
          <w:b/>
          <w:szCs w:val="21"/>
        </w:rPr>
        <w:br w:type="page"/>
      </w:r>
    </w:p>
    <w:p w14:paraId="01F87AB0">
      <w:pPr>
        <w:pStyle w:val="42"/>
        <w:ind w:firstLine="281"/>
        <w:jc w:val="center"/>
        <w:rPr>
          <w:b/>
          <w:bCs/>
          <w:szCs w:val="28"/>
        </w:rPr>
      </w:pPr>
      <w:r>
        <w:rPr>
          <w:rFonts w:hint="eastAsia"/>
          <w:b/>
          <w:bCs/>
          <w:szCs w:val="28"/>
        </w:rPr>
        <w:t>（五）其他需要说明的事项等（如有）</w:t>
      </w:r>
    </w:p>
    <w:p w14:paraId="3487572E">
      <w:pPr>
        <w:spacing w:line="360" w:lineRule="auto"/>
        <w:ind w:right="840"/>
        <w:jc w:val="center"/>
        <w:rPr>
          <w:rFonts w:hint="eastAsia" w:ascii="宋体" w:hAnsi="宋体"/>
          <w:kern w:val="0"/>
          <w:szCs w:val="21"/>
        </w:rPr>
      </w:pPr>
      <w:r>
        <w:rPr>
          <w:rFonts w:hint="eastAsia" w:ascii="宋体" w:hAnsi="宋体"/>
          <w:szCs w:val="21"/>
        </w:rPr>
        <w:t>请投标人根据自身情况补充。</w:t>
      </w:r>
      <w:r>
        <w:rPr>
          <w:rFonts w:ascii="宋体" w:hAnsi="宋体"/>
          <w:szCs w:val="21"/>
        </w:rPr>
        <w:br w:type="page"/>
      </w:r>
    </w:p>
    <w:p w14:paraId="47283DC1">
      <w:pPr>
        <w:pStyle w:val="3"/>
        <w:jc w:val="center"/>
        <w:rPr>
          <w:rFonts w:hint="eastAsia" w:ascii="宋体" w:hAnsi="宋体" w:eastAsia="宋体"/>
          <w:sz w:val="28"/>
          <w:szCs w:val="28"/>
        </w:rPr>
      </w:pPr>
      <w:bookmarkStart w:id="688" w:name="_Toc214432858"/>
      <w:r>
        <w:rPr>
          <w:rFonts w:hint="eastAsia" w:ascii="宋体" w:hAnsi="宋体" w:eastAsia="宋体"/>
          <w:sz w:val="28"/>
          <w:szCs w:val="28"/>
        </w:rPr>
        <w:t>八、业绩情况表</w:t>
      </w:r>
      <w:bookmarkEnd w:id="688"/>
    </w:p>
    <w:tbl>
      <w:tblPr>
        <w:tblStyle w:val="44"/>
        <w:tblW w:w="949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724"/>
        <w:gridCol w:w="927"/>
        <w:gridCol w:w="1031"/>
        <w:gridCol w:w="1031"/>
        <w:gridCol w:w="1031"/>
        <w:gridCol w:w="927"/>
        <w:gridCol w:w="927"/>
        <w:gridCol w:w="1181"/>
        <w:gridCol w:w="992"/>
      </w:tblGrid>
      <w:tr w14:paraId="08448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26" w:type="dxa"/>
            <w:vAlign w:val="center"/>
          </w:tcPr>
          <w:p w14:paraId="6DD5EEE0">
            <w:pPr>
              <w:spacing w:before="120" w:beforeLines="50"/>
              <w:jc w:val="center"/>
              <w:rPr>
                <w:rFonts w:hint="eastAsia" w:ascii="宋体" w:hAnsi="宋体" w:cs="宋体"/>
                <w:szCs w:val="21"/>
              </w:rPr>
            </w:pPr>
            <w:r>
              <w:rPr>
                <w:rFonts w:hint="eastAsia" w:ascii="宋体" w:hAnsi="宋体" w:cs="宋体"/>
                <w:szCs w:val="21"/>
              </w:rPr>
              <w:t>序号</w:t>
            </w:r>
          </w:p>
        </w:tc>
        <w:tc>
          <w:tcPr>
            <w:tcW w:w="724" w:type="dxa"/>
            <w:vAlign w:val="center"/>
          </w:tcPr>
          <w:p w14:paraId="4339F871">
            <w:pPr>
              <w:spacing w:before="120" w:beforeLines="50"/>
              <w:jc w:val="center"/>
              <w:rPr>
                <w:rFonts w:hint="eastAsia" w:ascii="宋体" w:hAnsi="宋体" w:cs="宋体"/>
                <w:szCs w:val="21"/>
              </w:rPr>
            </w:pPr>
            <w:r>
              <w:rPr>
                <w:rFonts w:hint="eastAsia" w:ascii="宋体" w:hAnsi="宋体" w:cs="宋体"/>
                <w:szCs w:val="21"/>
              </w:rPr>
              <w:t>合同名称</w:t>
            </w:r>
          </w:p>
        </w:tc>
        <w:tc>
          <w:tcPr>
            <w:tcW w:w="927" w:type="dxa"/>
            <w:vAlign w:val="center"/>
          </w:tcPr>
          <w:p w14:paraId="21FCE4A3">
            <w:pPr>
              <w:spacing w:before="120" w:beforeLines="50"/>
              <w:jc w:val="center"/>
              <w:rPr>
                <w:rFonts w:hint="eastAsia" w:ascii="宋体" w:hAnsi="宋体" w:cs="宋体"/>
                <w:szCs w:val="21"/>
              </w:rPr>
            </w:pPr>
            <w:r>
              <w:rPr>
                <w:rFonts w:hint="eastAsia" w:ascii="宋体" w:hAnsi="宋体" w:cs="宋体"/>
                <w:szCs w:val="21"/>
              </w:rPr>
              <w:t>合同编号</w:t>
            </w:r>
          </w:p>
        </w:tc>
        <w:tc>
          <w:tcPr>
            <w:tcW w:w="1031" w:type="dxa"/>
            <w:vAlign w:val="center"/>
          </w:tcPr>
          <w:p w14:paraId="7DDC1608">
            <w:pPr>
              <w:spacing w:before="120" w:beforeLines="50"/>
              <w:jc w:val="center"/>
              <w:rPr>
                <w:rFonts w:hint="eastAsia" w:ascii="宋体" w:hAnsi="宋体" w:cs="宋体"/>
                <w:szCs w:val="21"/>
              </w:rPr>
            </w:pPr>
            <w:r>
              <w:rPr>
                <w:rFonts w:hint="eastAsia" w:ascii="宋体" w:hAnsi="宋体" w:cs="宋体"/>
                <w:szCs w:val="21"/>
              </w:rPr>
              <w:t>合同签订时间</w:t>
            </w:r>
          </w:p>
        </w:tc>
        <w:tc>
          <w:tcPr>
            <w:tcW w:w="1031" w:type="dxa"/>
            <w:vAlign w:val="center"/>
          </w:tcPr>
          <w:p w14:paraId="7F46226B">
            <w:pPr>
              <w:spacing w:before="120" w:beforeLines="50"/>
              <w:jc w:val="center"/>
              <w:rPr>
                <w:rFonts w:hint="eastAsia" w:ascii="宋体" w:hAnsi="宋体" w:cs="宋体"/>
                <w:szCs w:val="21"/>
              </w:rPr>
            </w:pPr>
            <w:r>
              <w:rPr>
                <w:rFonts w:hint="eastAsia" w:ascii="宋体" w:hAnsi="宋体" w:cs="宋体"/>
                <w:szCs w:val="21"/>
              </w:rPr>
              <w:t>采购内容</w:t>
            </w:r>
          </w:p>
        </w:tc>
        <w:tc>
          <w:tcPr>
            <w:tcW w:w="1031" w:type="dxa"/>
            <w:vAlign w:val="center"/>
          </w:tcPr>
          <w:p w14:paraId="40A36A44">
            <w:pPr>
              <w:spacing w:before="120" w:beforeLines="50"/>
              <w:jc w:val="center"/>
              <w:rPr>
                <w:rFonts w:hint="eastAsia" w:ascii="宋体" w:hAnsi="宋体" w:cs="宋体"/>
                <w:szCs w:val="21"/>
              </w:rPr>
            </w:pPr>
            <w:r>
              <w:rPr>
                <w:rFonts w:hint="eastAsia" w:ascii="宋体" w:hAnsi="宋体" w:cs="宋体"/>
                <w:szCs w:val="21"/>
              </w:rPr>
              <w:t>合同金额（万元）</w:t>
            </w:r>
          </w:p>
        </w:tc>
        <w:tc>
          <w:tcPr>
            <w:tcW w:w="927" w:type="dxa"/>
            <w:vAlign w:val="center"/>
          </w:tcPr>
          <w:p w14:paraId="5830953C">
            <w:pPr>
              <w:spacing w:before="120" w:beforeLines="50"/>
              <w:jc w:val="center"/>
              <w:rPr>
                <w:rFonts w:hint="eastAsia" w:ascii="宋体" w:hAnsi="宋体" w:cs="宋体"/>
                <w:szCs w:val="21"/>
              </w:rPr>
            </w:pPr>
            <w:r>
              <w:rPr>
                <w:rFonts w:hint="eastAsia" w:ascii="宋体" w:hAnsi="宋体" w:cs="宋体"/>
                <w:szCs w:val="21"/>
              </w:rPr>
              <w:t>合同乙方</w:t>
            </w:r>
          </w:p>
        </w:tc>
        <w:tc>
          <w:tcPr>
            <w:tcW w:w="927" w:type="dxa"/>
            <w:vAlign w:val="center"/>
          </w:tcPr>
          <w:p w14:paraId="5AD9F32A">
            <w:pPr>
              <w:spacing w:before="120" w:beforeLines="50"/>
              <w:jc w:val="center"/>
              <w:rPr>
                <w:rFonts w:hint="eastAsia" w:ascii="宋体" w:hAnsi="宋体" w:cs="宋体"/>
                <w:szCs w:val="21"/>
              </w:rPr>
            </w:pPr>
            <w:r>
              <w:rPr>
                <w:rFonts w:hint="eastAsia" w:ascii="宋体" w:hAnsi="宋体" w:cs="宋体"/>
                <w:szCs w:val="21"/>
              </w:rPr>
              <w:t>合同甲方</w:t>
            </w:r>
          </w:p>
        </w:tc>
        <w:tc>
          <w:tcPr>
            <w:tcW w:w="1181" w:type="dxa"/>
            <w:vAlign w:val="center"/>
          </w:tcPr>
          <w:p w14:paraId="76528053">
            <w:pPr>
              <w:spacing w:before="120" w:beforeLines="50"/>
              <w:jc w:val="center"/>
              <w:rPr>
                <w:rFonts w:hint="eastAsia" w:ascii="宋体" w:hAnsi="宋体" w:cs="宋体"/>
                <w:szCs w:val="21"/>
              </w:rPr>
            </w:pPr>
            <w:r>
              <w:rPr>
                <w:rFonts w:hint="eastAsia" w:ascii="宋体" w:hAnsi="宋体" w:cs="宋体"/>
                <w:szCs w:val="21"/>
              </w:rPr>
              <w:t>合同甲方联系人及联系电话</w:t>
            </w:r>
          </w:p>
        </w:tc>
        <w:tc>
          <w:tcPr>
            <w:tcW w:w="992" w:type="dxa"/>
            <w:vAlign w:val="center"/>
          </w:tcPr>
          <w:p w14:paraId="5611E9D6">
            <w:pPr>
              <w:spacing w:before="120" w:beforeLines="50"/>
              <w:jc w:val="center"/>
              <w:rPr>
                <w:rFonts w:hint="eastAsia" w:ascii="宋体" w:hAnsi="宋体" w:cs="宋体"/>
                <w:szCs w:val="21"/>
              </w:rPr>
            </w:pPr>
            <w:r>
              <w:rPr>
                <w:rFonts w:hint="eastAsia" w:ascii="宋体" w:hAnsi="宋体" w:cs="宋体"/>
                <w:szCs w:val="21"/>
              </w:rPr>
              <w:t>备注</w:t>
            </w:r>
          </w:p>
        </w:tc>
      </w:tr>
      <w:tr w14:paraId="6C095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26" w:type="dxa"/>
          </w:tcPr>
          <w:p w14:paraId="495476D6">
            <w:pPr>
              <w:spacing w:before="120" w:beforeLines="50" w:line="520" w:lineRule="exact"/>
              <w:jc w:val="center"/>
              <w:rPr>
                <w:rFonts w:hint="eastAsia" w:ascii="宋体" w:hAnsi="宋体" w:cs="宋体"/>
                <w:szCs w:val="21"/>
              </w:rPr>
            </w:pPr>
          </w:p>
        </w:tc>
        <w:tc>
          <w:tcPr>
            <w:tcW w:w="724" w:type="dxa"/>
          </w:tcPr>
          <w:p w14:paraId="485FC3BD">
            <w:pPr>
              <w:spacing w:before="120" w:beforeLines="50" w:line="520" w:lineRule="exact"/>
              <w:jc w:val="center"/>
              <w:rPr>
                <w:rFonts w:hint="eastAsia" w:ascii="宋体" w:hAnsi="宋体" w:cs="宋体"/>
                <w:szCs w:val="21"/>
              </w:rPr>
            </w:pPr>
          </w:p>
        </w:tc>
        <w:tc>
          <w:tcPr>
            <w:tcW w:w="927" w:type="dxa"/>
          </w:tcPr>
          <w:p w14:paraId="1CE4F4E4">
            <w:pPr>
              <w:spacing w:before="120" w:beforeLines="50" w:line="520" w:lineRule="exact"/>
              <w:jc w:val="center"/>
              <w:rPr>
                <w:rFonts w:hint="eastAsia" w:ascii="宋体" w:hAnsi="宋体" w:cs="宋体"/>
                <w:szCs w:val="21"/>
              </w:rPr>
            </w:pPr>
          </w:p>
        </w:tc>
        <w:tc>
          <w:tcPr>
            <w:tcW w:w="1031" w:type="dxa"/>
          </w:tcPr>
          <w:p w14:paraId="16939065">
            <w:pPr>
              <w:spacing w:before="120" w:beforeLines="50" w:line="520" w:lineRule="exact"/>
              <w:jc w:val="center"/>
              <w:rPr>
                <w:rFonts w:hint="eastAsia" w:ascii="宋体" w:hAnsi="宋体" w:cs="宋体"/>
                <w:szCs w:val="21"/>
              </w:rPr>
            </w:pPr>
          </w:p>
        </w:tc>
        <w:tc>
          <w:tcPr>
            <w:tcW w:w="1031" w:type="dxa"/>
          </w:tcPr>
          <w:p w14:paraId="361723B2">
            <w:pPr>
              <w:spacing w:before="120" w:beforeLines="50" w:line="520" w:lineRule="exact"/>
              <w:jc w:val="center"/>
              <w:rPr>
                <w:rFonts w:hint="eastAsia" w:ascii="宋体" w:hAnsi="宋体" w:cs="宋体"/>
                <w:szCs w:val="21"/>
              </w:rPr>
            </w:pPr>
          </w:p>
        </w:tc>
        <w:tc>
          <w:tcPr>
            <w:tcW w:w="1031" w:type="dxa"/>
          </w:tcPr>
          <w:p w14:paraId="30C13590">
            <w:pPr>
              <w:spacing w:before="120" w:beforeLines="50" w:line="520" w:lineRule="exact"/>
              <w:jc w:val="center"/>
              <w:rPr>
                <w:rFonts w:hint="eastAsia" w:ascii="宋体" w:hAnsi="宋体" w:cs="宋体"/>
                <w:szCs w:val="21"/>
              </w:rPr>
            </w:pPr>
          </w:p>
        </w:tc>
        <w:tc>
          <w:tcPr>
            <w:tcW w:w="927" w:type="dxa"/>
          </w:tcPr>
          <w:p w14:paraId="7F309D3D">
            <w:pPr>
              <w:spacing w:before="120" w:beforeLines="50" w:line="520" w:lineRule="exact"/>
              <w:jc w:val="center"/>
              <w:rPr>
                <w:rFonts w:hint="eastAsia" w:ascii="宋体" w:hAnsi="宋体" w:cs="宋体"/>
                <w:szCs w:val="21"/>
              </w:rPr>
            </w:pPr>
          </w:p>
        </w:tc>
        <w:tc>
          <w:tcPr>
            <w:tcW w:w="927" w:type="dxa"/>
          </w:tcPr>
          <w:p w14:paraId="070D3BC1">
            <w:pPr>
              <w:spacing w:before="120" w:beforeLines="50" w:line="520" w:lineRule="exact"/>
              <w:jc w:val="center"/>
              <w:rPr>
                <w:rFonts w:hint="eastAsia" w:ascii="宋体" w:hAnsi="宋体" w:cs="宋体"/>
                <w:szCs w:val="21"/>
              </w:rPr>
            </w:pPr>
          </w:p>
        </w:tc>
        <w:tc>
          <w:tcPr>
            <w:tcW w:w="1181" w:type="dxa"/>
          </w:tcPr>
          <w:p w14:paraId="21BA01B4">
            <w:pPr>
              <w:spacing w:before="120" w:beforeLines="50" w:line="520" w:lineRule="exact"/>
              <w:jc w:val="center"/>
              <w:rPr>
                <w:rFonts w:hint="eastAsia" w:ascii="宋体" w:hAnsi="宋体" w:cs="宋体"/>
                <w:szCs w:val="21"/>
              </w:rPr>
            </w:pPr>
          </w:p>
        </w:tc>
        <w:tc>
          <w:tcPr>
            <w:tcW w:w="992" w:type="dxa"/>
          </w:tcPr>
          <w:p w14:paraId="77E01EC5">
            <w:pPr>
              <w:spacing w:before="120" w:beforeLines="50" w:line="520" w:lineRule="exact"/>
              <w:jc w:val="center"/>
              <w:rPr>
                <w:rFonts w:hint="eastAsia" w:ascii="宋体" w:hAnsi="宋体" w:cs="宋体"/>
                <w:szCs w:val="21"/>
              </w:rPr>
            </w:pPr>
          </w:p>
        </w:tc>
      </w:tr>
      <w:tr w14:paraId="7A44B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726" w:type="dxa"/>
          </w:tcPr>
          <w:p w14:paraId="3D6499C0">
            <w:pPr>
              <w:spacing w:before="120" w:beforeLines="50" w:line="520" w:lineRule="exact"/>
              <w:jc w:val="center"/>
              <w:rPr>
                <w:rFonts w:hint="eastAsia" w:ascii="宋体" w:hAnsi="宋体" w:cs="宋体"/>
                <w:szCs w:val="21"/>
              </w:rPr>
            </w:pPr>
          </w:p>
        </w:tc>
        <w:tc>
          <w:tcPr>
            <w:tcW w:w="724" w:type="dxa"/>
          </w:tcPr>
          <w:p w14:paraId="576B2574">
            <w:pPr>
              <w:spacing w:before="120" w:beforeLines="50" w:line="520" w:lineRule="exact"/>
              <w:jc w:val="center"/>
              <w:rPr>
                <w:rFonts w:hint="eastAsia" w:ascii="宋体" w:hAnsi="宋体" w:cs="宋体"/>
                <w:szCs w:val="21"/>
              </w:rPr>
            </w:pPr>
          </w:p>
        </w:tc>
        <w:tc>
          <w:tcPr>
            <w:tcW w:w="927" w:type="dxa"/>
          </w:tcPr>
          <w:p w14:paraId="4488B0A7">
            <w:pPr>
              <w:spacing w:before="120" w:beforeLines="50" w:line="520" w:lineRule="exact"/>
              <w:jc w:val="center"/>
              <w:rPr>
                <w:rFonts w:hint="eastAsia" w:ascii="宋体" w:hAnsi="宋体" w:cs="宋体"/>
                <w:szCs w:val="21"/>
              </w:rPr>
            </w:pPr>
          </w:p>
        </w:tc>
        <w:tc>
          <w:tcPr>
            <w:tcW w:w="1031" w:type="dxa"/>
          </w:tcPr>
          <w:p w14:paraId="4AEDC485">
            <w:pPr>
              <w:spacing w:before="120" w:beforeLines="50" w:line="520" w:lineRule="exact"/>
              <w:jc w:val="center"/>
              <w:rPr>
                <w:rFonts w:hint="eastAsia" w:ascii="宋体" w:hAnsi="宋体" w:cs="宋体"/>
                <w:szCs w:val="21"/>
              </w:rPr>
            </w:pPr>
          </w:p>
        </w:tc>
        <w:tc>
          <w:tcPr>
            <w:tcW w:w="1031" w:type="dxa"/>
          </w:tcPr>
          <w:p w14:paraId="1E98F198">
            <w:pPr>
              <w:spacing w:before="120" w:beforeLines="50" w:line="520" w:lineRule="exact"/>
              <w:jc w:val="center"/>
              <w:rPr>
                <w:rFonts w:hint="eastAsia" w:ascii="宋体" w:hAnsi="宋体" w:cs="宋体"/>
                <w:szCs w:val="21"/>
              </w:rPr>
            </w:pPr>
          </w:p>
        </w:tc>
        <w:tc>
          <w:tcPr>
            <w:tcW w:w="1031" w:type="dxa"/>
          </w:tcPr>
          <w:p w14:paraId="6C790E70">
            <w:pPr>
              <w:spacing w:before="120" w:beforeLines="50" w:line="520" w:lineRule="exact"/>
              <w:jc w:val="center"/>
              <w:rPr>
                <w:rFonts w:hint="eastAsia" w:ascii="宋体" w:hAnsi="宋体" w:cs="宋体"/>
                <w:szCs w:val="21"/>
              </w:rPr>
            </w:pPr>
          </w:p>
        </w:tc>
        <w:tc>
          <w:tcPr>
            <w:tcW w:w="927" w:type="dxa"/>
          </w:tcPr>
          <w:p w14:paraId="7B2BBDB1">
            <w:pPr>
              <w:spacing w:before="120" w:beforeLines="50" w:line="520" w:lineRule="exact"/>
              <w:jc w:val="center"/>
              <w:rPr>
                <w:rFonts w:hint="eastAsia" w:ascii="宋体" w:hAnsi="宋体" w:cs="宋体"/>
                <w:szCs w:val="21"/>
              </w:rPr>
            </w:pPr>
          </w:p>
        </w:tc>
        <w:tc>
          <w:tcPr>
            <w:tcW w:w="927" w:type="dxa"/>
          </w:tcPr>
          <w:p w14:paraId="58193BCA">
            <w:pPr>
              <w:spacing w:before="120" w:beforeLines="50" w:line="520" w:lineRule="exact"/>
              <w:jc w:val="center"/>
              <w:rPr>
                <w:rFonts w:hint="eastAsia" w:ascii="宋体" w:hAnsi="宋体" w:cs="宋体"/>
                <w:szCs w:val="21"/>
              </w:rPr>
            </w:pPr>
          </w:p>
        </w:tc>
        <w:tc>
          <w:tcPr>
            <w:tcW w:w="1181" w:type="dxa"/>
          </w:tcPr>
          <w:p w14:paraId="5B17A466">
            <w:pPr>
              <w:spacing w:before="120" w:beforeLines="50" w:line="520" w:lineRule="exact"/>
              <w:jc w:val="center"/>
              <w:rPr>
                <w:rFonts w:hint="eastAsia" w:ascii="宋体" w:hAnsi="宋体" w:cs="宋体"/>
                <w:szCs w:val="21"/>
              </w:rPr>
            </w:pPr>
          </w:p>
        </w:tc>
        <w:tc>
          <w:tcPr>
            <w:tcW w:w="992" w:type="dxa"/>
          </w:tcPr>
          <w:p w14:paraId="350ACC19">
            <w:pPr>
              <w:spacing w:before="120" w:beforeLines="50" w:line="520" w:lineRule="exact"/>
              <w:jc w:val="center"/>
              <w:rPr>
                <w:rFonts w:hint="eastAsia" w:ascii="宋体" w:hAnsi="宋体" w:cs="宋体"/>
                <w:szCs w:val="21"/>
              </w:rPr>
            </w:pPr>
          </w:p>
        </w:tc>
      </w:tr>
      <w:tr w14:paraId="5A71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726" w:type="dxa"/>
          </w:tcPr>
          <w:p w14:paraId="39F746BC">
            <w:pPr>
              <w:spacing w:before="120" w:beforeLines="50" w:line="520" w:lineRule="exact"/>
              <w:jc w:val="center"/>
              <w:rPr>
                <w:rFonts w:hint="eastAsia" w:ascii="宋体" w:hAnsi="宋体" w:cs="宋体"/>
                <w:szCs w:val="21"/>
              </w:rPr>
            </w:pPr>
          </w:p>
        </w:tc>
        <w:tc>
          <w:tcPr>
            <w:tcW w:w="724" w:type="dxa"/>
          </w:tcPr>
          <w:p w14:paraId="5E615F74">
            <w:pPr>
              <w:spacing w:before="120" w:beforeLines="50" w:line="520" w:lineRule="exact"/>
              <w:jc w:val="center"/>
              <w:rPr>
                <w:rFonts w:hint="eastAsia" w:ascii="宋体" w:hAnsi="宋体" w:cs="宋体"/>
                <w:szCs w:val="21"/>
              </w:rPr>
            </w:pPr>
          </w:p>
        </w:tc>
        <w:tc>
          <w:tcPr>
            <w:tcW w:w="927" w:type="dxa"/>
          </w:tcPr>
          <w:p w14:paraId="5897D814">
            <w:pPr>
              <w:spacing w:before="120" w:beforeLines="50" w:line="520" w:lineRule="exact"/>
              <w:jc w:val="center"/>
              <w:rPr>
                <w:rFonts w:hint="eastAsia" w:ascii="宋体" w:hAnsi="宋体" w:cs="宋体"/>
                <w:szCs w:val="21"/>
              </w:rPr>
            </w:pPr>
          </w:p>
        </w:tc>
        <w:tc>
          <w:tcPr>
            <w:tcW w:w="1031" w:type="dxa"/>
          </w:tcPr>
          <w:p w14:paraId="54496988">
            <w:pPr>
              <w:spacing w:before="120" w:beforeLines="50" w:line="520" w:lineRule="exact"/>
              <w:jc w:val="center"/>
              <w:rPr>
                <w:rFonts w:hint="eastAsia" w:ascii="宋体" w:hAnsi="宋体" w:cs="宋体"/>
                <w:szCs w:val="21"/>
              </w:rPr>
            </w:pPr>
          </w:p>
        </w:tc>
        <w:tc>
          <w:tcPr>
            <w:tcW w:w="1031" w:type="dxa"/>
          </w:tcPr>
          <w:p w14:paraId="1F626053">
            <w:pPr>
              <w:spacing w:before="120" w:beforeLines="50" w:line="520" w:lineRule="exact"/>
              <w:jc w:val="center"/>
              <w:rPr>
                <w:rFonts w:hint="eastAsia" w:ascii="宋体" w:hAnsi="宋体" w:cs="宋体"/>
                <w:szCs w:val="21"/>
              </w:rPr>
            </w:pPr>
          </w:p>
        </w:tc>
        <w:tc>
          <w:tcPr>
            <w:tcW w:w="1031" w:type="dxa"/>
          </w:tcPr>
          <w:p w14:paraId="1C16026F">
            <w:pPr>
              <w:spacing w:before="120" w:beforeLines="50" w:line="520" w:lineRule="exact"/>
              <w:jc w:val="center"/>
              <w:rPr>
                <w:rFonts w:hint="eastAsia" w:ascii="宋体" w:hAnsi="宋体" w:cs="宋体"/>
                <w:szCs w:val="21"/>
              </w:rPr>
            </w:pPr>
          </w:p>
        </w:tc>
        <w:tc>
          <w:tcPr>
            <w:tcW w:w="927" w:type="dxa"/>
          </w:tcPr>
          <w:p w14:paraId="13680B3B">
            <w:pPr>
              <w:spacing w:before="120" w:beforeLines="50" w:line="520" w:lineRule="exact"/>
              <w:jc w:val="center"/>
              <w:rPr>
                <w:rFonts w:hint="eastAsia" w:ascii="宋体" w:hAnsi="宋体" w:cs="宋体"/>
                <w:szCs w:val="21"/>
              </w:rPr>
            </w:pPr>
          </w:p>
        </w:tc>
        <w:tc>
          <w:tcPr>
            <w:tcW w:w="927" w:type="dxa"/>
          </w:tcPr>
          <w:p w14:paraId="1983A509">
            <w:pPr>
              <w:spacing w:before="120" w:beforeLines="50" w:line="520" w:lineRule="exact"/>
              <w:jc w:val="center"/>
              <w:rPr>
                <w:rFonts w:hint="eastAsia" w:ascii="宋体" w:hAnsi="宋体" w:cs="宋体"/>
                <w:szCs w:val="21"/>
              </w:rPr>
            </w:pPr>
          </w:p>
        </w:tc>
        <w:tc>
          <w:tcPr>
            <w:tcW w:w="1181" w:type="dxa"/>
          </w:tcPr>
          <w:p w14:paraId="6A5F1280">
            <w:pPr>
              <w:spacing w:before="120" w:beforeLines="50" w:line="520" w:lineRule="exact"/>
              <w:jc w:val="center"/>
              <w:rPr>
                <w:rFonts w:hint="eastAsia" w:ascii="宋体" w:hAnsi="宋体" w:cs="宋体"/>
                <w:szCs w:val="21"/>
              </w:rPr>
            </w:pPr>
          </w:p>
        </w:tc>
        <w:tc>
          <w:tcPr>
            <w:tcW w:w="992" w:type="dxa"/>
          </w:tcPr>
          <w:p w14:paraId="5C55963C">
            <w:pPr>
              <w:spacing w:before="120" w:beforeLines="50" w:line="520" w:lineRule="exact"/>
              <w:jc w:val="center"/>
              <w:rPr>
                <w:rFonts w:hint="eastAsia" w:ascii="宋体" w:hAnsi="宋体" w:cs="宋体"/>
                <w:szCs w:val="21"/>
              </w:rPr>
            </w:pPr>
          </w:p>
        </w:tc>
      </w:tr>
      <w:tr w14:paraId="671D8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5470" w:type="dxa"/>
            <w:gridSpan w:val="6"/>
            <w:vAlign w:val="center"/>
          </w:tcPr>
          <w:p w14:paraId="4A45307F">
            <w:pPr>
              <w:spacing w:before="120" w:beforeLines="50"/>
              <w:jc w:val="center"/>
              <w:rPr>
                <w:rFonts w:hint="eastAsia" w:ascii="宋体" w:hAnsi="宋体" w:cs="宋体"/>
                <w:szCs w:val="21"/>
              </w:rPr>
            </w:pPr>
            <w:r>
              <w:rPr>
                <w:rFonts w:hint="eastAsia" w:ascii="宋体" w:hAnsi="宋体" w:cs="宋体"/>
                <w:szCs w:val="21"/>
              </w:rPr>
              <w:t>合同金额合计：</w:t>
            </w:r>
          </w:p>
        </w:tc>
        <w:tc>
          <w:tcPr>
            <w:tcW w:w="4027" w:type="dxa"/>
            <w:gridSpan w:val="4"/>
            <w:vAlign w:val="center"/>
          </w:tcPr>
          <w:p w14:paraId="5B6259D8">
            <w:pPr>
              <w:spacing w:before="120" w:beforeLines="50"/>
              <w:jc w:val="center"/>
              <w:rPr>
                <w:rFonts w:hint="eastAsia" w:ascii="宋体" w:hAnsi="宋体" w:cs="宋体"/>
                <w:szCs w:val="21"/>
                <w:u w:val="single"/>
              </w:rPr>
            </w:pPr>
            <w:r>
              <w:rPr>
                <w:rFonts w:hint="eastAsia" w:ascii="宋体" w:hAnsi="宋体" w:cs="宋体"/>
                <w:szCs w:val="21"/>
              </w:rPr>
              <w:t>人民币万元</w:t>
            </w:r>
          </w:p>
        </w:tc>
      </w:tr>
    </w:tbl>
    <w:p w14:paraId="72F3EAAE">
      <w:pPr>
        <w:spacing w:line="400" w:lineRule="exact"/>
        <w:ind w:firstLine="630" w:firstLineChars="300"/>
        <w:jc w:val="left"/>
        <w:rPr>
          <w:rFonts w:hint="eastAsia" w:ascii="宋体" w:hAnsi="宋体" w:cs="宋体"/>
          <w:szCs w:val="21"/>
        </w:rPr>
      </w:pPr>
      <w:r>
        <w:rPr>
          <w:rFonts w:hint="eastAsia" w:ascii="宋体" w:hAnsi="宋体" w:cs="宋体"/>
          <w:szCs w:val="21"/>
        </w:rPr>
        <w:t>注：需同时提供合同或订单（包含供货清单或服务内容等相关内容）等相关证明材料。资料不全、评审委员会无法确定业绩的不予认可</w:t>
      </w:r>
    </w:p>
    <w:p w14:paraId="127F0AC7">
      <w:pPr>
        <w:pStyle w:val="81"/>
        <w:ind w:left="1573" w:hanging="1573" w:hangingChars="746"/>
        <w:jc w:val="left"/>
        <w:rPr>
          <w:rFonts w:hint="eastAsia" w:ascii="宋体" w:hAnsi="宋体"/>
          <w:b/>
          <w:szCs w:val="21"/>
        </w:rPr>
      </w:pPr>
    </w:p>
    <w:p w14:paraId="2ECD279F">
      <w:pPr>
        <w:spacing w:line="440" w:lineRule="exact"/>
        <w:ind w:firstLine="3570" w:firstLineChars="1700"/>
        <w:jc w:val="right"/>
        <w:rPr>
          <w:rFonts w:hint="eastAsia" w:ascii="宋体" w:hAnsi="宋体"/>
        </w:rPr>
      </w:pPr>
      <w:r>
        <w:rPr>
          <w:rFonts w:hint="eastAsia" w:ascii="宋体" w:hAnsi="宋体"/>
        </w:rPr>
        <w:t>投标人名称：</w:t>
      </w:r>
      <w:r>
        <w:rPr>
          <w:rFonts w:ascii="宋体" w:hAnsi="宋体"/>
          <w:u w:val="single"/>
        </w:rPr>
        <w:t xml:space="preserve">     </w:t>
      </w:r>
      <w:r>
        <w:rPr>
          <w:rFonts w:hint="eastAsia" w:ascii="宋体" w:hAnsi="宋体"/>
        </w:rPr>
        <w:t>（盖章）</w:t>
      </w:r>
    </w:p>
    <w:p w14:paraId="0F75C280">
      <w:pPr>
        <w:spacing w:line="440" w:lineRule="exact"/>
        <w:jc w:val="right"/>
        <w:rPr>
          <w:rFonts w:hint="eastAsia" w:ascii="宋体" w:hAnsi="宋体"/>
          <w:szCs w:val="21"/>
        </w:rPr>
      </w:pPr>
      <w:r>
        <w:rPr>
          <w:rFonts w:hint="eastAsia" w:ascii="宋体" w:hAnsi="宋体"/>
        </w:rPr>
        <w:t>投标人</w:t>
      </w:r>
      <w:r>
        <w:rPr>
          <w:rFonts w:hint="eastAsia" w:ascii="宋体" w:hAnsi="宋体"/>
          <w:szCs w:val="21"/>
        </w:rPr>
        <w:t>法定代表人或委托代理人：</w:t>
      </w:r>
      <w:r>
        <w:rPr>
          <w:rFonts w:ascii="宋体" w:hAnsi="宋体"/>
          <w:szCs w:val="21"/>
          <w:u w:val="single"/>
        </w:rPr>
        <w:t xml:space="preserve">     </w:t>
      </w:r>
      <w:r>
        <w:rPr>
          <w:rFonts w:hint="eastAsia" w:ascii="宋体" w:hAnsi="宋体"/>
          <w:szCs w:val="21"/>
        </w:rPr>
        <w:t>（签字或盖签名章）</w:t>
      </w:r>
    </w:p>
    <w:p w14:paraId="33B363C5">
      <w:pPr>
        <w:spacing w:line="440" w:lineRule="exact"/>
        <w:jc w:val="right"/>
        <w:rPr>
          <w:rFonts w:hint="eastAsia" w:ascii="宋体" w:hAnsi="宋体"/>
        </w:rPr>
      </w:pPr>
      <w:r>
        <w:rPr>
          <w:rFonts w:hint="eastAsia" w:ascii="宋体" w:hAnsi="宋体"/>
        </w:rPr>
        <w:t>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p w14:paraId="04074A0C">
      <w:pPr>
        <w:widowControl/>
        <w:jc w:val="left"/>
        <w:rPr>
          <w:rFonts w:hint="eastAsia" w:ascii="宋体" w:hAnsi="宋体"/>
          <w:kern w:val="0"/>
          <w:szCs w:val="21"/>
        </w:rPr>
      </w:pPr>
      <w:r>
        <w:rPr>
          <w:rFonts w:ascii="宋体" w:hAnsi="宋体"/>
          <w:szCs w:val="21"/>
        </w:rPr>
        <w:br w:type="page"/>
      </w:r>
    </w:p>
    <w:p w14:paraId="26B05ACB">
      <w:pPr>
        <w:pStyle w:val="3"/>
        <w:jc w:val="center"/>
        <w:rPr>
          <w:rFonts w:hint="eastAsia" w:ascii="宋体" w:hAnsi="宋体" w:eastAsia="宋体"/>
          <w:sz w:val="28"/>
          <w:szCs w:val="28"/>
        </w:rPr>
      </w:pPr>
      <w:bookmarkStart w:id="689" w:name="_Toc398126258"/>
      <w:bookmarkStart w:id="690" w:name="_Toc214432859"/>
      <w:r>
        <w:rPr>
          <w:rFonts w:hint="eastAsia" w:ascii="宋体" w:hAnsi="宋体" w:eastAsia="宋体"/>
          <w:sz w:val="28"/>
          <w:szCs w:val="28"/>
        </w:rPr>
        <w:t>九、财务状况表</w:t>
      </w:r>
      <w:bookmarkEnd w:id="689"/>
      <w:bookmarkEnd w:id="690"/>
    </w:p>
    <w:p w14:paraId="5697EC92">
      <w:pPr>
        <w:ind w:firstLine="316" w:firstLineChars="150"/>
        <w:rPr>
          <w:rFonts w:hint="eastAsia" w:ascii="宋体" w:hAnsi="宋体"/>
          <w:b/>
          <w:szCs w:val="21"/>
        </w:rPr>
      </w:pPr>
      <w:r>
        <w:rPr>
          <w:rFonts w:hint="eastAsia" w:ascii="宋体" w:hAnsi="宋体"/>
          <w:b/>
          <w:szCs w:val="21"/>
        </w:rPr>
        <w:t>提供经会计师事务所或审计机构审计的财务审计报告（文字性报告）及报表（必须包含资产负债表、现金流量表、利润表），如投标人提供合并财务报表但未同时提供母公司报表的视为未提供。</w:t>
      </w:r>
    </w:p>
    <w:p w14:paraId="1D5B7A2D">
      <w:pPr>
        <w:pStyle w:val="42"/>
        <w:ind w:firstLine="280"/>
      </w:pPr>
    </w:p>
    <w:p w14:paraId="596AE1B8">
      <w:pPr>
        <w:pStyle w:val="42"/>
        <w:ind w:firstLine="280"/>
      </w:pPr>
    </w:p>
    <w:p w14:paraId="746233B8">
      <w:pPr>
        <w:pStyle w:val="42"/>
        <w:ind w:firstLine="280"/>
      </w:pPr>
    </w:p>
    <w:p w14:paraId="76671EEA">
      <w:pPr>
        <w:ind w:firstLine="316" w:firstLineChars="150"/>
        <w:rPr>
          <w:rFonts w:hint="eastAsia" w:ascii="宋体" w:hAnsi="宋体"/>
          <w:b/>
          <w:szCs w:val="21"/>
        </w:rPr>
      </w:pPr>
    </w:p>
    <w:p w14:paraId="6D19E79F">
      <w:pPr>
        <w:spacing w:line="440" w:lineRule="exact"/>
        <w:ind w:firstLine="3570" w:firstLineChars="1700"/>
        <w:jc w:val="right"/>
        <w:rPr>
          <w:rFonts w:hint="eastAsia" w:ascii="宋体" w:hAnsi="宋体"/>
        </w:rPr>
      </w:pPr>
      <w:r>
        <w:rPr>
          <w:rFonts w:hint="eastAsia" w:ascii="宋体" w:hAnsi="宋体"/>
        </w:rPr>
        <w:t>投标人名称：</w:t>
      </w:r>
      <w:r>
        <w:rPr>
          <w:rFonts w:ascii="宋体" w:hAnsi="宋体"/>
          <w:u w:val="single"/>
        </w:rPr>
        <w:t xml:space="preserve">     </w:t>
      </w:r>
      <w:r>
        <w:rPr>
          <w:rFonts w:hint="eastAsia" w:ascii="宋体" w:hAnsi="宋体"/>
        </w:rPr>
        <w:t>（盖章）</w:t>
      </w:r>
    </w:p>
    <w:p w14:paraId="15D7BF44">
      <w:pPr>
        <w:spacing w:line="440" w:lineRule="exact"/>
        <w:jc w:val="right"/>
        <w:rPr>
          <w:rFonts w:hint="eastAsia" w:ascii="宋体" w:hAnsi="宋体"/>
        </w:rPr>
      </w:pPr>
      <w:r>
        <w:rPr>
          <w:rFonts w:hint="eastAsia" w:ascii="宋体" w:hAnsi="宋体"/>
        </w:rPr>
        <w:t>投标人</w:t>
      </w:r>
      <w:r>
        <w:rPr>
          <w:rFonts w:hint="eastAsia" w:ascii="宋体" w:hAnsi="宋体"/>
          <w:szCs w:val="21"/>
        </w:rPr>
        <w:t>法定代表人或委托代理人：</w:t>
      </w:r>
      <w:r>
        <w:rPr>
          <w:rFonts w:ascii="宋体" w:hAnsi="宋体"/>
          <w:szCs w:val="21"/>
          <w:u w:val="single"/>
        </w:rPr>
        <w:t xml:space="preserve">     </w:t>
      </w:r>
      <w:r>
        <w:rPr>
          <w:rFonts w:hint="eastAsia" w:ascii="宋体" w:hAnsi="宋体"/>
          <w:szCs w:val="21"/>
        </w:rPr>
        <w:t>（签字或盖签名章）</w:t>
      </w:r>
    </w:p>
    <w:p w14:paraId="10D15AF7">
      <w:pPr>
        <w:ind w:firstLine="315" w:firstLineChars="150"/>
        <w:jc w:val="right"/>
        <w:rPr>
          <w:rFonts w:hint="eastAsia" w:ascii="宋体" w:hAnsi="宋体"/>
          <w:b/>
          <w:szCs w:val="21"/>
        </w:rPr>
      </w:pPr>
      <w:r>
        <w:rPr>
          <w:rFonts w:hint="eastAsia" w:ascii="宋体" w:hAnsi="宋体"/>
        </w:rPr>
        <w:t>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p w14:paraId="4A9B5F3E">
      <w:pPr>
        <w:ind w:firstLine="316" w:firstLineChars="150"/>
        <w:rPr>
          <w:rFonts w:hint="eastAsia" w:ascii="宋体" w:hAnsi="宋体"/>
          <w:b/>
          <w:szCs w:val="21"/>
        </w:rPr>
      </w:pPr>
    </w:p>
    <w:p w14:paraId="45A19920">
      <w:pPr>
        <w:ind w:firstLine="316" w:firstLineChars="150"/>
        <w:rPr>
          <w:rFonts w:hint="eastAsia" w:ascii="宋体" w:hAnsi="宋体"/>
          <w:b/>
          <w:szCs w:val="21"/>
        </w:rPr>
      </w:pPr>
    </w:p>
    <w:p w14:paraId="637C4507">
      <w:pPr>
        <w:ind w:firstLine="316" w:firstLineChars="150"/>
        <w:rPr>
          <w:rFonts w:hint="eastAsia" w:ascii="宋体" w:hAnsi="宋体"/>
          <w:b/>
          <w:szCs w:val="21"/>
        </w:rPr>
      </w:pPr>
    </w:p>
    <w:p w14:paraId="317106AB">
      <w:pPr>
        <w:ind w:firstLine="316" w:firstLineChars="150"/>
        <w:rPr>
          <w:rFonts w:hint="eastAsia" w:ascii="宋体" w:hAnsi="宋体"/>
          <w:b/>
          <w:szCs w:val="21"/>
        </w:rPr>
      </w:pPr>
    </w:p>
    <w:p w14:paraId="5819A1E4">
      <w:pPr>
        <w:ind w:firstLine="316" w:firstLineChars="150"/>
        <w:rPr>
          <w:rFonts w:hint="eastAsia" w:ascii="宋体" w:hAnsi="宋体"/>
          <w:b/>
          <w:szCs w:val="21"/>
        </w:rPr>
      </w:pPr>
    </w:p>
    <w:p w14:paraId="6A648483">
      <w:pPr>
        <w:ind w:firstLine="316" w:firstLineChars="150"/>
        <w:rPr>
          <w:rFonts w:hint="eastAsia" w:ascii="宋体" w:hAnsi="宋体"/>
          <w:b/>
          <w:szCs w:val="21"/>
        </w:rPr>
      </w:pPr>
    </w:p>
    <w:p w14:paraId="2D3C89E1">
      <w:pPr>
        <w:ind w:firstLine="316" w:firstLineChars="150"/>
        <w:rPr>
          <w:rFonts w:hint="eastAsia" w:ascii="宋体" w:hAnsi="宋体"/>
          <w:b/>
          <w:szCs w:val="21"/>
        </w:rPr>
      </w:pPr>
    </w:p>
    <w:p w14:paraId="068252FC">
      <w:pPr>
        <w:ind w:firstLine="316" w:firstLineChars="150"/>
        <w:rPr>
          <w:rFonts w:hint="eastAsia" w:ascii="宋体" w:hAnsi="宋体"/>
          <w:b/>
          <w:szCs w:val="21"/>
        </w:rPr>
      </w:pPr>
    </w:p>
    <w:p w14:paraId="50B643A5">
      <w:pPr>
        <w:ind w:firstLine="316" w:firstLineChars="150"/>
        <w:rPr>
          <w:rFonts w:hint="eastAsia" w:ascii="宋体" w:hAnsi="宋体"/>
          <w:b/>
          <w:szCs w:val="21"/>
        </w:rPr>
      </w:pPr>
    </w:p>
    <w:p w14:paraId="7B4DF052">
      <w:pPr>
        <w:ind w:firstLine="316" w:firstLineChars="150"/>
        <w:rPr>
          <w:rFonts w:hint="eastAsia" w:ascii="宋体" w:hAnsi="宋体"/>
          <w:b/>
          <w:szCs w:val="21"/>
        </w:rPr>
      </w:pPr>
    </w:p>
    <w:p w14:paraId="780982C1">
      <w:pPr>
        <w:ind w:firstLine="316" w:firstLineChars="150"/>
        <w:rPr>
          <w:rFonts w:hint="eastAsia" w:ascii="宋体" w:hAnsi="宋体"/>
          <w:b/>
          <w:szCs w:val="21"/>
        </w:rPr>
      </w:pPr>
    </w:p>
    <w:p w14:paraId="1FEA27D1">
      <w:pPr>
        <w:ind w:firstLine="316" w:firstLineChars="150"/>
        <w:rPr>
          <w:rFonts w:hint="eastAsia" w:ascii="宋体" w:hAnsi="宋体"/>
          <w:b/>
          <w:szCs w:val="21"/>
        </w:rPr>
      </w:pPr>
    </w:p>
    <w:p w14:paraId="75064095">
      <w:pPr>
        <w:ind w:firstLine="316" w:firstLineChars="150"/>
        <w:rPr>
          <w:rFonts w:hint="eastAsia" w:ascii="宋体" w:hAnsi="宋体"/>
          <w:b/>
          <w:szCs w:val="21"/>
        </w:rPr>
      </w:pPr>
    </w:p>
    <w:p w14:paraId="0BE89529">
      <w:pPr>
        <w:ind w:firstLine="316" w:firstLineChars="150"/>
        <w:rPr>
          <w:rFonts w:hint="eastAsia" w:ascii="宋体" w:hAnsi="宋体"/>
          <w:b/>
          <w:szCs w:val="21"/>
        </w:rPr>
      </w:pPr>
    </w:p>
    <w:p w14:paraId="74AEF146">
      <w:pPr>
        <w:ind w:firstLine="316" w:firstLineChars="150"/>
        <w:rPr>
          <w:rFonts w:hint="eastAsia" w:ascii="宋体" w:hAnsi="宋体"/>
          <w:b/>
          <w:szCs w:val="21"/>
        </w:rPr>
      </w:pPr>
    </w:p>
    <w:p w14:paraId="766B1126">
      <w:pPr>
        <w:ind w:firstLine="316" w:firstLineChars="150"/>
        <w:rPr>
          <w:rFonts w:hint="eastAsia" w:ascii="宋体" w:hAnsi="宋体"/>
          <w:b/>
          <w:szCs w:val="21"/>
        </w:rPr>
      </w:pPr>
    </w:p>
    <w:p w14:paraId="047DCF6D">
      <w:pPr>
        <w:ind w:firstLine="316" w:firstLineChars="150"/>
        <w:rPr>
          <w:rFonts w:hint="eastAsia" w:ascii="宋体" w:hAnsi="宋体"/>
          <w:b/>
          <w:szCs w:val="21"/>
        </w:rPr>
      </w:pPr>
    </w:p>
    <w:p w14:paraId="698B3C5F">
      <w:pPr>
        <w:ind w:firstLine="316" w:firstLineChars="150"/>
        <w:rPr>
          <w:rFonts w:hint="eastAsia" w:ascii="宋体" w:hAnsi="宋体"/>
          <w:b/>
          <w:szCs w:val="21"/>
        </w:rPr>
      </w:pPr>
    </w:p>
    <w:p w14:paraId="1D97F60F">
      <w:pPr>
        <w:ind w:firstLine="316" w:firstLineChars="150"/>
        <w:rPr>
          <w:rFonts w:hint="eastAsia" w:ascii="宋体" w:hAnsi="宋体"/>
          <w:b/>
          <w:szCs w:val="21"/>
        </w:rPr>
      </w:pPr>
    </w:p>
    <w:p w14:paraId="69C7665A">
      <w:pPr>
        <w:ind w:firstLine="316" w:firstLineChars="150"/>
        <w:rPr>
          <w:rFonts w:hint="eastAsia" w:ascii="宋体" w:hAnsi="宋体"/>
          <w:b/>
          <w:szCs w:val="21"/>
        </w:rPr>
      </w:pPr>
    </w:p>
    <w:p w14:paraId="21AE80C9">
      <w:pPr>
        <w:pStyle w:val="3"/>
        <w:jc w:val="center"/>
        <w:rPr>
          <w:rFonts w:hint="eastAsia" w:ascii="宋体" w:hAnsi="宋体" w:eastAsia="宋体"/>
          <w:sz w:val="28"/>
          <w:szCs w:val="28"/>
        </w:rPr>
      </w:pPr>
      <w:bookmarkStart w:id="691" w:name="_Toc454272299"/>
      <w:bookmarkStart w:id="692" w:name="_Toc477863051"/>
      <w:bookmarkStart w:id="693" w:name="_Toc214432860"/>
      <w:r>
        <w:rPr>
          <w:rFonts w:hint="eastAsia" w:ascii="宋体" w:hAnsi="宋体" w:eastAsia="宋体"/>
          <w:sz w:val="28"/>
          <w:szCs w:val="28"/>
        </w:rPr>
        <w:t>十、投标人不得存在情形</w:t>
      </w:r>
      <w:bookmarkEnd w:id="691"/>
      <w:r>
        <w:rPr>
          <w:rFonts w:hint="eastAsia" w:ascii="宋体" w:hAnsi="宋体" w:eastAsia="宋体"/>
          <w:sz w:val="28"/>
          <w:szCs w:val="28"/>
        </w:rPr>
        <w:t>的情况说明</w:t>
      </w:r>
      <w:bookmarkEnd w:id="692"/>
      <w:bookmarkEnd w:id="693"/>
    </w:p>
    <w:p w14:paraId="3E8F5CB0">
      <w:pPr>
        <w:autoSpaceDE w:val="0"/>
        <w:autoSpaceDN w:val="0"/>
        <w:spacing w:line="440" w:lineRule="exact"/>
        <w:rPr>
          <w:rFonts w:hint="eastAsia" w:ascii="宋体" w:hAnsi="宋体" w:cs="宋体"/>
          <w:b/>
          <w:szCs w:val="21"/>
        </w:rPr>
      </w:pPr>
      <w:r>
        <w:rPr>
          <w:rFonts w:hint="eastAsia" w:ascii="宋体" w:hAnsi="宋体"/>
          <w:b/>
          <w:szCs w:val="21"/>
        </w:rPr>
        <w:t>惠州交投能源投资有限公司</w:t>
      </w:r>
      <w:r>
        <w:rPr>
          <w:rFonts w:hint="eastAsia" w:ascii="宋体" w:hAnsi="宋体" w:cs="宋体"/>
          <w:b/>
          <w:szCs w:val="21"/>
        </w:rPr>
        <w:t>：</w:t>
      </w:r>
    </w:p>
    <w:p w14:paraId="1CE39239">
      <w:pPr>
        <w:autoSpaceDE w:val="0"/>
        <w:autoSpaceDN w:val="0"/>
        <w:spacing w:line="440" w:lineRule="exact"/>
        <w:ind w:firstLine="420" w:firstLineChars="200"/>
        <w:rPr>
          <w:rFonts w:hint="eastAsia" w:ascii="宋体" w:hAnsi="宋体" w:cs="宋体"/>
          <w:szCs w:val="21"/>
        </w:rPr>
      </w:pPr>
      <w:r>
        <w:rPr>
          <w:rFonts w:hint="eastAsia" w:ascii="宋体" w:hAnsi="宋体" w:cs="宋体"/>
          <w:szCs w:val="21"/>
        </w:rPr>
        <w:t>我公司自愿参加采购项目，为保证招投标活动公开、公平、公正，依据国家法律法规和廉洁从业相关规定，现承诺如下：</w:t>
      </w:r>
    </w:p>
    <w:p w14:paraId="616D56B8">
      <w:pPr>
        <w:autoSpaceDE w:val="0"/>
        <w:autoSpaceDN w:val="0"/>
        <w:spacing w:line="440" w:lineRule="exact"/>
        <w:ind w:firstLine="420" w:firstLineChars="200"/>
        <w:rPr>
          <w:rFonts w:hint="eastAsia" w:ascii="宋体" w:hAnsi="宋体" w:cs="宋体"/>
          <w:szCs w:val="21"/>
        </w:rPr>
      </w:pPr>
      <w:r>
        <w:rPr>
          <w:rFonts w:hint="eastAsia" w:ascii="宋体" w:hAnsi="宋体" w:cs="宋体"/>
          <w:szCs w:val="21"/>
        </w:rPr>
        <w:t>不得</w:t>
      </w:r>
      <w:r>
        <w:rPr>
          <w:rFonts w:ascii="宋体" w:hAnsi="宋体" w:cs="宋体"/>
          <w:szCs w:val="21"/>
        </w:rPr>
        <w:t>存在以下情形</w:t>
      </w:r>
      <w:r>
        <w:rPr>
          <w:rFonts w:hint="eastAsia" w:ascii="宋体" w:hAnsi="宋体" w:cs="宋体"/>
          <w:szCs w:val="21"/>
        </w:rPr>
        <w:t>之一</w:t>
      </w:r>
      <w:r>
        <w:rPr>
          <w:rFonts w:ascii="宋体" w:hAnsi="宋体" w:cs="宋体"/>
          <w:szCs w:val="21"/>
        </w:rPr>
        <w:t>：</w:t>
      </w:r>
    </w:p>
    <w:p w14:paraId="3AA4ABA8">
      <w:pPr>
        <w:pStyle w:val="81"/>
        <w:adjustRightInd w:val="0"/>
        <w:snapToGrid w:val="0"/>
        <w:spacing w:line="440" w:lineRule="exact"/>
        <w:rPr>
          <w:rFonts w:hint="eastAsia" w:ascii="宋体" w:hAnsi="宋体"/>
          <w:szCs w:val="21"/>
        </w:rPr>
      </w:pPr>
      <w:r>
        <w:rPr>
          <w:rFonts w:hint="eastAsia" w:ascii="宋体" w:hAnsi="宋体"/>
          <w:szCs w:val="21"/>
        </w:rPr>
        <w:t>（1）为招标人不具有独立法人资格的附属机构（单位）；</w:t>
      </w:r>
    </w:p>
    <w:p w14:paraId="5A5A2B90">
      <w:pPr>
        <w:pStyle w:val="81"/>
        <w:adjustRightInd w:val="0"/>
        <w:snapToGrid w:val="0"/>
        <w:spacing w:line="440" w:lineRule="exact"/>
        <w:rPr>
          <w:rFonts w:hint="eastAsia" w:ascii="宋体" w:hAnsi="宋体"/>
          <w:szCs w:val="21"/>
        </w:rPr>
      </w:pPr>
      <w:r>
        <w:rPr>
          <w:rFonts w:hint="eastAsia" w:ascii="宋体" w:hAnsi="宋体"/>
          <w:szCs w:val="21"/>
        </w:rPr>
        <w:t>（2）被责令停业或破产状态的；</w:t>
      </w:r>
    </w:p>
    <w:p w14:paraId="504623DB">
      <w:pPr>
        <w:pStyle w:val="81"/>
        <w:adjustRightInd w:val="0"/>
        <w:snapToGrid w:val="0"/>
        <w:spacing w:line="440" w:lineRule="exact"/>
        <w:rPr>
          <w:rFonts w:hint="eastAsia" w:ascii="宋体" w:hAnsi="宋体"/>
          <w:szCs w:val="21"/>
        </w:rPr>
      </w:pPr>
      <w:r>
        <w:rPr>
          <w:rFonts w:hint="eastAsia" w:ascii="宋体" w:hAnsi="宋体"/>
          <w:szCs w:val="21"/>
        </w:rPr>
        <w:t>（3）被暂停或取消投标资格的；</w:t>
      </w:r>
    </w:p>
    <w:p w14:paraId="2DDA5BA8">
      <w:pPr>
        <w:pStyle w:val="81"/>
        <w:adjustRightInd w:val="0"/>
        <w:snapToGrid w:val="0"/>
        <w:spacing w:line="440" w:lineRule="exact"/>
        <w:rPr>
          <w:rFonts w:hint="eastAsia" w:ascii="宋体" w:hAnsi="宋体"/>
          <w:szCs w:val="21"/>
        </w:rPr>
      </w:pPr>
      <w:r>
        <w:rPr>
          <w:rFonts w:hint="eastAsia" w:ascii="宋体" w:hAnsi="宋体"/>
          <w:szCs w:val="21"/>
        </w:rPr>
        <w:t>（4）财产被重组、接管、查封、扣押或冻结的；</w:t>
      </w:r>
    </w:p>
    <w:p w14:paraId="2CFB005E">
      <w:pPr>
        <w:pStyle w:val="81"/>
        <w:adjustRightInd w:val="0"/>
        <w:snapToGrid w:val="0"/>
        <w:spacing w:line="440" w:lineRule="exact"/>
        <w:rPr>
          <w:rFonts w:hint="eastAsia" w:ascii="宋体" w:hAnsi="宋体"/>
          <w:szCs w:val="21"/>
        </w:rPr>
      </w:pPr>
      <w:r>
        <w:rPr>
          <w:rFonts w:hint="eastAsia" w:ascii="宋体" w:hAnsi="宋体"/>
          <w:szCs w:val="21"/>
        </w:rPr>
        <w:t>（5）在最近三年内骗取成交情形、无不良经营行、</w:t>
      </w:r>
      <w:r>
        <w:rPr>
          <w:rFonts w:hint="eastAsia" w:ascii="宋体" w:hAnsi="宋体"/>
        </w:rPr>
        <w:t>严重违约、</w:t>
      </w:r>
      <w:r>
        <w:rPr>
          <w:rFonts w:hint="eastAsia" w:ascii="宋体" w:hAnsi="宋体"/>
          <w:szCs w:val="21"/>
        </w:rPr>
        <w:t>无重大安全事故及质量问题；</w:t>
      </w:r>
    </w:p>
    <w:p w14:paraId="3449E2CD">
      <w:pPr>
        <w:pStyle w:val="81"/>
        <w:adjustRightInd w:val="0"/>
        <w:snapToGrid w:val="0"/>
        <w:spacing w:line="440" w:lineRule="exact"/>
        <w:rPr>
          <w:rFonts w:hint="eastAsia" w:ascii="宋体" w:hAnsi="宋体"/>
          <w:szCs w:val="21"/>
        </w:rPr>
      </w:pPr>
      <w:r>
        <w:rPr>
          <w:rFonts w:hint="eastAsia" w:ascii="宋体" w:hAnsi="宋体"/>
          <w:szCs w:val="21"/>
        </w:rPr>
        <w:t>（6）在最近三年内因严重违反合同约定被解除合同/协议，或取消投标人资格的；</w:t>
      </w:r>
    </w:p>
    <w:p w14:paraId="118EA559">
      <w:pPr>
        <w:pStyle w:val="81"/>
        <w:adjustRightInd w:val="0"/>
        <w:snapToGrid w:val="0"/>
        <w:spacing w:line="440" w:lineRule="exact"/>
        <w:rPr>
          <w:rFonts w:hint="eastAsia" w:ascii="宋体" w:hAnsi="宋体"/>
          <w:szCs w:val="21"/>
        </w:rPr>
      </w:pPr>
      <w:r>
        <w:rPr>
          <w:rFonts w:hint="eastAsia" w:ascii="宋体" w:hAnsi="宋体"/>
          <w:szCs w:val="21"/>
        </w:rPr>
        <w:t>（7）单位负责人为同一人或者存在控股、管理关系的不同投标人，同时参与本项目的投标。</w:t>
      </w:r>
    </w:p>
    <w:p w14:paraId="2869F6C3">
      <w:pPr>
        <w:pStyle w:val="81"/>
        <w:adjustRightInd w:val="0"/>
        <w:snapToGrid w:val="0"/>
        <w:spacing w:line="440" w:lineRule="exact"/>
        <w:rPr>
          <w:rFonts w:hint="eastAsia" w:ascii="宋体" w:hAnsi="宋体"/>
          <w:szCs w:val="21"/>
        </w:rPr>
      </w:pPr>
      <w:r>
        <w:rPr>
          <w:rFonts w:hint="eastAsia" w:ascii="宋体" w:hAnsi="宋体"/>
          <w:szCs w:val="21"/>
        </w:rPr>
        <w:t>（8）本次采购联合体投标，对本采购内容进行分包和转。</w:t>
      </w:r>
    </w:p>
    <w:p w14:paraId="042C6FDC">
      <w:pPr>
        <w:spacing w:before="50" w:afterLines="50" w:line="440" w:lineRule="exact"/>
        <w:ind w:firstLine="426" w:firstLineChars="202"/>
        <w:rPr>
          <w:rFonts w:hint="eastAsia" w:ascii="宋体" w:hAnsi="宋体"/>
          <w:b/>
          <w:szCs w:val="21"/>
        </w:rPr>
      </w:pPr>
      <w:r>
        <w:rPr>
          <w:rFonts w:hint="eastAsia" w:ascii="宋体" w:hAnsi="宋体"/>
          <w:b/>
          <w:szCs w:val="21"/>
        </w:rPr>
        <w:t>如发生任何违反本承诺的行为，除按法律法规接受处罚外，招标人有权否决我方投标、宣布成交无效、暂停甚至取消我方参加招标人后续采购项目的投标资格等。</w:t>
      </w:r>
    </w:p>
    <w:p w14:paraId="37CBF64E">
      <w:pPr>
        <w:pStyle w:val="42"/>
        <w:ind w:firstLine="280"/>
      </w:pPr>
    </w:p>
    <w:p w14:paraId="26B4EEB2">
      <w:pPr>
        <w:pStyle w:val="42"/>
        <w:ind w:firstLine="280"/>
      </w:pPr>
    </w:p>
    <w:p w14:paraId="0635ECC6">
      <w:pPr>
        <w:spacing w:line="440" w:lineRule="exact"/>
        <w:ind w:firstLine="3570" w:firstLineChars="1700"/>
        <w:jc w:val="right"/>
        <w:rPr>
          <w:rFonts w:hint="eastAsia" w:ascii="宋体" w:hAnsi="宋体"/>
        </w:rPr>
      </w:pPr>
      <w:r>
        <w:rPr>
          <w:rFonts w:hint="eastAsia" w:ascii="宋体" w:hAnsi="宋体"/>
        </w:rPr>
        <w:t>投标人名称：</w:t>
      </w:r>
      <w:r>
        <w:rPr>
          <w:rFonts w:ascii="宋体" w:hAnsi="宋体"/>
          <w:u w:val="single"/>
        </w:rPr>
        <w:t xml:space="preserve">     </w:t>
      </w:r>
      <w:r>
        <w:rPr>
          <w:rFonts w:hint="eastAsia" w:ascii="宋体" w:hAnsi="宋体"/>
        </w:rPr>
        <w:t>（盖章）</w:t>
      </w:r>
    </w:p>
    <w:p w14:paraId="5DC90DB1">
      <w:pPr>
        <w:spacing w:line="440" w:lineRule="exact"/>
        <w:jc w:val="right"/>
        <w:rPr>
          <w:rFonts w:hint="eastAsia" w:ascii="宋体" w:hAnsi="宋体"/>
        </w:rPr>
      </w:pPr>
      <w:r>
        <w:rPr>
          <w:rFonts w:hint="eastAsia" w:ascii="宋体" w:hAnsi="宋体"/>
        </w:rPr>
        <w:t>投标人</w:t>
      </w:r>
      <w:r>
        <w:rPr>
          <w:rFonts w:hint="eastAsia" w:ascii="宋体" w:hAnsi="宋体"/>
          <w:szCs w:val="21"/>
        </w:rPr>
        <w:t>法定代表人或委托代理人：</w:t>
      </w:r>
      <w:r>
        <w:rPr>
          <w:rFonts w:ascii="宋体" w:hAnsi="宋体"/>
          <w:szCs w:val="21"/>
          <w:u w:val="single"/>
        </w:rPr>
        <w:t xml:space="preserve">     </w:t>
      </w:r>
      <w:r>
        <w:rPr>
          <w:rFonts w:hint="eastAsia" w:ascii="宋体" w:hAnsi="宋体"/>
          <w:szCs w:val="21"/>
        </w:rPr>
        <w:t>（签字或盖签名章）</w:t>
      </w:r>
    </w:p>
    <w:p w14:paraId="051F2E20">
      <w:pPr>
        <w:spacing w:line="440" w:lineRule="exact"/>
        <w:jc w:val="right"/>
        <w:rPr>
          <w:rFonts w:hint="eastAsia" w:ascii="宋体" w:hAnsi="宋体"/>
        </w:rPr>
      </w:pPr>
      <w:r>
        <w:rPr>
          <w:rFonts w:hint="eastAsia" w:ascii="宋体" w:hAnsi="宋体"/>
        </w:rPr>
        <w:t>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r>
        <w:rPr>
          <w:rFonts w:ascii="宋体" w:hAnsi="宋体"/>
          <w:sz w:val="28"/>
          <w:szCs w:val="28"/>
        </w:rPr>
        <w:t xml:space="preserve"> </w:t>
      </w:r>
    </w:p>
    <w:p w14:paraId="1839278B">
      <w:pPr>
        <w:pStyle w:val="81"/>
        <w:spacing w:line="360" w:lineRule="auto"/>
        <w:ind w:left="986" w:right="840" w:firstLine="0" w:firstLineChars="0"/>
        <w:jc w:val="right"/>
        <w:rPr>
          <w:rFonts w:hint="eastAsia" w:ascii="宋体" w:hAnsi="宋体"/>
          <w:bCs/>
          <w:szCs w:val="21"/>
        </w:rPr>
      </w:pPr>
      <w:r>
        <w:rPr>
          <w:rFonts w:ascii="宋体" w:hAnsi="宋体"/>
          <w:sz w:val="28"/>
          <w:szCs w:val="28"/>
        </w:rPr>
        <w:br w:type="page"/>
      </w:r>
    </w:p>
    <w:bookmarkEnd w:id="684"/>
    <w:bookmarkEnd w:id="685"/>
    <w:bookmarkEnd w:id="686"/>
    <w:p w14:paraId="63AEAF86">
      <w:pPr>
        <w:pStyle w:val="3"/>
        <w:jc w:val="center"/>
        <w:rPr>
          <w:rFonts w:hint="eastAsia" w:ascii="宋体" w:hAnsi="宋体" w:eastAsia="宋体"/>
          <w:sz w:val="28"/>
          <w:szCs w:val="28"/>
        </w:rPr>
      </w:pPr>
      <w:bookmarkStart w:id="694" w:name="_Toc2867"/>
      <w:bookmarkStart w:id="695" w:name="_Toc152045796"/>
      <w:bookmarkStart w:id="696" w:name="_Toc19982"/>
      <w:bookmarkStart w:id="697" w:name="_Toc247085882"/>
      <w:bookmarkStart w:id="698" w:name="_Toc246997107"/>
      <w:bookmarkStart w:id="699" w:name="_Toc9831"/>
      <w:bookmarkStart w:id="700" w:name="_Toc20921"/>
      <w:bookmarkStart w:id="701" w:name="_Toc9716"/>
      <w:bookmarkStart w:id="702" w:name="_Toc17910"/>
      <w:bookmarkStart w:id="703" w:name="_Toc8973"/>
      <w:bookmarkStart w:id="704" w:name="_Toc246996364"/>
      <w:bookmarkStart w:id="705" w:name="_Toc179632816"/>
      <w:bookmarkStart w:id="706" w:name="_Toc152042585"/>
      <w:bookmarkStart w:id="707" w:name="_Toc144974864"/>
      <w:bookmarkStart w:id="708" w:name="_Toc214432861"/>
      <w:bookmarkStart w:id="709" w:name="_Toc4078445"/>
      <w:bookmarkStart w:id="710" w:name="_Toc477863052"/>
      <w:bookmarkStart w:id="711" w:name="_Toc454272301"/>
      <w:bookmarkStart w:id="712" w:name="_Toc428802627"/>
      <w:r>
        <w:rPr>
          <w:rFonts w:hint="eastAsia" w:ascii="宋体" w:hAnsi="宋体" w:eastAsia="宋体"/>
          <w:sz w:val="28"/>
          <w:szCs w:val="28"/>
        </w:rPr>
        <w:t>十一、</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Pr>
          <w:rFonts w:hint="eastAsia" w:ascii="宋体" w:hAnsi="宋体" w:eastAsia="宋体"/>
          <w:sz w:val="28"/>
          <w:szCs w:val="28"/>
        </w:rPr>
        <w:t>技术方案</w:t>
      </w:r>
      <w:bookmarkEnd w:id="708"/>
    </w:p>
    <w:bookmarkEnd w:id="709"/>
    <w:p w14:paraId="3F909214">
      <w:pPr>
        <w:tabs>
          <w:tab w:val="left" w:pos="720"/>
        </w:tabs>
        <w:wordWrap w:val="0"/>
        <w:spacing w:line="360" w:lineRule="auto"/>
        <w:ind w:firstLine="480" w:firstLineChars="200"/>
        <w:rPr>
          <w:rFonts w:hint="eastAsia" w:ascii="宋体" w:hAnsi="宋体" w:cs="宋体"/>
          <w:sz w:val="24"/>
        </w:rPr>
      </w:pPr>
    </w:p>
    <w:p w14:paraId="2840E069">
      <w:pPr>
        <w:tabs>
          <w:tab w:val="left" w:pos="720"/>
        </w:tabs>
        <w:wordWrap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1.投标人编制技术方案（格式自拟，应控制在</w:t>
      </w:r>
      <w:r>
        <w:rPr>
          <w:rFonts w:hint="eastAsia" w:ascii="宋体" w:hAnsi="宋体" w:cs="宋体"/>
          <w:sz w:val="24"/>
          <w:u w:val="single"/>
        </w:rPr>
        <w:t>500</w:t>
      </w:r>
      <w:r>
        <w:rPr>
          <w:rFonts w:hint="eastAsia" w:ascii="宋体" w:hAnsi="宋体" w:cs="宋体"/>
          <w:sz w:val="24"/>
        </w:rPr>
        <w:t>页以内，具体由招标人根据项目情况确定），具体内容包括但不限于以下内容：</w:t>
      </w:r>
    </w:p>
    <w:p w14:paraId="5BEDD923">
      <w:pPr>
        <w:pStyle w:val="81"/>
        <w:numPr>
          <w:ilvl w:val="0"/>
          <w:numId w:val="7"/>
        </w:numPr>
        <w:tabs>
          <w:tab w:val="left" w:pos="720"/>
        </w:tabs>
        <w:wordWrap w:val="0"/>
        <w:adjustRightInd w:val="0"/>
        <w:snapToGrid w:val="0"/>
        <w:spacing w:line="360" w:lineRule="auto"/>
        <w:ind w:firstLine="560"/>
        <w:rPr>
          <w:rFonts w:hint="eastAsia" w:ascii="宋体" w:hAnsi="宋体" w:cs="宋体"/>
          <w:bCs/>
          <w:sz w:val="24"/>
        </w:rPr>
      </w:pPr>
      <w:r>
        <w:rPr>
          <w:rFonts w:hint="eastAsia" w:ascii="宋体" w:hAnsi="宋体"/>
          <w:sz w:val="28"/>
          <w:szCs w:val="28"/>
        </w:rPr>
        <w:t>供货措施</w:t>
      </w:r>
    </w:p>
    <w:p w14:paraId="4EAFE802">
      <w:pPr>
        <w:pStyle w:val="81"/>
        <w:numPr>
          <w:ilvl w:val="0"/>
          <w:numId w:val="7"/>
        </w:numPr>
        <w:tabs>
          <w:tab w:val="left" w:pos="720"/>
        </w:tabs>
        <w:wordWrap w:val="0"/>
        <w:adjustRightInd w:val="0"/>
        <w:snapToGrid w:val="0"/>
        <w:spacing w:line="360" w:lineRule="auto"/>
        <w:ind w:firstLine="560"/>
        <w:rPr>
          <w:rFonts w:hint="eastAsia" w:ascii="宋体" w:hAnsi="宋体" w:cs="宋体"/>
          <w:bCs/>
          <w:sz w:val="24"/>
        </w:rPr>
      </w:pPr>
      <w:r>
        <w:rPr>
          <w:rFonts w:hint="eastAsia" w:ascii="宋体" w:hAnsi="宋体"/>
          <w:sz w:val="28"/>
          <w:szCs w:val="28"/>
        </w:rPr>
        <w:t>质量保证</w:t>
      </w:r>
    </w:p>
    <w:p w14:paraId="4D647BD4">
      <w:pPr>
        <w:pStyle w:val="81"/>
        <w:numPr>
          <w:ilvl w:val="0"/>
          <w:numId w:val="7"/>
        </w:numPr>
        <w:tabs>
          <w:tab w:val="left" w:pos="720"/>
        </w:tabs>
        <w:wordWrap w:val="0"/>
        <w:adjustRightInd w:val="0"/>
        <w:snapToGrid w:val="0"/>
        <w:spacing w:line="360" w:lineRule="auto"/>
        <w:ind w:firstLine="560"/>
        <w:rPr>
          <w:rFonts w:hint="eastAsia" w:ascii="宋体" w:hAnsi="宋体" w:cs="宋体"/>
          <w:bCs/>
          <w:sz w:val="24"/>
        </w:rPr>
      </w:pPr>
      <w:r>
        <w:rPr>
          <w:rFonts w:hint="eastAsia" w:ascii="宋体" w:hAnsi="宋体"/>
          <w:sz w:val="28"/>
          <w:szCs w:val="28"/>
        </w:rPr>
        <w:t>售后服务方案</w:t>
      </w:r>
    </w:p>
    <w:p w14:paraId="22EF4B76">
      <w:pPr>
        <w:pStyle w:val="81"/>
        <w:numPr>
          <w:ilvl w:val="0"/>
          <w:numId w:val="7"/>
        </w:numPr>
        <w:tabs>
          <w:tab w:val="left" w:pos="720"/>
        </w:tabs>
        <w:wordWrap w:val="0"/>
        <w:adjustRightInd w:val="0"/>
        <w:snapToGrid w:val="0"/>
        <w:spacing w:line="360" w:lineRule="auto"/>
        <w:ind w:firstLine="560"/>
        <w:rPr>
          <w:rFonts w:hint="eastAsia" w:ascii="宋体" w:hAnsi="宋体" w:cs="宋体"/>
          <w:bCs/>
          <w:sz w:val="24"/>
        </w:rPr>
      </w:pPr>
      <w:r>
        <w:rPr>
          <w:rFonts w:hint="eastAsia" w:ascii="宋体" w:hAnsi="宋体"/>
          <w:sz w:val="28"/>
          <w:szCs w:val="28"/>
        </w:rPr>
        <w:t>服务便利性</w:t>
      </w:r>
    </w:p>
    <w:p w14:paraId="512EA05E">
      <w:pPr>
        <w:rPr>
          <w:rFonts w:hint="eastAsia" w:ascii="宋体" w:hAnsi="宋体" w:cs="宋体"/>
          <w:bCs/>
          <w:kern w:val="0"/>
        </w:rPr>
      </w:pPr>
      <w:r>
        <w:rPr>
          <w:rFonts w:hint="eastAsia" w:ascii="宋体" w:hAnsi="宋体" w:cs="宋体"/>
          <w:bCs/>
          <w:kern w:val="0"/>
        </w:rPr>
        <w:t>具体要求详见第三章评审办法（综合评估法）2.2.详细评审评审标准要求</w:t>
      </w:r>
      <w:bookmarkEnd w:id="710"/>
      <w:bookmarkEnd w:id="711"/>
      <w:bookmarkEnd w:id="712"/>
      <w:bookmarkStart w:id="713" w:name="_Toc477863063"/>
    </w:p>
    <w:p w14:paraId="04CB2053">
      <w:pPr>
        <w:rPr>
          <w:rFonts w:hint="eastAsia" w:ascii="宋体" w:hAnsi="宋体" w:cs="宋体"/>
          <w:bCs/>
          <w:kern w:val="0"/>
        </w:rPr>
      </w:pPr>
      <w:r>
        <w:rPr>
          <w:rFonts w:hint="eastAsia" w:ascii="宋体" w:hAnsi="宋体" w:cs="宋体"/>
          <w:bCs/>
          <w:kern w:val="0"/>
        </w:rPr>
        <w:br w:type="page"/>
      </w:r>
    </w:p>
    <w:bookmarkEnd w:id="713"/>
    <w:p w14:paraId="7FA3D263">
      <w:pPr>
        <w:pStyle w:val="3"/>
        <w:jc w:val="center"/>
        <w:rPr>
          <w:rFonts w:hint="eastAsia" w:ascii="宋体" w:hAnsi="宋体" w:eastAsia="宋体"/>
          <w:sz w:val="28"/>
          <w:szCs w:val="28"/>
        </w:rPr>
      </w:pPr>
      <w:bookmarkStart w:id="714" w:name="_Toc214432862"/>
      <w:bookmarkStart w:id="715" w:name="_Toc477863068"/>
      <w:bookmarkStart w:id="716" w:name="_Toc454272302"/>
      <w:r>
        <w:rPr>
          <w:rFonts w:hint="eastAsia" w:ascii="宋体" w:hAnsi="宋体" w:eastAsia="宋体"/>
          <w:sz w:val="28"/>
          <w:szCs w:val="28"/>
        </w:rPr>
        <w:t>十二、合同条款及格式应答偏离表</w:t>
      </w:r>
      <w:bookmarkEnd w:id="714"/>
    </w:p>
    <w:p w14:paraId="4ACB0FAF">
      <w:pPr>
        <w:jc w:val="center"/>
        <w:rPr>
          <w:rFonts w:hint="eastAsia" w:ascii="宋体" w:hAnsi="宋体" w:cs="宋体"/>
          <w:sz w:val="24"/>
        </w:rPr>
      </w:pPr>
    </w:p>
    <w:p w14:paraId="6B257FD1">
      <w:pPr>
        <w:adjustRightInd w:val="0"/>
        <w:snapToGrid w:val="0"/>
        <w:spacing w:line="440" w:lineRule="exact"/>
        <w:ind w:right="-162" w:rightChars="-77"/>
        <w:rPr>
          <w:rFonts w:hint="eastAsia" w:ascii="宋体" w:hAnsi="宋体" w:cs="宋体"/>
          <w:b/>
          <w:szCs w:val="21"/>
          <w:u w:val="single"/>
        </w:rPr>
      </w:pPr>
      <w:r>
        <w:rPr>
          <w:rFonts w:hint="eastAsia" w:ascii="宋体" w:hAnsi="宋体" w:cs="宋体"/>
          <w:b/>
          <w:szCs w:val="21"/>
        </w:rPr>
        <w:t>项目名称：</w:t>
      </w:r>
      <w:r>
        <w:rPr>
          <w:rFonts w:hint="eastAsia" w:ascii="宋体" w:hAnsi="宋体" w:cs="宋体"/>
          <w:b/>
          <w:szCs w:val="21"/>
          <w:u w:val="single"/>
        </w:rPr>
        <w:t>惠州交投能源投资有限公司节能技改项目货物采购（第一批）</w:t>
      </w:r>
    </w:p>
    <w:tbl>
      <w:tblPr>
        <w:tblStyle w:val="44"/>
        <w:tblW w:w="9356" w:type="dxa"/>
        <w:tblInd w:w="17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92"/>
        <w:gridCol w:w="1576"/>
        <w:gridCol w:w="2332"/>
        <w:gridCol w:w="2573"/>
        <w:gridCol w:w="1883"/>
      </w:tblGrid>
      <w:tr w14:paraId="2AE4E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3" w:hRule="atLeast"/>
        </w:trPr>
        <w:tc>
          <w:tcPr>
            <w:tcW w:w="992" w:type="dxa"/>
            <w:vAlign w:val="center"/>
          </w:tcPr>
          <w:p w14:paraId="18A56D90">
            <w:pPr>
              <w:adjustRightInd w:val="0"/>
              <w:snapToGrid w:val="0"/>
              <w:spacing w:line="440" w:lineRule="exact"/>
              <w:jc w:val="center"/>
              <w:rPr>
                <w:rFonts w:hint="eastAsia" w:ascii="宋体" w:hAnsi="宋体" w:cs="宋体"/>
                <w:szCs w:val="21"/>
              </w:rPr>
            </w:pPr>
            <w:r>
              <w:rPr>
                <w:rFonts w:hint="eastAsia" w:ascii="宋体" w:hAnsi="宋体" w:cs="宋体"/>
                <w:szCs w:val="21"/>
              </w:rPr>
              <w:t>序号</w:t>
            </w:r>
          </w:p>
        </w:tc>
        <w:tc>
          <w:tcPr>
            <w:tcW w:w="1576" w:type="dxa"/>
            <w:vAlign w:val="center"/>
          </w:tcPr>
          <w:p w14:paraId="1D68F1E0">
            <w:pPr>
              <w:adjustRightInd w:val="0"/>
              <w:snapToGrid w:val="0"/>
              <w:spacing w:line="440" w:lineRule="exact"/>
              <w:jc w:val="center"/>
              <w:rPr>
                <w:rFonts w:hint="eastAsia" w:ascii="宋体" w:hAnsi="宋体" w:cs="宋体"/>
                <w:szCs w:val="21"/>
              </w:rPr>
            </w:pPr>
            <w:r>
              <w:rPr>
                <w:rFonts w:hint="eastAsia" w:ascii="宋体" w:hAnsi="宋体" w:cs="宋体"/>
                <w:szCs w:val="21"/>
              </w:rPr>
              <w:t>招标文件条目号</w:t>
            </w:r>
          </w:p>
        </w:tc>
        <w:tc>
          <w:tcPr>
            <w:tcW w:w="2332" w:type="dxa"/>
            <w:vAlign w:val="center"/>
          </w:tcPr>
          <w:p w14:paraId="5E13D991">
            <w:pPr>
              <w:adjustRightInd w:val="0"/>
              <w:snapToGrid w:val="0"/>
              <w:spacing w:line="440" w:lineRule="exact"/>
              <w:jc w:val="center"/>
              <w:rPr>
                <w:rFonts w:hint="eastAsia" w:ascii="宋体" w:hAnsi="宋体" w:cs="宋体"/>
                <w:szCs w:val="21"/>
              </w:rPr>
            </w:pPr>
            <w:r>
              <w:rPr>
                <w:rFonts w:hint="eastAsia" w:ascii="宋体" w:hAnsi="宋体" w:cs="宋体"/>
                <w:szCs w:val="21"/>
              </w:rPr>
              <w:t>招标文件的合同条款</w:t>
            </w:r>
          </w:p>
        </w:tc>
        <w:tc>
          <w:tcPr>
            <w:tcW w:w="2573" w:type="dxa"/>
            <w:vAlign w:val="center"/>
          </w:tcPr>
          <w:p w14:paraId="3A8E7C8C">
            <w:pPr>
              <w:adjustRightInd w:val="0"/>
              <w:snapToGrid w:val="0"/>
              <w:spacing w:line="440" w:lineRule="exact"/>
              <w:jc w:val="center"/>
              <w:rPr>
                <w:rFonts w:hint="eastAsia" w:ascii="宋体" w:hAnsi="宋体" w:cs="宋体"/>
                <w:szCs w:val="21"/>
              </w:rPr>
            </w:pPr>
            <w:r>
              <w:rPr>
                <w:rFonts w:hint="eastAsia" w:ascii="宋体" w:hAnsi="宋体" w:cs="宋体"/>
                <w:szCs w:val="21"/>
              </w:rPr>
              <w:t>投标文件偏离情况</w:t>
            </w:r>
          </w:p>
        </w:tc>
        <w:tc>
          <w:tcPr>
            <w:tcW w:w="1883" w:type="dxa"/>
            <w:vAlign w:val="center"/>
          </w:tcPr>
          <w:p w14:paraId="074CDDC8">
            <w:pPr>
              <w:adjustRightInd w:val="0"/>
              <w:snapToGrid w:val="0"/>
              <w:spacing w:line="440" w:lineRule="exact"/>
              <w:jc w:val="center"/>
              <w:rPr>
                <w:rFonts w:hint="eastAsia" w:ascii="宋体" w:hAnsi="宋体" w:cs="宋体"/>
                <w:szCs w:val="21"/>
              </w:rPr>
            </w:pPr>
            <w:r>
              <w:rPr>
                <w:rFonts w:hint="eastAsia" w:ascii="宋体" w:hAnsi="宋体" w:cs="宋体"/>
                <w:szCs w:val="21"/>
              </w:rPr>
              <w:t>说明</w:t>
            </w:r>
          </w:p>
        </w:tc>
      </w:tr>
      <w:tr w14:paraId="41B28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3" w:hRule="atLeast"/>
        </w:trPr>
        <w:tc>
          <w:tcPr>
            <w:tcW w:w="992" w:type="dxa"/>
            <w:vAlign w:val="center"/>
          </w:tcPr>
          <w:p w14:paraId="2AE7FEAF">
            <w:pPr>
              <w:adjustRightInd w:val="0"/>
              <w:snapToGrid w:val="0"/>
              <w:spacing w:line="440" w:lineRule="exact"/>
              <w:rPr>
                <w:rFonts w:hint="eastAsia" w:ascii="宋体" w:hAnsi="宋体" w:cs="宋体"/>
                <w:szCs w:val="21"/>
              </w:rPr>
            </w:pPr>
          </w:p>
        </w:tc>
        <w:tc>
          <w:tcPr>
            <w:tcW w:w="1576" w:type="dxa"/>
            <w:vAlign w:val="center"/>
          </w:tcPr>
          <w:p w14:paraId="21223F31">
            <w:pPr>
              <w:adjustRightInd w:val="0"/>
              <w:snapToGrid w:val="0"/>
              <w:spacing w:line="440" w:lineRule="exact"/>
              <w:rPr>
                <w:rFonts w:hint="eastAsia" w:ascii="宋体" w:hAnsi="宋体" w:cs="宋体"/>
                <w:szCs w:val="21"/>
              </w:rPr>
            </w:pPr>
          </w:p>
        </w:tc>
        <w:tc>
          <w:tcPr>
            <w:tcW w:w="2332" w:type="dxa"/>
            <w:vAlign w:val="center"/>
          </w:tcPr>
          <w:p w14:paraId="39DEF672">
            <w:pPr>
              <w:adjustRightInd w:val="0"/>
              <w:snapToGrid w:val="0"/>
              <w:spacing w:line="440" w:lineRule="exact"/>
              <w:rPr>
                <w:rFonts w:hint="eastAsia" w:ascii="宋体" w:hAnsi="宋体" w:cs="宋体"/>
                <w:szCs w:val="21"/>
              </w:rPr>
            </w:pPr>
          </w:p>
        </w:tc>
        <w:tc>
          <w:tcPr>
            <w:tcW w:w="2573" w:type="dxa"/>
            <w:vAlign w:val="center"/>
          </w:tcPr>
          <w:p w14:paraId="39A13D5E">
            <w:pPr>
              <w:adjustRightInd w:val="0"/>
              <w:snapToGrid w:val="0"/>
              <w:spacing w:line="440" w:lineRule="exact"/>
              <w:rPr>
                <w:rFonts w:hint="eastAsia" w:ascii="宋体" w:hAnsi="宋体" w:cs="宋体"/>
                <w:szCs w:val="21"/>
              </w:rPr>
            </w:pPr>
          </w:p>
        </w:tc>
        <w:tc>
          <w:tcPr>
            <w:tcW w:w="1883" w:type="dxa"/>
            <w:vAlign w:val="center"/>
          </w:tcPr>
          <w:p w14:paraId="79BC23B3">
            <w:pPr>
              <w:adjustRightInd w:val="0"/>
              <w:snapToGrid w:val="0"/>
              <w:spacing w:line="440" w:lineRule="exact"/>
              <w:rPr>
                <w:rFonts w:hint="eastAsia" w:ascii="宋体" w:hAnsi="宋体" w:cs="宋体"/>
                <w:szCs w:val="21"/>
              </w:rPr>
            </w:pPr>
          </w:p>
        </w:tc>
      </w:tr>
      <w:tr w14:paraId="0A029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3" w:hRule="atLeast"/>
        </w:trPr>
        <w:tc>
          <w:tcPr>
            <w:tcW w:w="992" w:type="dxa"/>
            <w:vAlign w:val="center"/>
          </w:tcPr>
          <w:p w14:paraId="780F1AF4">
            <w:pPr>
              <w:adjustRightInd w:val="0"/>
              <w:snapToGrid w:val="0"/>
              <w:spacing w:line="440" w:lineRule="exact"/>
              <w:rPr>
                <w:rFonts w:hint="eastAsia" w:ascii="宋体" w:hAnsi="宋体" w:cs="宋体"/>
                <w:szCs w:val="21"/>
              </w:rPr>
            </w:pPr>
          </w:p>
        </w:tc>
        <w:tc>
          <w:tcPr>
            <w:tcW w:w="1576" w:type="dxa"/>
            <w:vAlign w:val="center"/>
          </w:tcPr>
          <w:p w14:paraId="768A0D68">
            <w:pPr>
              <w:adjustRightInd w:val="0"/>
              <w:snapToGrid w:val="0"/>
              <w:spacing w:line="440" w:lineRule="exact"/>
              <w:rPr>
                <w:rFonts w:hint="eastAsia" w:ascii="宋体" w:hAnsi="宋体" w:cs="宋体"/>
                <w:szCs w:val="21"/>
              </w:rPr>
            </w:pPr>
          </w:p>
        </w:tc>
        <w:tc>
          <w:tcPr>
            <w:tcW w:w="2332" w:type="dxa"/>
            <w:vAlign w:val="center"/>
          </w:tcPr>
          <w:p w14:paraId="293137E8">
            <w:pPr>
              <w:adjustRightInd w:val="0"/>
              <w:snapToGrid w:val="0"/>
              <w:spacing w:line="440" w:lineRule="exact"/>
              <w:rPr>
                <w:rFonts w:hint="eastAsia" w:ascii="宋体" w:hAnsi="宋体" w:cs="宋体"/>
                <w:szCs w:val="21"/>
              </w:rPr>
            </w:pPr>
          </w:p>
        </w:tc>
        <w:tc>
          <w:tcPr>
            <w:tcW w:w="2573" w:type="dxa"/>
            <w:vAlign w:val="center"/>
          </w:tcPr>
          <w:p w14:paraId="603A9320">
            <w:pPr>
              <w:adjustRightInd w:val="0"/>
              <w:snapToGrid w:val="0"/>
              <w:spacing w:line="440" w:lineRule="exact"/>
              <w:rPr>
                <w:rFonts w:hint="eastAsia" w:ascii="宋体" w:hAnsi="宋体" w:cs="宋体"/>
                <w:szCs w:val="21"/>
              </w:rPr>
            </w:pPr>
          </w:p>
        </w:tc>
        <w:tc>
          <w:tcPr>
            <w:tcW w:w="1883" w:type="dxa"/>
            <w:vAlign w:val="center"/>
          </w:tcPr>
          <w:p w14:paraId="422B1648">
            <w:pPr>
              <w:adjustRightInd w:val="0"/>
              <w:snapToGrid w:val="0"/>
              <w:spacing w:line="440" w:lineRule="exact"/>
              <w:rPr>
                <w:rFonts w:hint="eastAsia" w:ascii="宋体" w:hAnsi="宋体" w:cs="宋体"/>
                <w:szCs w:val="21"/>
              </w:rPr>
            </w:pPr>
          </w:p>
        </w:tc>
      </w:tr>
      <w:tr w14:paraId="43D66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3" w:hRule="atLeast"/>
        </w:trPr>
        <w:tc>
          <w:tcPr>
            <w:tcW w:w="992" w:type="dxa"/>
            <w:vAlign w:val="center"/>
          </w:tcPr>
          <w:p w14:paraId="1FA660FD">
            <w:pPr>
              <w:adjustRightInd w:val="0"/>
              <w:snapToGrid w:val="0"/>
              <w:spacing w:line="440" w:lineRule="exact"/>
              <w:rPr>
                <w:rFonts w:hint="eastAsia" w:ascii="宋体" w:hAnsi="宋体" w:cs="宋体"/>
                <w:szCs w:val="21"/>
              </w:rPr>
            </w:pPr>
          </w:p>
        </w:tc>
        <w:tc>
          <w:tcPr>
            <w:tcW w:w="1576" w:type="dxa"/>
            <w:vAlign w:val="center"/>
          </w:tcPr>
          <w:p w14:paraId="4CE37C7C">
            <w:pPr>
              <w:adjustRightInd w:val="0"/>
              <w:snapToGrid w:val="0"/>
              <w:spacing w:line="440" w:lineRule="exact"/>
              <w:rPr>
                <w:rFonts w:hint="eastAsia" w:ascii="宋体" w:hAnsi="宋体" w:cs="宋体"/>
                <w:szCs w:val="21"/>
              </w:rPr>
            </w:pPr>
          </w:p>
        </w:tc>
        <w:tc>
          <w:tcPr>
            <w:tcW w:w="2332" w:type="dxa"/>
            <w:vAlign w:val="center"/>
          </w:tcPr>
          <w:p w14:paraId="4E2B9230">
            <w:pPr>
              <w:adjustRightInd w:val="0"/>
              <w:snapToGrid w:val="0"/>
              <w:spacing w:line="440" w:lineRule="exact"/>
              <w:rPr>
                <w:rFonts w:hint="eastAsia" w:ascii="宋体" w:hAnsi="宋体" w:cs="宋体"/>
                <w:szCs w:val="21"/>
              </w:rPr>
            </w:pPr>
          </w:p>
        </w:tc>
        <w:tc>
          <w:tcPr>
            <w:tcW w:w="2573" w:type="dxa"/>
            <w:vAlign w:val="center"/>
          </w:tcPr>
          <w:p w14:paraId="78941FEA">
            <w:pPr>
              <w:adjustRightInd w:val="0"/>
              <w:snapToGrid w:val="0"/>
              <w:spacing w:line="440" w:lineRule="exact"/>
              <w:rPr>
                <w:rFonts w:hint="eastAsia" w:ascii="宋体" w:hAnsi="宋体" w:cs="宋体"/>
                <w:szCs w:val="21"/>
              </w:rPr>
            </w:pPr>
          </w:p>
        </w:tc>
        <w:tc>
          <w:tcPr>
            <w:tcW w:w="1883" w:type="dxa"/>
            <w:vAlign w:val="center"/>
          </w:tcPr>
          <w:p w14:paraId="65994419">
            <w:pPr>
              <w:adjustRightInd w:val="0"/>
              <w:snapToGrid w:val="0"/>
              <w:spacing w:line="440" w:lineRule="exact"/>
              <w:rPr>
                <w:rFonts w:hint="eastAsia" w:ascii="宋体" w:hAnsi="宋体" w:cs="宋体"/>
                <w:szCs w:val="21"/>
              </w:rPr>
            </w:pPr>
          </w:p>
        </w:tc>
      </w:tr>
      <w:tr w14:paraId="37568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6" w:hRule="atLeast"/>
        </w:trPr>
        <w:tc>
          <w:tcPr>
            <w:tcW w:w="992" w:type="dxa"/>
            <w:vAlign w:val="center"/>
          </w:tcPr>
          <w:p w14:paraId="138A9AC8">
            <w:pPr>
              <w:adjustRightInd w:val="0"/>
              <w:snapToGrid w:val="0"/>
              <w:spacing w:line="440" w:lineRule="exact"/>
              <w:rPr>
                <w:rFonts w:hint="eastAsia" w:ascii="宋体" w:hAnsi="宋体" w:cs="宋体"/>
                <w:szCs w:val="21"/>
              </w:rPr>
            </w:pPr>
          </w:p>
        </w:tc>
        <w:tc>
          <w:tcPr>
            <w:tcW w:w="1576" w:type="dxa"/>
            <w:vAlign w:val="center"/>
          </w:tcPr>
          <w:p w14:paraId="4760B50F">
            <w:pPr>
              <w:adjustRightInd w:val="0"/>
              <w:snapToGrid w:val="0"/>
              <w:spacing w:line="440" w:lineRule="exact"/>
              <w:rPr>
                <w:rFonts w:hint="eastAsia" w:ascii="宋体" w:hAnsi="宋体" w:cs="宋体"/>
                <w:szCs w:val="21"/>
              </w:rPr>
            </w:pPr>
          </w:p>
        </w:tc>
        <w:tc>
          <w:tcPr>
            <w:tcW w:w="2332" w:type="dxa"/>
            <w:vAlign w:val="center"/>
          </w:tcPr>
          <w:p w14:paraId="640EE873">
            <w:pPr>
              <w:adjustRightInd w:val="0"/>
              <w:snapToGrid w:val="0"/>
              <w:spacing w:line="440" w:lineRule="exact"/>
              <w:rPr>
                <w:rFonts w:hint="eastAsia" w:ascii="宋体" w:hAnsi="宋体" w:cs="宋体"/>
                <w:szCs w:val="21"/>
              </w:rPr>
            </w:pPr>
          </w:p>
        </w:tc>
        <w:tc>
          <w:tcPr>
            <w:tcW w:w="2573" w:type="dxa"/>
            <w:vAlign w:val="center"/>
          </w:tcPr>
          <w:p w14:paraId="2AF8621D">
            <w:pPr>
              <w:adjustRightInd w:val="0"/>
              <w:snapToGrid w:val="0"/>
              <w:spacing w:line="440" w:lineRule="exact"/>
              <w:rPr>
                <w:rFonts w:hint="eastAsia" w:ascii="宋体" w:hAnsi="宋体" w:cs="宋体"/>
                <w:szCs w:val="21"/>
              </w:rPr>
            </w:pPr>
          </w:p>
        </w:tc>
        <w:tc>
          <w:tcPr>
            <w:tcW w:w="1883" w:type="dxa"/>
            <w:vAlign w:val="center"/>
          </w:tcPr>
          <w:p w14:paraId="15D8C050">
            <w:pPr>
              <w:adjustRightInd w:val="0"/>
              <w:snapToGrid w:val="0"/>
              <w:spacing w:line="440" w:lineRule="exact"/>
              <w:rPr>
                <w:rFonts w:hint="eastAsia" w:ascii="宋体" w:hAnsi="宋体" w:cs="宋体"/>
                <w:szCs w:val="21"/>
              </w:rPr>
            </w:pPr>
          </w:p>
        </w:tc>
      </w:tr>
      <w:tr w14:paraId="6A614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3" w:hRule="atLeast"/>
        </w:trPr>
        <w:tc>
          <w:tcPr>
            <w:tcW w:w="992" w:type="dxa"/>
            <w:vAlign w:val="center"/>
          </w:tcPr>
          <w:p w14:paraId="0D474BDB">
            <w:pPr>
              <w:adjustRightInd w:val="0"/>
              <w:snapToGrid w:val="0"/>
              <w:spacing w:line="440" w:lineRule="exact"/>
              <w:rPr>
                <w:rFonts w:hint="eastAsia" w:ascii="宋体" w:hAnsi="宋体" w:cs="宋体"/>
                <w:szCs w:val="21"/>
              </w:rPr>
            </w:pPr>
          </w:p>
        </w:tc>
        <w:tc>
          <w:tcPr>
            <w:tcW w:w="1576" w:type="dxa"/>
            <w:vAlign w:val="center"/>
          </w:tcPr>
          <w:p w14:paraId="0335C8D5">
            <w:pPr>
              <w:adjustRightInd w:val="0"/>
              <w:snapToGrid w:val="0"/>
              <w:spacing w:line="440" w:lineRule="exact"/>
              <w:rPr>
                <w:rFonts w:hint="eastAsia" w:ascii="宋体" w:hAnsi="宋体" w:cs="宋体"/>
                <w:szCs w:val="21"/>
              </w:rPr>
            </w:pPr>
          </w:p>
        </w:tc>
        <w:tc>
          <w:tcPr>
            <w:tcW w:w="2332" w:type="dxa"/>
            <w:vAlign w:val="center"/>
          </w:tcPr>
          <w:p w14:paraId="416656AA">
            <w:pPr>
              <w:adjustRightInd w:val="0"/>
              <w:snapToGrid w:val="0"/>
              <w:spacing w:line="440" w:lineRule="exact"/>
              <w:rPr>
                <w:rFonts w:hint="eastAsia" w:ascii="宋体" w:hAnsi="宋体" w:cs="宋体"/>
                <w:szCs w:val="21"/>
              </w:rPr>
            </w:pPr>
          </w:p>
        </w:tc>
        <w:tc>
          <w:tcPr>
            <w:tcW w:w="2573" w:type="dxa"/>
            <w:vAlign w:val="center"/>
          </w:tcPr>
          <w:p w14:paraId="0E1795F3">
            <w:pPr>
              <w:adjustRightInd w:val="0"/>
              <w:snapToGrid w:val="0"/>
              <w:spacing w:line="440" w:lineRule="exact"/>
              <w:rPr>
                <w:rFonts w:hint="eastAsia" w:ascii="宋体" w:hAnsi="宋体" w:cs="宋体"/>
                <w:szCs w:val="21"/>
              </w:rPr>
            </w:pPr>
          </w:p>
        </w:tc>
        <w:tc>
          <w:tcPr>
            <w:tcW w:w="1883" w:type="dxa"/>
            <w:vAlign w:val="center"/>
          </w:tcPr>
          <w:p w14:paraId="39E03BC2">
            <w:pPr>
              <w:adjustRightInd w:val="0"/>
              <w:snapToGrid w:val="0"/>
              <w:spacing w:line="440" w:lineRule="exact"/>
              <w:rPr>
                <w:rFonts w:hint="eastAsia" w:ascii="宋体" w:hAnsi="宋体" w:cs="宋体"/>
                <w:szCs w:val="21"/>
              </w:rPr>
            </w:pPr>
          </w:p>
        </w:tc>
      </w:tr>
      <w:tr w14:paraId="5BBFD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3" w:hRule="atLeast"/>
        </w:trPr>
        <w:tc>
          <w:tcPr>
            <w:tcW w:w="992" w:type="dxa"/>
            <w:vAlign w:val="center"/>
          </w:tcPr>
          <w:p w14:paraId="3138C3C9">
            <w:pPr>
              <w:adjustRightInd w:val="0"/>
              <w:snapToGrid w:val="0"/>
              <w:spacing w:line="440" w:lineRule="exact"/>
              <w:rPr>
                <w:rFonts w:hint="eastAsia" w:ascii="宋体" w:hAnsi="宋体" w:cs="宋体"/>
                <w:szCs w:val="21"/>
              </w:rPr>
            </w:pPr>
          </w:p>
        </w:tc>
        <w:tc>
          <w:tcPr>
            <w:tcW w:w="1576" w:type="dxa"/>
            <w:vAlign w:val="center"/>
          </w:tcPr>
          <w:p w14:paraId="69BBB542">
            <w:pPr>
              <w:adjustRightInd w:val="0"/>
              <w:snapToGrid w:val="0"/>
              <w:spacing w:line="440" w:lineRule="exact"/>
              <w:rPr>
                <w:rFonts w:hint="eastAsia" w:ascii="宋体" w:hAnsi="宋体" w:cs="宋体"/>
                <w:szCs w:val="21"/>
              </w:rPr>
            </w:pPr>
          </w:p>
        </w:tc>
        <w:tc>
          <w:tcPr>
            <w:tcW w:w="2332" w:type="dxa"/>
            <w:vAlign w:val="center"/>
          </w:tcPr>
          <w:p w14:paraId="61258A81">
            <w:pPr>
              <w:adjustRightInd w:val="0"/>
              <w:snapToGrid w:val="0"/>
              <w:spacing w:line="440" w:lineRule="exact"/>
              <w:rPr>
                <w:rFonts w:hint="eastAsia" w:ascii="宋体" w:hAnsi="宋体" w:cs="宋体"/>
                <w:szCs w:val="21"/>
              </w:rPr>
            </w:pPr>
          </w:p>
        </w:tc>
        <w:tc>
          <w:tcPr>
            <w:tcW w:w="2573" w:type="dxa"/>
            <w:vAlign w:val="center"/>
          </w:tcPr>
          <w:p w14:paraId="783F556B">
            <w:pPr>
              <w:adjustRightInd w:val="0"/>
              <w:snapToGrid w:val="0"/>
              <w:spacing w:line="440" w:lineRule="exact"/>
              <w:rPr>
                <w:rFonts w:hint="eastAsia" w:ascii="宋体" w:hAnsi="宋体" w:cs="宋体"/>
                <w:szCs w:val="21"/>
              </w:rPr>
            </w:pPr>
          </w:p>
        </w:tc>
        <w:tc>
          <w:tcPr>
            <w:tcW w:w="1883" w:type="dxa"/>
            <w:vAlign w:val="center"/>
          </w:tcPr>
          <w:p w14:paraId="30BCF2EB">
            <w:pPr>
              <w:adjustRightInd w:val="0"/>
              <w:snapToGrid w:val="0"/>
              <w:spacing w:line="440" w:lineRule="exact"/>
              <w:rPr>
                <w:rFonts w:hint="eastAsia" w:ascii="宋体" w:hAnsi="宋体" w:cs="宋体"/>
                <w:szCs w:val="21"/>
              </w:rPr>
            </w:pPr>
          </w:p>
        </w:tc>
      </w:tr>
    </w:tbl>
    <w:p w14:paraId="6A9D0BC2">
      <w:pPr>
        <w:adjustRightInd w:val="0"/>
        <w:snapToGrid w:val="0"/>
        <w:spacing w:line="440" w:lineRule="exact"/>
        <w:ind w:left="693" w:hanging="693" w:hangingChars="330"/>
        <w:rPr>
          <w:rFonts w:hint="eastAsia" w:ascii="宋体" w:hAnsi="宋体" w:cs="宋体"/>
          <w:szCs w:val="21"/>
        </w:rPr>
      </w:pPr>
      <w:r>
        <w:rPr>
          <w:rFonts w:hint="eastAsia" w:ascii="宋体" w:hAnsi="宋体" w:cs="宋体"/>
          <w:szCs w:val="21"/>
        </w:rPr>
        <w:t>注：</w:t>
      </w:r>
    </w:p>
    <w:p w14:paraId="25D907CA">
      <w:pPr>
        <w:pStyle w:val="81"/>
        <w:numPr>
          <w:ilvl w:val="0"/>
          <w:numId w:val="8"/>
        </w:numPr>
        <w:adjustRightInd w:val="0"/>
        <w:snapToGrid w:val="0"/>
        <w:spacing w:line="440" w:lineRule="exact"/>
        <w:ind w:left="0" w:firstLine="420" w:firstLineChars="0"/>
        <w:rPr>
          <w:rFonts w:hint="eastAsia" w:ascii="宋体" w:hAnsi="宋体" w:cs="宋体"/>
          <w:szCs w:val="21"/>
        </w:rPr>
      </w:pPr>
      <w:r>
        <w:rPr>
          <w:rFonts w:hint="eastAsia" w:ascii="宋体" w:hAnsi="宋体" w:cs="宋体"/>
          <w:szCs w:val="21"/>
        </w:rPr>
        <w:t xml:space="preserve">投标人应当逐条对照招标文件“第四章 </w:t>
      </w:r>
      <w:r>
        <w:rPr>
          <w:rFonts w:ascii="宋体" w:hAnsi="宋体" w:cs="宋体"/>
          <w:szCs w:val="21"/>
        </w:rPr>
        <w:t xml:space="preserve"> </w:t>
      </w:r>
      <w:r>
        <w:rPr>
          <w:rFonts w:hint="eastAsia" w:ascii="宋体" w:hAnsi="宋体" w:cs="宋体"/>
          <w:szCs w:val="21"/>
        </w:rPr>
        <w:t>合同条款”进行投标，就投标文件对合同条款存在的偏差与例外逐条做出说明；</w:t>
      </w:r>
    </w:p>
    <w:p w14:paraId="120CA2F5">
      <w:pPr>
        <w:pStyle w:val="81"/>
        <w:numPr>
          <w:ilvl w:val="0"/>
          <w:numId w:val="8"/>
        </w:numPr>
        <w:adjustRightInd w:val="0"/>
        <w:snapToGrid w:val="0"/>
        <w:spacing w:line="440" w:lineRule="exact"/>
        <w:ind w:left="0" w:firstLine="420" w:firstLineChars="0"/>
        <w:rPr>
          <w:rFonts w:hint="eastAsia" w:ascii="宋体" w:hAnsi="宋体" w:cs="宋体"/>
          <w:szCs w:val="21"/>
        </w:rPr>
      </w:pPr>
      <w:r>
        <w:rPr>
          <w:rFonts w:hint="eastAsia" w:ascii="宋体" w:hAnsi="宋体" w:cs="宋体"/>
          <w:szCs w:val="21"/>
        </w:rPr>
        <w:t>如投标文件对合同条款无任何偏差，投标人仅需在本偏离表中填写“无偏离”即可。</w:t>
      </w:r>
    </w:p>
    <w:p w14:paraId="09D44AED">
      <w:pPr>
        <w:pStyle w:val="81"/>
        <w:numPr>
          <w:ilvl w:val="0"/>
          <w:numId w:val="8"/>
        </w:numPr>
        <w:adjustRightInd w:val="0"/>
        <w:snapToGrid w:val="0"/>
        <w:spacing w:line="440" w:lineRule="exact"/>
        <w:ind w:left="0" w:firstLine="420" w:firstLineChars="0"/>
        <w:rPr>
          <w:rFonts w:hint="eastAsia" w:ascii="宋体" w:hAnsi="宋体" w:cs="宋体"/>
          <w:szCs w:val="21"/>
        </w:rPr>
      </w:pPr>
      <w:r>
        <w:rPr>
          <w:rFonts w:ascii="宋体" w:hAnsi="宋体" w:cs="宋体"/>
          <w:szCs w:val="21"/>
        </w:rPr>
        <w:t>如未填写</w:t>
      </w:r>
      <w:r>
        <w:rPr>
          <w:rFonts w:hint="eastAsia" w:ascii="宋体" w:hAnsi="宋体" w:cs="宋体"/>
          <w:szCs w:val="21"/>
        </w:rPr>
        <w:t>，</w:t>
      </w:r>
      <w:r>
        <w:rPr>
          <w:rFonts w:ascii="宋体" w:hAnsi="宋体" w:cs="宋体"/>
          <w:szCs w:val="21"/>
        </w:rPr>
        <w:t>默认为满足全部合同条款</w:t>
      </w:r>
      <w:r>
        <w:rPr>
          <w:rFonts w:hint="eastAsia" w:ascii="宋体" w:hAnsi="宋体" w:cs="宋体"/>
          <w:szCs w:val="21"/>
        </w:rPr>
        <w:t>，</w:t>
      </w:r>
      <w:r>
        <w:rPr>
          <w:rFonts w:ascii="宋体" w:hAnsi="宋体" w:cs="宋体"/>
          <w:szCs w:val="21"/>
        </w:rPr>
        <w:t>无任何偏差</w:t>
      </w:r>
      <w:r>
        <w:rPr>
          <w:rFonts w:hint="eastAsia" w:ascii="宋体" w:hAnsi="宋体" w:cs="宋体"/>
          <w:szCs w:val="21"/>
        </w:rPr>
        <w:t>。</w:t>
      </w:r>
    </w:p>
    <w:p w14:paraId="304B293C">
      <w:pPr>
        <w:adjustRightInd w:val="0"/>
        <w:snapToGrid w:val="0"/>
        <w:spacing w:line="440" w:lineRule="exact"/>
        <w:ind w:left="378" w:hanging="378" w:hangingChars="180"/>
        <w:rPr>
          <w:rFonts w:hint="eastAsia" w:ascii="宋体" w:hAnsi="宋体" w:cs="宋体"/>
          <w:szCs w:val="21"/>
        </w:rPr>
      </w:pPr>
    </w:p>
    <w:p w14:paraId="4E79B30B">
      <w:pPr>
        <w:adjustRightInd w:val="0"/>
        <w:snapToGrid w:val="0"/>
        <w:spacing w:line="440" w:lineRule="exact"/>
        <w:jc w:val="right"/>
        <w:rPr>
          <w:rFonts w:hint="eastAsia" w:ascii="宋体" w:hAnsi="宋体" w:cs="宋体"/>
          <w:szCs w:val="21"/>
        </w:rPr>
      </w:pPr>
      <w:r>
        <w:rPr>
          <w:rFonts w:hint="eastAsia" w:ascii="宋体" w:hAnsi="宋体" w:cs="宋体"/>
          <w:szCs w:val="21"/>
        </w:rPr>
        <w:t>投标人：</w:t>
      </w:r>
      <w:r>
        <w:rPr>
          <w:rFonts w:ascii="宋体" w:hAnsi="宋体" w:cs="宋体"/>
          <w:szCs w:val="21"/>
          <w:u w:val="single"/>
        </w:rPr>
        <w:t xml:space="preserve">   </w:t>
      </w:r>
      <w:r>
        <w:rPr>
          <w:rFonts w:hint="eastAsia" w:ascii="宋体" w:hAnsi="宋体" w:cs="宋体"/>
          <w:szCs w:val="21"/>
        </w:rPr>
        <w:t>（盖章）</w:t>
      </w:r>
    </w:p>
    <w:p w14:paraId="2DD69B71">
      <w:pPr>
        <w:widowControl/>
        <w:adjustRightInd w:val="0"/>
        <w:snapToGrid w:val="0"/>
        <w:spacing w:line="440" w:lineRule="exact"/>
        <w:ind w:firstLine="2100" w:firstLineChars="1000"/>
        <w:jc w:val="right"/>
        <w:rPr>
          <w:rFonts w:hint="eastAsia" w:ascii="宋体" w:hAnsi="宋体" w:cs="宋体"/>
          <w:szCs w:val="21"/>
        </w:rPr>
      </w:pPr>
      <w:r>
        <w:rPr>
          <w:rFonts w:hint="eastAsia" w:ascii="宋体" w:hAnsi="宋体" w:cs="宋体"/>
          <w:szCs w:val="21"/>
        </w:rPr>
        <w:t>法定代表人或者其委托代理人：</w:t>
      </w:r>
      <w:r>
        <w:rPr>
          <w:rFonts w:ascii="宋体" w:hAnsi="宋体" w:cs="宋体"/>
          <w:szCs w:val="21"/>
          <w:u w:val="single"/>
        </w:rPr>
        <w:t xml:space="preserve">   </w:t>
      </w:r>
      <w:r>
        <w:rPr>
          <w:rFonts w:hint="eastAsia" w:ascii="宋体" w:hAnsi="宋体" w:cs="宋体"/>
          <w:szCs w:val="21"/>
        </w:rPr>
        <w:t>（</w:t>
      </w:r>
      <w:r>
        <w:rPr>
          <w:rFonts w:hint="eastAsia" w:ascii="宋体" w:hAnsi="宋体"/>
          <w:szCs w:val="21"/>
        </w:rPr>
        <w:t>签字或盖签名章</w:t>
      </w:r>
      <w:r>
        <w:rPr>
          <w:rFonts w:hint="eastAsia" w:ascii="宋体" w:hAnsi="宋体" w:cs="宋体"/>
          <w:szCs w:val="21"/>
        </w:rPr>
        <w:t>）</w:t>
      </w:r>
    </w:p>
    <w:p w14:paraId="1D160DDA">
      <w:pPr>
        <w:topLinePunct/>
        <w:adjustRightInd w:val="0"/>
        <w:snapToGrid w:val="0"/>
        <w:spacing w:line="440" w:lineRule="exact"/>
        <w:jc w:val="right"/>
        <w:rPr>
          <w:rFonts w:hint="eastAsia" w:ascii="宋体" w:hAnsi="宋体"/>
          <w:b/>
          <w:bCs/>
          <w:sz w:val="24"/>
        </w:rPr>
      </w:pP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bookmarkStart w:id="717" w:name="_Toc477863047"/>
      <w:r>
        <w:rPr>
          <w:rFonts w:ascii="宋体" w:hAnsi="宋体"/>
          <w:sz w:val="24"/>
        </w:rPr>
        <w:br w:type="page"/>
      </w:r>
    </w:p>
    <w:bookmarkEnd w:id="717"/>
    <w:p w14:paraId="721E28D4">
      <w:pPr>
        <w:pStyle w:val="3"/>
        <w:jc w:val="center"/>
        <w:rPr>
          <w:rFonts w:hint="eastAsia" w:ascii="宋体" w:hAnsi="宋体" w:eastAsia="宋体"/>
          <w:sz w:val="28"/>
          <w:szCs w:val="28"/>
        </w:rPr>
      </w:pPr>
      <w:bookmarkStart w:id="718" w:name="_Toc214432863"/>
      <w:r>
        <w:rPr>
          <w:rFonts w:hint="eastAsia" w:ascii="宋体" w:hAnsi="宋体" w:eastAsia="宋体"/>
          <w:sz w:val="28"/>
          <w:szCs w:val="28"/>
        </w:rPr>
        <w:t>十三、技术条款应答偏离表</w:t>
      </w:r>
      <w:bookmarkEnd w:id="718"/>
    </w:p>
    <w:p w14:paraId="0A11358B">
      <w:pPr>
        <w:jc w:val="center"/>
        <w:rPr>
          <w:rFonts w:hint="eastAsia" w:ascii="宋体" w:hAnsi="宋体" w:cs="宋体"/>
          <w:sz w:val="24"/>
        </w:rPr>
      </w:pPr>
    </w:p>
    <w:p w14:paraId="513FD7F5">
      <w:pPr>
        <w:adjustRightInd w:val="0"/>
        <w:snapToGrid w:val="0"/>
        <w:spacing w:line="440" w:lineRule="exact"/>
        <w:ind w:right="-162" w:rightChars="-77"/>
        <w:rPr>
          <w:rFonts w:hint="eastAsia" w:ascii="宋体" w:hAnsi="宋体" w:cs="宋体"/>
          <w:b/>
          <w:szCs w:val="21"/>
          <w:u w:val="single"/>
        </w:rPr>
      </w:pPr>
      <w:r>
        <w:rPr>
          <w:rFonts w:hint="eastAsia" w:ascii="宋体" w:hAnsi="宋体" w:cs="宋体"/>
          <w:b/>
          <w:szCs w:val="21"/>
        </w:rPr>
        <w:t>项目名称：</w:t>
      </w:r>
      <w:r>
        <w:rPr>
          <w:rFonts w:hint="eastAsia" w:ascii="宋体" w:hAnsi="宋体" w:cs="宋体"/>
          <w:b/>
          <w:szCs w:val="21"/>
          <w:u w:val="single"/>
        </w:rPr>
        <w:t>惠州交投能源投资有限公司节能技改项目货物采购（第一批）</w:t>
      </w:r>
    </w:p>
    <w:tbl>
      <w:tblPr>
        <w:tblStyle w:val="44"/>
        <w:tblW w:w="891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23"/>
        <w:gridCol w:w="1845"/>
        <w:gridCol w:w="2332"/>
        <w:gridCol w:w="2573"/>
        <w:gridCol w:w="1441"/>
      </w:tblGrid>
      <w:tr w14:paraId="6BEB17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3" w:hRule="atLeast"/>
        </w:trPr>
        <w:tc>
          <w:tcPr>
            <w:tcW w:w="723" w:type="dxa"/>
            <w:vAlign w:val="center"/>
          </w:tcPr>
          <w:p w14:paraId="194CB044">
            <w:pPr>
              <w:adjustRightInd w:val="0"/>
              <w:snapToGrid w:val="0"/>
              <w:spacing w:line="440" w:lineRule="exact"/>
              <w:jc w:val="center"/>
              <w:rPr>
                <w:rFonts w:hint="eastAsia" w:ascii="宋体" w:hAnsi="宋体" w:cs="宋体"/>
                <w:szCs w:val="21"/>
              </w:rPr>
            </w:pPr>
            <w:r>
              <w:rPr>
                <w:rFonts w:hint="eastAsia" w:ascii="宋体" w:hAnsi="宋体" w:cs="宋体"/>
                <w:szCs w:val="21"/>
              </w:rPr>
              <w:t>序号</w:t>
            </w:r>
          </w:p>
        </w:tc>
        <w:tc>
          <w:tcPr>
            <w:tcW w:w="1845" w:type="dxa"/>
            <w:vAlign w:val="center"/>
          </w:tcPr>
          <w:p w14:paraId="2E12E783">
            <w:pPr>
              <w:adjustRightInd w:val="0"/>
              <w:snapToGrid w:val="0"/>
              <w:spacing w:line="440" w:lineRule="exact"/>
              <w:jc w:val="center"/>
              <w:rPr>
                <w:rFonts w:hint="eastAsia" w:ascii="宋体" w:hAnsi="宋体" w:cs="宋体"/>
                <w:szCs w:val="21"/>
              </w:rPr>
            </w:pPr>
            <w:r>
              <w:rPr>
                <w:rFonts w:hint="eastAsia" w:ascii="宋体" w:hAnsi="宋体" w:cs="宋体"/>
                <w:szCs w:val="21"/>
              </w:rPr>
              <w:t>招标文件条目号</w:t>
            </w:r>
          </w:p>
        </w:tc>
        <w:tc>
          <w:tcPr>
            <w:tcW w:w="2332" w:type="dxa"/>
            <w:vAlign w:val="center"/>
          </w:tcPr>
          <w:p w14:paraId="26485905">
            <w:pPr>
              <w:adjustRightInd w:val="0"/>
              <w:snapToGrid w:val="0"/>
              <w:spacing w:line="440" w:lineRule="exact"/>
              <w:jc w:val="center"/>
              <w:rPr>
                <w:rFonts w:hint="eastAsia" w:ascii="宋体" w:hAnsi="宋体" w:cs="宋体"/>
                <w:szCs w:val="21"/>
              </w:rPr>
            </w:pPr>
            <w:r>
              <w:rPr>
                <w:rFonts w:hint="eastAsia" w:ascii="宋体" w:hAnsi="宋体" w:cs="宋体"/>
                <w:szCs w:val="21"/>
              </w:rPr>
              <w:t>招标文件的技术条款</w:t>
            </w:r>
          </w:p>
        </w:tc>
        <w:tc>
          <w:tcPr>
            <w:tcW w:w="2573" w:type="dxa"/>
            <w:vAlign w:val="center"/>
          </w:tcPr>
          <w:p w14:paraId="408BD2C8">
            <w:pPr>
              <w:adjustRightInd w:val="0"/>
              <w:snapToGrid w:val="0"/>
              <w:spacing w:line="440" w:lineRule="exact"/>
              <w:jc w:val="center"/>
              <w:rPr>
                <w:rFonts w:hint="eastAsia" w:ascii="宋体" w:hAnsi="宋体" w:cs="宋体"/>
                <w:szCs w:val="21"/>
              </w:rPr>
            </w:pPr>
            <w:r>
              <w:rPr>
                <w:rFonts w:hint="eastAsia" w:ascii="宋体" w:hAnsi="宋体" w:cs="宋体"/>
                <w:szCs w:val="21"/>
              </w:rPr>
              <w:t>投标文件偏离情况</w:t>
            </w:r>
          </w:p>
        </w:tc>
        <w:tc>
          <w:tcPr>
            <w:tcW w:w="1441" w:type="dxa"/>
            <w:vAlign w:val="center"/>
          </w:tcPr>
          <w:p w14:paraId="4F2224D0">
            <w:pPr>
              <w:adjustRightInd w:val="0"/>
              <w:snapToGrid w:val="0"/>
              <w:spacing w:line="440" w:lineRule="exact"/>
              <w:jc w:val="center"/>
              <w:rPr>
                <w:rFonts w:hint="eastAsia" w:ascii="宋体" w:hAnsi="宋体" w:cs="宋体"/>
                <w:szCs w:val="21"/>
              </w:rPr>
            </w:pPr>
            <w:r>
              <w:rPr>
                <w:rFonts w:hint="eastAsia" w:ascii="宋体" w:hAnsi="宋体" w:cs="宋体"/>
                <w:szCs w:val="21"/>
              </w:rPr>
              <w:t>说明</w:t>
            </w:r>
          </w:p>
        </w:tc>
      </w:tr>
      <w:tr w14:paraId="00D3A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3" w:hRule="atLeast"/>
        </w:trPr>
        <w:tc>
          <w:tcPr>
            <w:tcW w:w="723" w:type="dxa"/>
            <w:vAlign w:val="center"/>
          </w:tcPr>
          <w:p w14:paraId="34EF9974">
            <w:pPr>
              <w:adjustRightInd w:val="0"/>
              <w:snapToGrid w:val="0"/>
              <w:spacing w:line="440" w:lineRule="exact"/>
              <w:rPr>
                <w:rFonts w:hint="eastAsia" w:ascii="宋体" w:hAnsi="宋体" w:cs="宋体"/>
                <w:szCs w:val="21"/>
              </w:rPr>
            </w:pPr>
          </w:p>
        </w:tc>
        <w:tc>
          <w:tcPr>
            <w:tcW w:w="1845" w:type="dxa"/>
            <w:vAlign w:val="center"/>
          </w:tcPr>
          <w:p w14:paraId="66DEC896">
            <w:pPr>
              <w:adjustRightInd w:val="0"/>
              <w:snapToGrid w:val="0"/>
              <w:spacing w:line="440" w:lineRule="exact"/>
              <w:rPr>
                <w:rFonts w:hint="eastAsia" w:ascii="宋体" w:hAnsi="宋体" w:cs="宋体"/>
                <w:szCs w:val="21"/>
              </w:rPr>
            </w:pPr>
          </w:p>
        </w:tc>
        <w:tc>
          <w:tcPr>
            <w:tcW w:w="2332" w:type="dxa"/>
            <w:vAlign w:val="center"/>
          </w:tcPr>
          <w:p w14:paraId="0BC20D58">
            <w:pPr>
              <w:adjustRightInd w:val="0"/>
              <w:snapToGrid w:val="0"/>
              <w:spacing w:line="440" w:lineRule="exact"/>
              <w:rPr>
                <w:rFonts w:hint="eastAsia" w:ascii="宋体" w:hAnsi="宋体" w:cs="宋体"/>
                <w:szCs w:val="21"/>
              </w:rPr>
            </w:pPr>
          </w:p>
        </w:tc>
        <w:tc>
          <w:tcPr>
            <w:tcW w:w="2573" w:type="dxa"/>
            <w:vAlign w:val="center"/>
          </w:tcPr>
          <w:p w14:paraId="2E869D32">
            <w:pPr>
              <w:adjustRightInd w:val="0"/>
              <w:snapToGrid w:val="0"/>
              <w:spacing w:line="440" w:lineRule="exact"/>
              <w:rPr>
                <w:rFonts w:hint="eastAsia" w:ascii="宋体" w:hAnsi="宋体" w:cs="宋体"/>
                <w:szCs w:val="21"/>
              </w:rPr>
            </w:pPr>
          </w:p>
        </w:tc>
        <w:tc>
          <w:tcPr>
            <w:tcW w:w="1441" w:type="dxa"/>
            <w:vAlign w:val="center"/>
          </w:tcPr>
          <w:p w14:paraId="7D4951CA">
            <w:pPr>
              <w:adjustRightInd w:val="0"/>
              <w:snapToGrid w:val="0"/>
              <w:spacing w:line="440" w:lineRule="exact"/>
              <w:rPr>
                <w:rFonts w:hint="eastAsia" w:ascii="宋体" w:hAnsi="宋体" w:cs="宋体"/>
                <w:szCs w:val="21"/>
              </w:rPr>
            </w:pPr>
          </w:p>
        </w:tc>
      </w:tr>
      <w:tr w14:paraId="07855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3" w:hRule="atLeast"/>
        </w:trPr>
        <w:tc>
          <w:tcPr>
            <w:tcW w:w="723" w:type="dxa"/>
            <w:vAlign w:val="center"/>
          </w:tcPr>
          <w:p w14:paraId="53F87BEE">
            <w:pPr>
              <w:adjustRightInd w:val="0"/>
              <w:snapToGrid w:val="0"/>
              <w:spacing w:line="440" w:lineRule="exact"/>
              <w:rPr>
                <w:rFonts w:hint="eastAsia" w:ascii="宋体" w:hAnsi="宋体" w:cs="宋体"/>
                <w:szCs w:val="21"/>
              </w:rPr>
            </w:pPr>
          </w:p>
        </w:tc>
        <w:tc>
          <w:tcPr>
            <w:tcW w:w="1845" w:type="dxa"/>
            <w:vAlign w:val="center"/>
          </w:tcPr>
          <w:p w14:paraId="7EB72F54">
            <w:pPr>
              <w:adjustRightInd w:val="0"/>
              <w:snapToGrid w:val="0"/>
              <w:spacing w:line="440" w:lineRule="exact"/>
              <w:rPr>
                <w:rFonts w:hint="eastAsia" w:ascii="宋体" w:hAnsi="宋体" w:cs="宋体"/>
                <w:szCs w:val="21"/>
              </w:rPr>
            </w:pPr>
          </w:p>
        </w:tc>
        <w:tc>
          <w:tcPr>
            <w:tcW w:w="2332" w:type="dxa"/>
            <w:vAlign w:val="center"/>
          </w:tcPr>
          <w:p w14:paraId="549F94F6">
            <w:pPr>
              <w:adjustRightInd w:val="0"/>
              <w:snapToGrid w:val="0"/>
              <w:spacing w:line="440" w:lineRule="exact"/>
              <w:rPr>
                <w:rFonts w:hint="eastAsia" w:ascii="宋体" w:hAnsi="宋体" w:cs="宋体"/>
                <w:szCs w:val="21"/>
              </w:rPr>
            </w:pPr>
          </w:p>
        </w:tc>
        <w:tc>
          <w:tcPr>
            <w:tcW w:w="2573" w:type="dxa"/>
            <w:vAlign w:val="center"/>
          </w:tcPr>
          <w:p w14:paraId="09228D7E">
            <w:pPr>
              <w:adjustRightInd w:val="0"/>
              <w:snapToGrid w:val="0"/>
              <w:spacing w:line="440" w:lineRule="exact"/>
              <w:rPr>
                <w:rFonts w:hint="eastAsia" w:ascii="宋体" w:hAnsi="宋体" w:cs="宋体"/>
                <w:szCs w:val="21"/>
              </w:rPr>
            </w:pPr>
          </w:p>
        </w:tc>
        <w:tc>
          <w:tcPr>
            <w:tcW w:w="1441" w:type="dxa"/>
            <w:vAlign w:val="center"/>
          </w:tcPr>
          <w:p w14:paraId="0D9AD260">
            <w:pPr>
              <w:adjustRightInd w:val="0"/>
              <w:snapToGrid w:val="0"/>
              <w:spacing w:line="440" w:lineRule="exact"/>
              <w:rPr>
                <w:rFonts w:hint="eastAsia" w:ascii="宋体" w:hAnsi="宋体" w:cs="宋体"/>
                <w:szCs w:val="21"/>
              </w:rPr>
            </w:pPr>
          </w:p>
        </w:tc>
      </w:tr>
      <w:tr w14:paraId="3DA6F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3" w:hRule="atLeast"/>
        </w:trPr>
        <w:tc>
          <w:tcPr>
            <w:tcW w:w="723" w:type="dxa"/>
            <w:vAlign w:val="center"/>
          </w:tcPr>
          <w:p w14:paraId="21867D1D">
            <w:pPr>
              <w:adjustRightInd w:val="0"/>
              <w:snapToGrid w:val="0"/>
              <w:spacing w:line="440" w:lineRule="exact"/>
              <w:rPr>
                <w:rFonts w:hint="eastAsia" w:ascii="宋体" w:hAnsi="宋体" w:cs="宋体"/>
                <w:szCs w:val="21"/>
              </w:rPr>
            </w:pPr>
          </w:p>
        </w:tc>
        <w:tc>
          <w:tcPr>
            <w:tcW w:w="1845" w:type="dxa"/>
            <w:vAlign w:val="center"/>
          </w:tcPr>
          <w:p w14:paraId="3F7A7E01">
            <w:pPr>
              <w:adjustRightInd w:val="0"/>
              <w:snapToGrid w:val="0"/>
              <w:spacing w:line="440" w:lineRule="exact"/>
              <w:rPr>
                <w:rFonts w:hint="eastAsia" w:ascii="宋体" w:hAnsi="宋体" w:cs="宋体"/>
                <w:szCs w:val="21"/>
              </w:rPr>
            </w:pPr>
          </w:p>
        </w:tc>
        <w:tc>
          <w:tcPr>
            <w:tcW w:w="2332" w:type="dxa"/>
            <w:vAlign w:val="center"/>
          </w:tcPr>
          <w:p w14:paraId="5940B63E">
            <w:pPr>
              <w:adjustRightInd w:val="0"/>
              <w:snapToGrid w:val="0"/>
              <w:spacing w:line="440" w:lineRule="exact"/>
              <w:rPr>
                <w:rFonts w:hint="eastAsia" w:ascii="宋体" w:hAnsi="宋体" w:cs="宋体"/>
                <w:szCs w:val="21"/>
              </w:rPr>
            </w:pPr>
          </w:p>
        </w:tc>
        <w:tc>
          <w:tcPr>
            <w:tcW w:w="2573" w:type="dxa"/>
            <w:vAlign w:val="center"/>
          </w:tcPr>
          <w:p w14:paraId="229C461C">
            <w:pPr>
              <w:adjustRightInd w:val="0"/>
              <w:snapToGrid w:val="0"/>
              <w:spacing w:line="440" w:lineRule="exact"/>
              <w:rPr>
                <w:rFonts w:hint="eastAsia" w:ascii="宋体" w:hAnsi="宋体" w:cs="宋体"/>
                <w:szCs w:val="21"/>
              </w:rPr>
            </w:pPr>
          </w:p>
        </w:tc>
        <w:tc>
          <w:tcPr>
            <w:tcW w:w="1441" w:type="dxa"/>
            <w:vAlign w:val="center"/>
          </w:tcPr>
          <w:p w14:paraId="603A74FD">
            <w:pPr>
              <w:adjustRightInd w:val="0"/>
              <w:snapToGrid w:val="0"/>
              <w:spacing w:line="440" w:lineRule="exact"/>
              <w:rPr>
                <w:rFonts w:hint="eastAsia" w:ascii="宋体" w:hAnsi="宋体" w:cs="宋体"/>
                <w:szCs w:val="21"/>
              </w:rPr>
            </w:pPr>
          </w:p>
        </w:tc>
      </w:tr>
      <w:tr w14:paraId="21C8D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6" w:hRule="atLeast"/>
        </w:trPr>
        <w:tc>
          <w:tcPr>
            <w:tcW w:w="723" w:type="dxa"/>
            <w:vAlign w:val="center"/>
          </w:tcPr>
          <w:p w14:paraId="4AA1D98E">
            <w:pPr>
              <w:adjustRightInd w:val="0"/>
              <w:snapToGrid w:val="0"/>
              <w:spacing w:line="440" w:lineRule="exact"/>
              <w:rPr>
                <w:rFonts w:hint="eastAsia" w:ascii="宋体" w:hAnsi="宋体" w:cs="宋体"/>
                <w:szCs w:val="21"/>
              </w:rPr>
            </w:pPr>
          </w:p>
        </w:tc>
        <w:tc>
          <w:tcPr>
            <w:tcW w:w="1845" w:type="dxa"/>
            <w:vAlign w:val="center"/>
          </w:tcPr>
          <w:p w14:paraId="3E23F813">
            <w:pPr>
              <w:adjustRightInd w:val="0"/>
              <w:snapToGrid w:val="0"/>
              <w:spacing w:line="440" w:lineRule="exact"/>
              <w:rPr>
                <w:rFonts w:hint="eastAsia" w:ascii="宋体" w:hAnsi="宋体" w:cs="宋体"/>
                <w:szCs w:val="21"/>
              </w:rPr>
            </w:pPr>
          </w:p>
        </w:tc>
        <w:tc>
          <w:tcPr>
            <w:tcW w:w="2332" w:type="dxa"/>
            <w:vAlign w:val="center"/>
          </w:tcPr>
          <w:p w14:paraId="04F0C26E">
            <w:pPr>
              <w:adjustRightInd w:val="0"/>
              <w:snapToGrid w:val="0"/>
              <w:spacing w:line="440" w:lineRule="exact"/>
              <w:rPr>
                <w:rFonts w:hint="eastAsia" w:ascii="宋体" w:hAnsi="宋体" w:cs="宋体"/>
                <w:szCs w:val="21"/>
              </w:rPr>
            </w:pPr>
          </w:p>
        </w:tc>
        <w:tc>
          <w:tcPr>
            <w:tcW w:w="2573" w:type="dxa"/>
            <w:vAlign w:val="center"/>
          </w:tcPr>
          <w:p w14:paraId="235F9B0D">
            <w:pPr>
              <w:adjustRightInd w:val="0"/>
              <w:snapToGrid w:val="0"/>
              <w:spacing w:line="440" w:lineRule="exact"/>
              <w:rPr>
                <w:rFonts w:hint="eastAsia" w:ascii="宋体" w:hAnsi="宋体" w:cs="宋体"/>
                <w:szCs w:val="21"/>
              </w:rPr>
            </w:pPr>
          </w:p>
        </w:tc>
        <w:tc>
          <w:tcPr>
            <w:tcW w:w="1441" w:type="dxa"/>
            <w:vAlign w:val="center"/>
          </w:tcPr>
          <w:p w14:paraId="25CC1831">
            <w:pPr>
              <w:adjustRightInd w:val="0"/>
              <w:snapToGrid w:val="0"/>
              <w:spacing w:line="440" w:lineRule="exact"/>
              <w:rPr>
                <w:rFonts w:hint="eastAsia" w:ascii="宋体" w:hAnsi="宋体" w:cs="宋体"/>
                <w:szCs w:val="21"/>
              </w:rPr>
            </w:pPr>
          </w:p>
        </w:tc>
      </w:tr>
      <w:tr w14:paraId="72FB4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3" w:hRule="atLeast"/>
        </w:trPr>
        <w:tc>
          <w:tcPr>
            <w:tcW w:w="723" w:type="dxa"/>
            <w:vAlign w:val="center"/>
          </w:tcPr>
          <w:p w14:paraId="317EE3DC">
            <w:pPr>
              <w:adjustRightInd w:val="0"/>
              <w:snapToGrid w:val="0"/>
              <w:spacing w:line="440" w:lineRule="exact"/>
              <w:rPr>
                <w:rFonts w:hint="eastAsia" w:ascii="宋体" w:hAnsi="宋体" w:cs="宋体"/>
                <w:szCs w:val="21"/>
              </w:rPr>
            </w:pPr>
          </w:p>
        </w:tc>
        <w:tc>
          <w:tcPr>
            <w:tcW w:w="1845" w:type="dxa"/>
            <w:vAlign w:val="center"/>
          </w:tcPr>
          <w:p w14:paraId="6BF82C49">
            <w:pPr>
              <w:adjustRightInd w:val="0"/>
              <w:snapToGrid w:val="0"/>
              <w:spacing w:line="440" w:lineRule="exact"/>
              <w:rPr>
                <w:rFonts w:hint="eastAsia" w:ascii="宋体" w:hAnsi="宋体" w:cs="宋体"/>
                <w:szCs w:val="21"/>
              </w:rPr>
            </w:pPr>
          </w:p>
        </w:tc>
        <w:tc>
          <w:tcPr>
            <w:tcW w:w="2332" w:type="dxa"/>
            <w:vAlign w:val="center"/>
          </w:tcPr>
          <w:p w14:paraId="2AC7E3A8">
            <w:pPr>
              <w:adjustRightInd w:val="0"/>
              <w:snapToGrid w:val="0"/>
              <w:spacing w:line="440" w:lineRule="exact"/>
              <w:rPr>
                <w:rFonts w:hint="eastAsia" w:ascii="宋体" w:hAnsi="宋体" w:cs="宋体"/>
                <w:szCs w:val="21"/>
              </w:rPr>
            </w:pPr>
          </w:p>
        </w:tc>
        <w:tc>
          <w:tcPr>
            <w:tcW w:w="2573" w:type="dxa"/>
            <w:vAlign w:val="center"/>
          </w:tcPr>
          <w:p w14:paraId="517576AD">
            <w:pPr>
              <w:adjustRightInd w:val="0"/>
              <w:snapToGrid w:val="0"/>
              <w:spacing w:line="440" w:lineRule="exact"/>
              <w:rPr>
                <w:rFonts w:hint="eastAsia" w:ascii="宋体" w:hAnsi="宋体" w:cs="宋体"/>
                <w:szCs w:val="21"/>
              </w:rPr>
            </w:pPr>
          </w:p>
        </w:tc>
        <w:tc>
          <w:tcPr>
            <w:tcW w:w="1441" w:type="dxa"/>
            <w:vAlign w:val="center"/>
          </w:tcPr>
          <w:p w14:paraId="2256B21A">
            <w:pPr>
              <w:adjustRightInd w:val="0"/>
              <w:snapToGrid w:val="0"/>
              <w:spacing w:line="440" w:lineRule="exact"/>
              <w:rPr>
                <w:rFonts w:hint="eastAsia" w:ascii="宋体" w:hAnsi="宋体" w:cs="宋体"/>
                <w:szCs w:val="21"/>
              </w:rPr>
            </w:pPr>
          </w:p>
        </w:tc>
      </w:tr>
      <w:tr w14:paraId="4860B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3" w:hRule="atLeast"/>
        </w:trPr>
        <w:tc>
          <w:tcPr>
            <w:tcW w:w="723" w:type="dxa"/>
            <w:vAlign w:val="center"/>
          </w:tcPr>
          <w:p w14:paraId="2DFDD57E">
            <w:pPr>
              <w:adjustRightInd w:val="0"/>
              <w:snapToGrid w:val="0"/>
              <w:spacing w:line="440" w:lineRule="exact"/>
              <w:rPr>
                <w:rFonts w:hint="eastAsia" w:ascii="宋体" w:hAnsi="宋体" w:cs="宋体"/>
                <w:szCs w:val="21"/>
              </w:rPr>
            </w:pPr>
          </w:p>
        </w:tc>
        <w:tc>
          <w:tcPr>
            <w:tcW w:w="1845" w:type="dxa"/>
            <w:vAlign w:val="center"/>
          </w:tcPr>
          <w:p w14:paraId="7DF40754">
            <w:pPr>
              <w:adjustRightInd w:val="0"/>
              <w:snapToGrid w:val="0"/>
              <w:spacing w:line="440" w:lineRule="exact"/>
              <w:rPr>
                <w:rFonts w:hint="eastAsia" w:ascii="宋体" w:hAnsi="宋体" w:cs="宋体"/>
                <w:szCs w:val="21"/>
              </w:rPr>
            </w:pPr>
          </w:p>
        </w:tc>
        <w:tc>
          <w:tcPr>
            <w:tcW w:w="2332" w:type="dxa"/>
            <w:vAlign w:val="center"/>
          </w:tcPr>
          <w:p w14:paraId="15CA2970">
            <w:pPr>
              <w:adjustRightInd w:val="0"/>
              <w:snapToGrid w:val="0"/>
              <w:spacing w:line="440" w:lineRule="exact"/>
              <w:rPr>
                <w:rFonts w:hint="eastAsia" w:ascii="宋体" w:hAnsi="宋体" w:cs="宋体"/>
                <w:szCs w:val="21"/>
              </w:rPr>
            </w:pPr>
          </w:p>
        </w:tc>
        <w:tc>
          <w:tcPr>
            <w:tcW w:w="2573" w:type="dxa"/>
            <w:vAlign w:val="center"/>
          </w:tcPr>
          <w:p w14:paraId="07A47459">
            <w:pPr>
              <w:adjustRightInd w:val="0"/>
              <w:snapToGrid w:val="0"/>
              <w:spacing w:line="440" w:lineRule="exact"/>
              <w:rPr>
                <w:rFonts w:hint="eastAsia" w:ascii="宋体" w:hAnsi="宋体" w:cs="宋体"/>
                <w:szCs w:val="21"/>
              </w:rPr>
            </w:pPr>
          </w:p>
        </w:tc>
        <w:tc>
          <w:tcPr>
            <w:tcW w:w="1441" w:type="dxa"/>
            <w:vAlign w:val="center"/>
          </w:tcPr>
          <w:p w14:paraId="4B1038D2">
            <w:pPr>
              <w:adjustRightInd w:val="0"/>
              <w:snapToGrid w:val="0"/>
              <w:spacing w:line="440" w:lineRule="exact"/>
              <w:rPr>
                <w:rFonts w:hint="eastAsia" w:ascii="宋体" w:hAnsi="宋体" w:cs="宋体"/>
                <w:szCs w:val="21"/>
              </w:rPr>
            </w:pPr>
          </w:p>
        </w:tc>
      </w:tr>
    </w:tbl>
    <w:p w14:paraId="423A2554">
      <w:pPr>
        <w:adjustRightInd w:val="0"/>
        <w:snapToGrid w:val="0"/>
        <w:spacing w:line="440" w:lineRule="exact"/>
        <w:ind w:left="693" w:hanging="693" w:hangingChars="330"/>
        <w:rPr>
          <w:rFonts w:hint="eastAsia" w:ascii="宋体" w:hAnsi="宋体" w:cs="宋体"/>
          <w:szCs w:val="21"/>
        </w:rPr>
      </w:pPr>
      <w:r>
        <w:rPr>
          <w:rFonts w:hint="eastAsia" w:ascii="宋体" w:hAnsi="宋体" w:cs="宋体"/>
          <w:szCs w:val="21"/>
        </w:rPr>
        <w:t>注：</w:t>
      </w:r>
    </w:p>
    <w:p w14:paraId="4BB6E673">
      <w:pPr>
        <w:pStyle w:val="81"/>
        <w:numPr>
          <w:ilvl w:val="0"/>
          <w:numId w:val="9"/>
        </w:numPr>
        <w:adjustRightInd w:val="0"/>
        <w:snapToGrid w:val="0"/>
        <w:spacing w:line="440" w:lineRule="exact"/>
        <w:ind w:left="420" w:firstLineChars="0"/>
        <w:rPr>
          <w:rFonts w:hint="eastAsia" w:ascii="宋体" w:hAnsi="宋体" w:cs="宋体"/>
          <w:szCs w:val="21"/>
        </w:rPr>
      </w:pPr>
      <w:r>
        <w:rPr>
          <w:rFonts w:hint="eastAsia" w:ascii="宋体" w:hAnsi="宋体" w:cs="宋体"/>
          <w:szCs w:val="21"/>
        </w:rPr>
        <w:t xml:space="preserve">投标人应当逐条对照招标文件“第五章 </w:t>
      </w:r>
      <w:r>
        <w:rPr>
          <w:rFonts w:ascii="宋体" w:hAnsi="宋体" w:cs="宋体"/>
          <w:szCs w:val="21"/>
        </w:rPr>
        <w:t xml:space="preserve"> </w:t>
      </w:r>
      <w:r>
        <w:rPr>
          <w:rFonts w:hint="eastAsia" w:ascii="宋体" w:hAnsi="宋体" w:cs="宋体"/>
          <w:szCs w:val="21"/>
        </w:rPr>
        <w:t>项目需求书”进行投标，就投标文件对技术条款存在的偏差与例外逐条做出说明；</w:t>
      </w:r>
    </w:p>
    <w:p w14:paraId="42B3A8F0">
      <w:pPr>
        <w:pStyle w:val="81"/>
        <w:numPr>
          <w:ilvl w:val="0"/>
          <w:numId w:val="9"/>
        </w:numPr>
        <w:adjustRightInd w:val="0"/>
        <w:snapToGrid w:val="0"/>
        <w:spacing w:line="440" w:lineRule="exact"/>
        <w:ind w:left="420" w:firstLineChars="0"/>
        <w:rPr>
          <w:rFonts w:hint="eastAsia" w:ascii="宋体" w:hAnsi="宋体" w:cs="宋体"/>
          <w:szCs w:val="21"/>
        </w:rPr>
      </w:pPr>
      <w:r>
        <w:rPr>
          <w:rFonts w:hint="eastAsia" w:ascii="宋体" w:hAnsi="宋体" w:cs="宋体"/>
          <w:szCs w:val="21"/>
        </w:rPr>
        <w:t>如投标文件对技术条款无任何偏差，投标人仅需在本偏离表中填写“无偏离”即可。</w:t>
      </w:r>
    </w:p>
    <w:p w14:paraId="0164CCE4">
      <w:pPr>
        <w:pStyle w:val="81"/>
        <w:numPr>
          <w:ilvl w:val="0"/>
          <w:numId w:val="9"/>
        </w:numPr>
        <w:adjustRightInd w:val="0"/>
        <w:snapToGrid w:val="0"/>
        <w:spacing w:line="440" w:lineRule="exact"/>
        <w:ind w:left="420" w:firstLineChars="0"/>
        <w:rPr>
          <w:rFonts w:hint="eastAsia" w:ascii="宋体" w:hAnsi="宋体" w:cs="宋体"/>
          <w:szCs w:val="21"/>
        </w:rPr>
      </w:pPr>
      <w:r>
        <w:rPr>
          <w:rFonts w:ascii="宋体" w:hAnsi="宋体" w:cs="宋体"/>
          <w:szCs w:val="21"/>
        </w:rPr>
        <w:t>如未填写</w:t>
      </w:r>
      <w:r>
        <w:rPr>
          <w:rFonts w:hint="eastAsia" w:ascii="宋体" w:hAnsi="宋体" w:cs="宋体"/>
          <w:szCs w:val="21"/>
        </w:rPr>
        <w:t>，</w:t>
      </w:r>
      <w:r>
        <w:rPr>
          <w:rFonts w:ascii="宋体" w:hAnsi="宋体" w:cs="宋体"/>
          <w:szCs w:val="21"/>
        </w:rPr>
        <w:t>默认为满足全部技术条款</w:t>
      </w:r>
      <w:r>
        <w:rPr>
          <w:rFonts w:hint="eastAsia" w:ascii="宋体" w:hAnsi="宋体" w:cs="宋体"/>
          <w:szCs w:val="21"/>
        </w:rPr>
        <w:t>，</w:t>
      </w:r>
      <w:r>
        <w:rPr>
          <w:rFonts w:ascii="宋体" w:hAnsi="宋体" w:cs="宋体"/>
          <w:szCs w:val="21"/>
        </w:rPr>
        <w:t>无任何偏差</w:t>
      </w:r>
      <w:r>
        <w:rPr>
          <w:rFonts w:hint="eastAsia" w:ascii="宋体" w:hAnsi="宋体" w:cs="宋体"/>
          <w:szCs w:val="21"/>
        </w:rPr>
        <w:t>。</w:t>
      </w:r>
    </w:p>
    <w:p w14:paraId="1315082B">
      <w:pPr>
        <w:pStyle w:val="81"/>
        <w:adjustRightInd w:val="0"/>
        <w:snapToGrid w:val="0"/>
        <w:spacing w:line="440" w:lineRule="exact"/>
        <w:ind w:left="378" w:firstLine="0" w:firstLineChars="0"/>
        <w:rPr>
          <w:rFonts w:hint="eastAsia" w:ascii="宋体" w:hAnsi="宋体" w:cs="宋体"/>
          <w:szCs w:val="21"/>
        </w:rPr>
      </w:pPr>
    </w:p>
    <w:p w14:paraId="28E71C16">
      <w:pPr>
        <w:wordWrap w:val="0"/>
        <w:adjustRightInd w:val="0"/>
        <w:snapToGrid w:val="0"/>
        <w:spacing w:line="440" w:lineRule="exact"/>
        <w:jc w:val="right"/>
        <w:rPr>
          <w:rFonts w:hint="eastAsia" w:ascii="宋体" w:hAnsi="宋体" w:cs="宋体"/>
          <w:szCs w:val="21"/>
        </w:rPr>
      </w:pPr>
      <w:r>
        <w:rPr>
          <w:rFonts w:hint="eastAsia" w:ascii="宋体" w:hAnsi="宋体" w:cs="宋体"/>
          <w:szCs w:val="21"/>
        </w:rPr>
        <w:t>投标人：</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（盖章）</w:t>
      </w:r>
    </w:p>
    <w:p w14:paraId="452D3B64">
      <w:pPr>
        <w:widowControl/>
        <w:adjustRightInd w:val="0"/>
        <w:snapToGrid w:val="0"/>
        <w:spacing w:line="440" w:lineRule="exact"/>
        <w:ind w:firstLine="2100" w:firstLineChars="1000"/>
        <w:jc w:val="right"/>
        <w:rPr>
          <w:rFonts w:hint="eastAsia" w:ascii="宋体" w:hAnsi="宋体" w:cs="宋体"/>
          <w:szCs w:val="21"/>
        </w:rPr>
      </w:pPr>
      <w:r>
        <w:rPr>
          <w:rFonts w:hint="eastAsia" w:ascii="宋体" w:hAnsi="宋体" w:cs="宋体"/>
          <w:szCs w:val="21"/>
        </w:rPr>
        <w:t>法定代表人或者其委托代理人：</w:t>
      </w:r>
      <w:r>
        <w:rPr>
          <w:rFonts w:ascii="宋体" w:hAnsi="宋体" w:cs="宋体"/>
          <w:szCs w:val="21"/>
          <w:u w:val="single"/>
        </w:rPr>
        <w:t xml:space="preserve">   </w:t>
      </w:r>
      <w:r>
        <w:rPr>
          <w:rFonts w:hint="eastAsia" w:ascii="宋体" w:hAnsi="宋体" w:cs="宋体"/>
          <w:szCs w:val="21"/>
        </w:rPr>
        <w:t>（</w:t>
      </w:r>
      <w:r>
        <w:rPr>
          <w:rFonts w:hint="eastAsia" w:ascii="宋体" w:hAnsi="宋体"/>
          <w:szCs w:val="21"/>
        </w:rPr>
        <w:t>签字或盖签名章</w:t>
      </w:r>
      <w:r>
        <w:rPr>
          <w:rFonts w:hint="eastAsia" w:ascii="宋体" w:hAnsi="宋体" w:cs="宋体"/>
          <w:szCs w:val="21"/>
        </w:rPr>
        <w:t>）</w:t>
      </w:r>
    </w:p>
    <w:p w14:paraId="734C40C8">
      <w:pPr>
        <w:topLinePunct/>
        <w:adjustRightInd w:val="0"/>
        <w:snapToGrid w:val="0"/>
        <w:spacing w:line="440" w:lineRule="exact"/>
        <w:jc w:val="right"/>
        <w:rPr>
          <w:rFonts w:hint="eastAsia" w:ascii="宋体" w:hAnsi="宋体"/>
          <w:b/>
          <w:bCs/>
          <w:sz w:val="32"/>
          <w:szCs w:val="32"/>
        </w:rPr>
      </w:pP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r>
        <w:rPr>
          <w:rFonts w:ascii="宋体" w:hAnsi="宋体"/>
        </w:rPr>
        <w:br w:type="page"/>
      </w:r>
    </w:p>
    <w:p w14:paraId="4F5E2BE5">
      <w:pPr>
        <w:pStyle w:val="3"/>
        <w:jc w:val="center"/>
        <w:rPr>
          <w:rFonts w:hint="eastAsia" w:ascii="宋体" w:hAnsi="宋体" w:eastAsia="宋体"/>
          <w:sz w:val="28"/>
          <w:szCs w:val="28"/>
        </w:rPr>
      </w:pPr>
      <w:bookmarkStart w:id="719" w:name="_Toc508963840"/>
      <w:bookmarkStart w:id="720" w:name="_Toc214432864"/>
      <w:r>
        <w:rPr>
          <w:rFonts w:hint="eastAsia" w:ascii="宋体" w:hAnsi="宋体" w:eastAsia="宋体"/>
          <w:sz w:val="28"/>
          <w:szCs w:val="28"/>
        </w:rPr>
        <w:t>十四、技术服务部分基本资料</w:t>
      </w:r>
      <w:bookmarkEnd w:id="715"/>
      <w:bookmarkEnd w:id="716"/>
      <w:bookmarkEnd w:id="719"/>
      <w:r>
        <w:rPr>
          <w:rFonts w:hint="eastAsia" w:ascii="宋体" w:hAnsi="宋体" w:eastAsia="宋体"/>
          <w:sz w:val="28"/>
          <w:szCs w:val="28"/>
        </w:rPr>
        <w:t>（如有）</w:t>
      </w:r>
      <w:bookmarkEnd w:id="720"/>
    </w:p>
    <w:p w14:paraId="6AC6D81D">
      <w:pPr>
        <w:rPr>
          <w:rFonts w:hint="eastAsia" w:ascii="宋体" w:hAnsi="宋体"/>
          <w:b/>
        </w:rPr>
      </w:pPr>
      <w:r>
        <w:rPr>
          <w:rFonts w:hint="eastAsia" w:ascii="宋体" w:hAnsi="宋体"/>
          <w:b/>
        </w:rPr>
        <w:t>请根据项目需求书和服务中明确要求投标人提供的相关文件，并以项目需求书和服务规定的先后顺序排序，以技术建议书的形式体现。</w:t>
      </w:r>
    </w:p>
    <w:p w14:paraId="695DCE43">
      <w:pPr>
        <w:pStyle w:val="42"/>
        <w:ind w:firstLine="280"/>
        <w:rPr>
          <w:rFonts w:hint="eastAsia" w:ascii="宋体" w:hAnsi="宋体"/>
        </w:rPr>
      </w:pPr>
    </w:p>
    <w:p w14:paraId="4EBED8C0">
      <w:pPr>
        <w:spacing w:line="360" w:lineRule="auto"/>
        <w:ind w:left="-2" w:leftChars="-202" w:hanging="422" w:hangingChars="201"/>
        <w:jc w:val="right"/>
        <w:rPr>
          <w:rFonts w:hint="eastAsia" w:ascii="宋体" w:hAnsi="宋体"/>
        </w:rPr>
      </w:pPr>
      <w:bookmarkStart w:id="721" w:name="_Toc398126264"/>
    </w:p>
    <w:p w14:paraId="0A8E139F">
      <w:pPr>
        <w:spacing w:line="360" w:lineRule="auto"/>
        <w:ind w:left="-2" w:leftChars="-202" w:hanging="422" w:hangingChars="201"/>
        <w:jc w:val="right"/>
        <w:rPr>
          <w:rFonts w:hint="eastAsia" w:ascii="宋体" w:hAnsi="宋体"/>
        </w:rPr>
      </w:pPr>
    </w:p>
    <w:p w14:paraId="07937463">
      <w:pPr>
        <w:pStyle w:val="4"/>
        <w:rPr>
          <w:rFonts w:hint="eastAsia" w:ascii="宋体" w:hAnsi="宋体" w:eastAsia="宋体"/>
        </w:rPr>
        <w:sectPr>
          <w:pgSz w:w="11920" w:h="16840"/>
          <w:pgMar w:top="1440" w:right="1080" w:bottom="1440" w:left="1080" w:header="851" w:footer="992" w:gutter="0"/>
          <w:pgBorders>
            <w:top w:val="none" w:sz="0" w:space="0"/>
            <w:left w:val="none" w:sz="0" w:space="0"/>
            <w:bottom w:val="none" w:sz="0" w:space="0"/>
            <w:right w:val="none" w:sz="0" w:space="0"/>
          </w:pgBorders>
          <w:cols w:space="720" w:num="1"/>
          <w:docGrid w:linePitch="312" w:charSpace="0"/>
        </w:sectPr>
      </w:pPr>
    </w:p>
    <w:bookmarkEnd w:id="721"/>
    <w:p w14:paraId="3EE4A13A">
      <w:pPr>
        <w:pStyle w:val="3"/>
        <w:jc w:val="center"/>
        <w:rPr>
          <w:rFonts w:hint="eastAsia" w:ascii="宋体" w:hAnsi="宋体" w:eastAsia="宋体"/>
          <w:sz w:val="28"/>
          <w:szCs w:val="28"/>
        </w:rPr>
      </w:pPr>
      <w:bookmarkStart w:id="722" w:name="_Toc504079585"/>
      <w:bookmarkEnd w:id="722"/>
      <w:bookmarkStart w:id="723" w:name="_Toc504079586"/>
      <w:bookmarkEnd w:id="723"/>
      <w:bookmarkStart w:id="724" w:name="_Toc504079732"/>
      <w:bookmarkEnd w:id="724"/>
      <w:bookmarkStart w:id="725" w:name="_Toc504079588"/>
      <w:bookmarkEnd w:id="725"/>
      <w:bookmarkStart w:id="726" w:name="_Toc504079587"/>
      <w:bookmarkEnd w:id="726"/>
      <w:bookmarkStart w:id="727" w:name="_Toc504079731"/>
      <w:bookmarkEnd w:id="727"/>
      <w:bookmarkStart w:id="728" w:name="_Toc504079734"/>
      <w:bookmarkEnd w:id="728"/>
      <w:bookmarkStart w:id="729" w:name="_Toc504079733"/>
      <w:bookmarkEnd w:id="729"/>
      <w:bookmarkStart w:id="730" w:name="_Toc508963841"/>
      <w:bookmarkStart w:id="731" w:name="_Toc214432865"/>
      <w:r>
        <w:rPr>
          <w:rFonts w:hint="eastAsia" w:ascii="宋体" w:hAnsi="宋体" w:eastAsia="宋体"/>
          <w:sz w:val="28"/>
          <w:szCs w:val="28"/>
        </w:rPr>
        <w:t>十五、招标文件要求的其他证明材料</w:t>
      </w:r>
      <w:bookmarkEnd w:id="730"/>
      <w:bookmarkEnd w:id="731"/>
    </w:p>
    <w:p w14:paraId="640A0ECD">
      <w:pPr>
        <w:spacing w:line="360" w:lineRule="auto"/>
        <w:rPr>
          <w:rFonts w:hint="eastAsia" w:ascii="宋体" w:hAnsi="宋体"/>
          <w:szCs w:val="21"/>
        </w:rPr>
      </w:pPr>
      <w:r>
        <w:rPr>
          <w:rFonts w:hint="eastAsia" w:ascii="宋体" w:hAnsi="宋体"/>
          <w:szCs w:val="21"/>
        </w:rPr>
        <w:t>备注：建议按</w:t>
      </w:r>
      <w:r>
        <w:rPr>
          <w:rFonts w:hint="eastAsia" w:ascii="宋体" w:hAnsi="宋体"/>
          <w:bCs/>
          <w:szCs w:val="21"/>
        </w:rPr>
        <w:t>第三章评审内容顺序编制相应的实施方案。</w:t>
      </w:r>
    </w:p>
    <w:p w14:paraId="70E6BB6A">
      <w:pPr>
        <w:spacing w:line="360" w:lineRule="auto"/>
        <w:rPr>
          <w:rFonts w:hint="eastAsia" w:ascii="宋体" w:hAnsi="宋体"/>
        </w:rPr>
      </w:pPr>
      <w:r>
        <w:rPr>
          <w:rFonts w:ascii="宋体" w:hAnsi="宋体"/>
          <w:szCs w:val="21"/>
        </w:rPr>
        <w:br w:type="page"/>
      </w:r>
    </w:p>
    <w:p w14:paraId="5EB0D5C1">
      <w:pPr>
        <w:pStyle w:val="3"/>
        <w:jc w:val="center"/>
        <w:rPr>
          <w:rFonts w:hint="eastAsia" w:ascii="宋体" w:hAnsi="宋体" w:eastAsia="宋体"/>
          <w:sz w:val="28"/>
          <w:szCs w:val="28"/>
        </w:rPr>
      </w:pPr>
      <w:bookmarkStart w:id="732" w:name="_Toc214432866"/>
      <w:bookmarkStart w:id="733" w:name="_Toc470454640"/>
      <w:r>
        <w:rPr>
          <w:rFonts w:hint="eastAsia" w:ascii="宋体" w:hAnsi="宋体" w:eastAsia="宋体"/>
          <w:sz w:val="28"/>
          <w:szCs w:val="28"/>
        </w:rPr>
        <w:t>十六、报价一览表</w:t>
      </w:r>
      <w:bookmarkEnd w:id="732"/>
      <w:bookmarkEnd w:id="733"/>
      <w:bookmarkStart w:id="734" w:name="_Toc428802620"/>
      <w:bookmarkStart w:id="735" w:name="_Toc454272289"/>
      <w:bookmarkStart w:id="736" w:name="_Toc477863081"/>
    </w:p>
    <w:p w14:paraId="41053DE1">
      <w:pPr>
        <w:pStyle w:val="42"/>
        <w:spacing w:after="0" w:line="360" w:lineRule="auto"/>
        <w:ind w:firstLine="321"/>
        <w:jc w:val="center"/>
        <w:rPr>
          <w:rFonts w:hint="eastAsia" w:ascii="宋体" w:hAnsi="宋体"/>
          <w:b/>
          <w:sz w:val="32"/>
          <w:szCs w:val="32"/>
        </w:rPr>
      </w:pPr>
      <w:r>
        <w:rPr>
          <w:rFonts w:hint="eastAsia" w:ascii="宋体" w:hAnsi="宋体"/>
          <w:b/>
          <w:sz w:val="32"/>
          <w:szCs w:val="32"/>
        </w:rPr>
        <w:t>报价一览表</w:t>
      </w:r>
    </w:p>
    <w:p w14:paraId="0123C8BE">
      <w:pPr>
        <w:pStyle w:val="42"/>
        <w:snapToGrid w:val="0"/>
        <w:spacing w:after="0" w:line="360" w:lineRule="auto"/>
        <w:ind w:firstLine="422" w:firstLineChars="200"/>
        <w:jc w:val="left"/>
        <w:rPr>
          <w:rFonts w:hint="eastAsia" w:ascii="宋体" w:hAnsi="宋体"/>
          <w:b/>
          <w:sz w:val="21"/>
          <w:szCs w:val="21"/>
          <w:u w:val="single"/>
        </w:rPr>
      </w:pPr>
      <w:r>
        <w:rPr>
          <w:rFonts w:hint="eastAsia" w:ascii="宋体" w:hAnsi="宋体"/>
          <w:b/>
          <w:sz w:val="21"/>
          <w:szCs w:val="21"/>
        </w:rPr>
        <w:t>项目名称：</w:t>
      </w:r>
      <w:r>
        <w:rPr>
          <w:rFonts w:hint="eastAsia" w:ascii="宋体" w:hAnsi="宋体"/>
          <w:b/>
          <w:sz w:val="21"/>
          <w:szCs w:val="21"/>
          <w:u w:val="single"/>
        </w:rPr>
        <w:t>惠州交投能源投资有限公司节能技改项目货物采购（第一批）</w:t>
      </w:r>
    </w:p>
    <w:tbl>
      <w:tblPr>
        <w:tblStyle w:val="4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2731"/>
        <w:gridCol w:w="2572"/>
        <w:gridCol w:w="2294"/>
      </w:tblGrid>
      <w:tr w14:paraId="68A10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919" w:type="dxa"/>
            <w:vAlign w:val="center"/>
          </w:tcPr>
          <w:p w14:paraId="54D8D8FE">
            <w:pPr>
              <w:pStyle w:val="42"/>
              <w:spacing w:after="0" w:line="240" w:lineRule="auto"/>
              <w:ind w:firstLine="0" w:firstLineChars="0"/>
              <w:jc w:val="center"/>
              <w:rPr>
                <w:rFonts w:hint="eastAsia" w:ascii="宋体" w:hAnsi="宋体" w:cstheme="minorEastAsia"/>
                <w:b/>
                <w:sz w:val="21"/>
                <w:szCs w:val="21"/>
              </w:rPr>
            </w:pPr>
            <w:r>
              <w:rPr>
                <w:rFonts w:hint="eastAsia" w:ascii="宋体" w:hAnsi="宋体" w:cstheme="minorEastAsia"/>
                <w:b/>
                <w:sz w:val="21"/>
                <w:szCs w:val="21"/>
              </w:rPr>
              <w:t>序号</w:t>
            </w:r>
          </w:p>
        </w:tc>
        <w:tc>
          <w:tcPr>
            <w:tcW w:w="2731" w:type="dxa"/>
            <w:vAlign w:val="center"/>
          </w:tcPr>
          <w:p w14:paraId="1E097C6A">
            <w:pPr>
              <w:pStyle w:val="42"/>
              <w:spacing w:after="0" w:line="240" w:lineRule="auto"/>
              <w:ind w:firstLine="0" w:firstLineChars="0"/>
              <w:jc w:val="center"/>
              <w:rPr>
                <w:rFonts w:hint="eastAsia" w:ascii="宋体" w:hAnsi="宋体" w:cstheme="minorEastAsia"/>
                <w:b/>
                <w:sz w:val="21"/>
                <w:szCs w:val="21"/>
              </w:rPr>
            </w:pPr>
            <w:r>
              <w:rPr>
                <w:rFonts w:hint="eastAsia" w:ascii="宋体" w:hAnsi="宋体" w:cstheme="minorEastAsia"/>
                <w:b/>
                <w:sz w:val="21"/>
                <w:szCs w:val="21"/>
              </w:rPr>
              <w:t>项目名称</w:t>
            </w:r>
          </w:p>
        </w:tc>
        <w:tc>
          <w:tcPr>
            <w:tcW w:w="2572" w:type="dxa"/>
            <w:vAlign w:val="center"/>
          </w:tcPr>
          <w:p w14:paraId="6CF6C246">
            <w:pPr>
              <w:pStyle w:val="42"/>
              <w:spacing w:after="0" w:line="240" w:lineRule="auto"/>
              <w:ind w:firstLine="0" w:firstLineChars="0"/>
              <w:jc w:val="center"/>
              <w:rPr>
                <w:rFonts w:hint="eastAsia" w:ascii="宋体" w:hAnsi="宋体" w:cstheme="minorEastAsia"/>
                <w:b/>
                <w:sz w:val="21"/>
                <w:szCs w:val="21"/>
              </w:rPr>
            </w:pPr>
            <w:r>
              <w:rPr>
                <w:rFonts w:hint="eastAsia" w:ascii="宋体" w:hAnsi="宋体" w:cstheme="minorEastAsia"/>
                <w:b/>
                <w:sz w:val="21"/>
                <w:szCs w:val="21"/>
              </w:rPr>
              <w:t>最高含税限价（元）</w:t>
            </w:r>
          </w:p>
        </w:tc>
        <w:tc>
          <w:tcPr>
            <w:tcW w:w="2294" w:type="dxa"/>
            <w:vAlign w:val="center"/>
          </w:tcPr>
          <w:p w14:paraId="5187FA7B">
            <w:pPr>
              <w:pStyle w:val="42"/>
              <w:spacing w:after="0" w:line="240" w:lineRule="auto"/>
              <w:ind w:firstLine="0" w:firstLineChars="0"/>
              <w:jc w:val="center"/>
              <w:rPr>
                <w:rFonts w:hint="eastAsia" w:ascii="宋体" w:hAnsi="宋体" w:cstheme="minorEastAsia"/>
                <w:b/>
                <w:sz w:val="21"/>
                <w:szCs w:val="21"/>
              </w:rPr>
            </w:pPr>
            <w:r>
              <w:rPr>
                <w:rFonts w:hint="eastAsia" w:ascii="宋体" w:hAnsi="宋体" w:cstheme="minorEastAsia"/>
                <w:b/>
                <w:sz w:val="21"/>
                <w:szCs w:val="21"/>
              </w:rPr>
              <w:t>投标含税报价（元）</w:t>
            </w:r>
          </w:p>
        </w:tc>
      </w:tr>
      <w:tr w14:paraId="67F29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919" w:type="dxa"/>
            <w:vAlign w:val="center"/>
          </w:tcPr>
          <w:p w14:paraId="05BD2CCA">
            <w:pPr>
              <w:pStyle w:val="42"/>
              <w:ind w:firstLine="0" w:firstLineChars="0"/>
              <w:jc w:val="center"/>
              <w:rPr>
                <w:rFonts w:hint="eastAsia" w:ascii="宋体" w:hAnsi="宋体" w:cstheme="minorEastAsia"/>
                <w:sz w:val="21"/>
                <w:szCs w:val="21"/>
              </w:rPr>
            </w:pPr>
            <w:r>
              <w:rPr>
                <w:rFonts w:hint="eastAsia" w:ascii="宋体" w:hAnsi="宋体" w:cstheme="minorEastAsia"/>
                <w:sz w:val="21"/>
                <w:szCs w:val="21"/>
              </w:rPr>
              <w:t>1</w:t>
            </w:r>
          </w:p>
        </w:tc>
        <w:tc>
          <w:tcPr>
            <w:tcW w:w="2731" w:type="dxa"/>
            <w:vAlign w:val="center"/>
          </w:tcPr>
          <w:p w14:paraId="456BF35C">
            <w:pPr>
              <w:pStyle w:val="42"/>
              <w:ind w:firstLine="0" w:firstLineChars="0"/>
              <w:jc w:val="center"/>
              <w:rPr>
                <w:rFonts w:hint="eastAsia" w:ascii="宋体" w:hAnsi="宋体" w:cstheme="minorEastAsia"/>
                <w:sz w:val="21"/>
                <w:szCs w:val="21"/>
              </w:rPr>
            </w:pPr>
            <w:r>
              <w:rPr>
                <w:rFonts w:hint="eastAsia" w:ascii="宋体" w:hAnsi="宋体" w:cstheme="minorEastAsia"/>
                <w:sz w:val="21"/>
                <w:szCs w:val="21"/>
              </w:rPr>
              <w:t>惠州交投能源投资有限公司节能技改项目货物采购（第一批）</w:t>
            </w:r>
          </w:p>
        </w:tc>
        <w:tc>
          <w:tcPr>
            <w:tcW w:w="2572" w:type="dxa"/>
            <w:vAlign w:val="center"/>
          </w:tcPr>
          <w:p w14:paraId="5963F02E">
            <w:pPr>
              <w:pStyle w:val="42"/>
              <w:ind w:firstLine="0" w:firstLineChars="0"/>
              <w:jc w:val="center"/>
              <w:rPr>
                <w:rFonts w:hint="eastAsia" w:ascii="宋体" w:hAnsi="宋体" w:cstheme="minorEastAsia"/>
                <w:sz w:val="21"/>
                <w:szCs w:val="21"/>
              </w:rPr>
            </w:pPr>
            <w:r>
              <w:rPr>
                <w:rFonts w:hint="eastAsia" w:ascii="宋体" w:hAnsi="宋体" w:cstheme="minorEastAsia"/>
                <w:sz w:val="21"/>
                <w:szCs w:val="21"/>
              </w:rPr>
              <w:t>5246390.29</w:t>
            </w:r>
          </w:p>
        </w:tc>
        <w:tc>
          <w:tcPr>
            <w:tcW w:w="2294" w:type="dxa"/>
            <w:vAlign w:val="center"/>
          </w:tcPr>
          <w:p w14:paraId="6A01F3CB">
            <w:pPr>
              <w:pStyle w:val="42"/>
              <w:ind w:firstLine="0" w:firstLineChars="0"/>
              <w:jc w:val="center"/>
              <w:rPr>
                <w:rFonts w:hint="eastAsia" w:ascii="宋体" w:hAnsi="宋体" w:cstheme="minorEastAsia"/>
                <w:sz w:val="21"/>
                <w:szCs w:val="21"/>
              </w:rPr>
            </w:pPr>
          </w:p>
        </w:tc>
      </w:tr>
    </w:tbl>
    <w:p w14:paraId="61EAE6ED">
      <w:pPr>
        <w:pStyle w:val="42"/>
        <w:ind w:firstLine="210"/>
        <w:rPr>
          <w:rFonts w:hint="eastAsia" w:ascii="宋体" w:hAnsi="宋体" w:cstheme="minorEastAsia"/>
          <w:sz w:val="21"/>
          <w:szCs w:val="21"/>
        </w:rPr>
      </w:pPr>
      <w:r>
        <w:rPr>
          <w:rFonts w:hint="eastAsia" w:ascii="宋体" w:hAnsi="宋体" w:cstheme="minorEastAsia"/>
          <w:sz w:val="21"/>
          <w:szCs w:val="21"/>
        </w:rPr>
        <w:t>注：</w:t>
      </w:r>
    </w:p>
    <w:p w14:paraId="0BA9FA8D">
      <w:pPr>
        <w:spacing w:after="0" w:line="360" w:lineRule="auto"/>
        <w:ind w:firstLine="420" w:firstLineChars="200"/>
        <w:rPr>
          <w:rFonts w:hint="eastAsia" w:ascii="宋体" w:hAnsi="宋体" w:cstheme="minorEastAsia"/>
          <w:szCs w:val="21"/>
        </w:rPr>
      </w:pPr>
      <w:r>
        <w:rPr>
          <w:rFonts w:hint="eastAsia" w:ascii="宋体" w:hAnsi="宋体" w:cstheme="minorEastAsia"/>
          <w:szCs w:val="21"/>
        </w:rPr>
        <w:t>1、投标人须按要求填写所有信息，不得随意更改本表格式。</w:t>
      </w:r>
    </w:p>
    <w:p w14:paraId="12FDAEA5">
      <w:pPr>
        <w:spacing w:after="0" w:line="360" w:lineRule="auto"/>
        <w:ind w:firstLine="420" w:firstLineChars="200"/>
        <w:jc w:val="left"/>
        <w:rPr>
          <w:rFonts w:hint="eastAsia" w:ascii="宋体" w:hAnsi="宋体" w:cstheme="minorEastAsia"/>
          <w:szCs w:val="21"/>
        </w:rPr>
      </w:pPr>
      <w:r>
        <w:rPr>
          <w:rFonts w:ascii="宋体" w:hAnsi="宋体" w:cstheme="minorEastAsia"/>
          <w:szCs w:val="21"/>
        </w:rPr>
        <w:t>2</w:t>
      </w:r>
      <w:r>
        <w:rPr>
          <w:rFonts w:hint="eastAsia" w:ascii="宋体" w:hAnsi="宋体" w:cstheme="minorEastAsia"/>
          <w:szCs w:val="21"/>
        </w:rPr>
        <w:t>、报价费用已包括设备费、人工费、管理费、税费、劳保费、交通费、运输费、安装费、调试费、相关技术支持及培训在内的与该项相关的一切费用，以及可合理推断的责任和义务。</w:t>
      </w:r>
    </w:p>
    <w:p w14:paraId="2921A4FE">
      <w:pPr>
        <w:spacing w:after="0" w:line="360" w:lineRule="auto"/>
        <w:ind w:firstLine="420" w:firstLineChars="200"/>
        <w:jc w:val="left"/>
        <w:rPr>
          <w:rFonts w:hint="eastAsia" w:ascii="宋体" w:hAnsi="宋体" w:cs="宋体"/>
          <w:kern w:val="0"/>
          <w:szCs w:val="21"/>
        </w:rPr>
      </w:pPr>
      <w:r>
        <w:rPr>
          <w:rFonts w:ascii="宋体" w:hAnsi="宋体" w:cstheme="minorEastAsia"/>
          <w:szCs w:val="21"/>
        </w:rPr>
        <w:t>3</w:t>
      </w:r>
      <w:r>
        <w:rPr>
          <w:rFonts w:hint="eastAsia" w:ascii="宋体" w:hAnsi="宋体" w:cstheme="minorEastAsia"/>
          <w:szCs w:val="21"/>
        </w:rPr>
        <w:t>、投标全过程所发生的费用由各投标人自理，不进行任何经济补偿。投标人应承担文件获取编制投标文件、递交投标文件等参加本项目投标活动所涉及的一切费用。</w:t>
      </w:r>
    </w:p>
    <w:p w14:paraId="0AC36ED5">
      <w:pPr>
        <w:pStyle w:val="42"/>
        <w:spacing w:after="0" w:line="360" w:lineRule="auto"/>
        <w:ind w:firstLineChars="200"/>
        <w:rPr>
          <w:rFonts w:hint="eastAsia" w:ascii="宋体" w:hAnsi="宋体" w:cstheme="minorEastAsia"/>
          <w:sz w:val="21"/>
          <w:szCs w:val="21"/>
        </w:rPr>
      </w:pPr>
      <w:r>
        <w:rPr>
          <w:rFonts w:hint="eastAsia" w:ascii="宋体" w:hAnsi="宋体" w:cstheme="minorEastAsia"/>
          <w:sz w:val="21"/>
          <w:szCs w:val="21"/>
        </w:rPr>
        <w:t>4、本项目报价超过本项目最高含税限价，投标无效处理。（报价精确至小数点后二位（小数点后第三位开始不计取，直接舍去））</w:t>
      </w:r>
    </w:p>
    <w:p w14:paraId="067F8A98">
      <w:pPr>
        <w:pStyle w:val="42"/>
        <w:spacing w:after="0" w:line="360" w:lineRule="auto"/>
        <w:ind w:firstLineChars="200"/>
        <w:rPr>
          <w:rFonts w:hint="eastAsia" w:ascii="宋体" w:hAnsi="宋体" w:cstheme="minorEastAsia"/>
          <w:sz w:val="21"/>
          <w:szCs w:val="21"/>
        </w:rPr>
      </w:pPr>
      <w:r>
        <w:rPr>
          <w:rFonts w:ascii="宋体" w:hAnsi="宋体" w:cstheme="minorEastAsia"/>
          <w:sz w:val="21"/>
          <w:szCs w:val="21"/>
        </w:rPr>
        <w:t>5</w:t>
      </w:r>
      <w:r>
        <w:rPr>
          <w:rFonts w:hint="eastAsia" w:ascii="宋体" w:hAnsi="宋体" w:cstheme="minorEastAsia"/>
          <w:sz w:val="21"/>
          <w:szCs w:val="21"/>
        </w:rPr>
        <w:t xml:space="preserve">、最终结算金额= </w:t>
      </w:r>
      <w:r>
        <w:rPr>
          <w:rFonts w:ascii="Segoe UI" w:hAnsi="Segoe UI" w:eastAsia="Segoe UI" w:cs="Segoe UI"/>
          <w:b/>
          <w:bCs/>
          <w:spacing w:val="-1"/>
          <w:szCs w:val="28"/>
          <w:shd w:val="clear" w:color="auto" w:fill="FFFFFF"/>
        </w:rPr>
        <w:t>Σ</w:t>
      </w:r>
      <w:r>
        <w:rPr>
          <w:rFonts w:hint="eastAsia" w:ascii="宋体" w:hAnsi="宋体" w:cstheme="minorEastAsia"/>
          <w:sz w:val="21"/>
          <w:szCs w:val="21"/>
        </w:rPr>
        <w:t>（各分项货物实际采购数量*各分项货物报价单价），最高结算金额不超过本项目成交金额。</w:t>
      </w:r>
    </w:p>
    <w:p w14:paraId="65F498F2">
      <w:pPr>
        <w:pStyle w:val="42"/>
        <w:spacing w:after="0" w:line="360" w:lineRule="auto"/>
        <w:ind w:firstLineChars="200"/>
        <w:rPr>
          <w:rFonts w:hint="eastAsia" w:ascii="宋体" w:hAnsi="宋体" w:cstheme="minorEastAsia"/>
          <w:sz w:val="21"/>
          <w:szCs w:val="21"/>
        </w:rPr>
      </w:pPr>
      <w:r>
        <w:rPr>
          <w:rFonts w:ascii="宋体" w:hAnsi="宋体" w:cstheme="minorEastAsia"/>
          <w:sz w:val="21"/>
          <w:szCs w:val="21"/>
        </w:rPr>
        <w:t>6</w:t>
      </w:r>
      <w:r>
        <w:rPr>
          <w:rFonts w:hint="eastAsia" w:ascii="宋体" w:hAnsi="宋体" w:cstheme="minorEastAsia"/>
          <w:sz w:val="21"/>
          <w:szCs w:val="21"/>
        </w:rPr>
        <w:t>、附分项报价表（详见附件:分项报价表）。</w:t>
      </w:r>
    </w:p>
    <w:p w14:paraId="739C70CD">
      <w:pPr>
        <w:wordWrap w:val="0"/>
        <w:adjustRightInd w:val="0"/>
        <w:snapToGrid w:val="0"/>
        <w:spacing w:line="440" w:lineRule="exact"/>
        <w:ind w:right="420"/>
        <w:jc w:val="right"/>
        <w:rPr>
          <w:rFonts w:hint="eastAsia" w:ascii="宋体" w:hAnsi="宋体" w:cs="宋体"/>
          <w:szCs w:val="21"/>
        </w:rPr>
      </w:pPr>
      <w:r>
        <w:rPr>
          <w:rFonts w:hint="eastAsia" w:ascii="宋体" w:hAnsi="宋体" w:cs="宋体"/>
          <w:szCs w:val="21"/>
        </w:rPr>
        <w:t>投标人：</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（盖章）</w:t>
      </w:r>
    </w:p>
    <w:p w14:paraId="53A05019">
      <w:pPr>
        <w:widowControl/>
        <w:adjustRightInd w:val="0"/>
        <w:snapToGrid w:val="0"/>
        <w:spacing w:line="440" w:lineRule="exact"/>
        <w:ind w:firstLine="2100" w:firstLineChars="1000"/>
        <w:jc w:val="right"/>
        <w:rPr>
          <w:rFonts w:hint="eastAsia" w:ascii="宋体" w:hAnsi="宋体" w:cs="宋体"/>
          <w:szCs w:val="21"/>
        </w:rPr>
      </w:pPr>
      <w:r>
        <w:rPr>
          <w:rFonts w:hint="eastAsia" w:ascii="宋体" w:hAnsi="宋体" w:cs="宋体"/>
          <w:szCs w:val="21"/>
        </w:rPr>
        <w:t>法定代表人或者其委托代理人：</w:t>
      </w:r>
      <w:r>
        <w:rPr>
          <w:rFonts w:ascii="宋体" w:hAnsi="宋体" w:cs="宋体"/>
          <w:szCs w:val="21"/>
          <w:u w:val="single"/>
        </w:rPr>
        <w:t xml:space="preserve">   </w:t>
      </w:r>
      <w:r>
        <w:rPr>
          <w:rFonts w:hint="eastAsia" w:ascii="宋体" w:hAnsi="宋体" w:cs="宋体"/>
          <w:szCs w:val="21"/>
        </w:rPr>
        <w:t>（</w:t>
      </w:r>
      <w:r>
        <w:rPr>
          <w:rFonts w:hint="eastAsia" w:ascii="宋体" w:hAnsi="宋体"/>
          <w:szCs w:val="21"/>
        </w:rPr>
        <w:t>签字或盖签名章</w:t>
      </w:r>
      <w:r>
        <w:rPr>
          <w:rFonts w:hint="eastAsia" w:ascii="宋体" w:hAnsi="宋体" w:cs="宋体"/>
          <w:szCs w:val="21"/>
        </w:rPr>
        <w:t>）</w:t>
      </w:r>
    </w:p>
    <w:p w14:paraId="482DB103">
      <w:pPr>
        <w:topLinePunct/>
        <w:adjustRightInd w:val="0"/>
        <w:snapToGrid w:val="0"/>
        <w:spacing w:line="440" w:lineRule="exact"/>
        <w:jc w:val="right"/>
        <w:rPr>
          <w:rFonts w:hint="eastAsia" w:ascii="宋体" w:hAnsi="宋体" w:cs="宋体"/>
          <w:szCs w:val="21"/>
        </w:rPr>
      </w:pP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1BECA971">
      <w:pPr>
        <w:pStyle w:val="3"/>
        <w:spacing w:before="0" w:after="0" w:line="360" w:lineRule="auto"/>
        <w:jc w:val="left"/>
        <w:rPr>
          <w:rFonts w:hint="eastAsia" w:ascii="宋体" w:hAnsi="宋体" w:cs="宋体"/>
          <w:szCs w:val="21"/>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cs="宋体"/>
          <w:szCs w:val="21"/>
        </w:rPr>
        <w:br w:type="page"/>
      </w:r>
    </w:p>
    <w:p w14:paraId="612D165C">
      <w:pPr>
        <w:pStyle w:val="3"/>
        <w:spacing w:before="0" w:after="0" w:line="360" w:lineRule="auto"/>
        <w:jc w:val="left"/>
        <w:rPr>
          <w:rFonts w:hint="eastAsia" w:ascii="宋体" w:hAnsi="宋体" w:eastAsia="宋体"/>
          <w:sz w:val="28"/>
          <w:szCs w:val="28"/>
        </w:rPr>
      </w:pPr>
      <w:bookmarkStart w:id="737" w:name="_Toc214432867"/>
      <w:r>
        <w:rPr>
          <w:rFonts w:hint="eastAsia" w:ascii="宋体" w:hAnsi="宋体" w:eastAsia="宋体"/>
          <w:sz w:val="28"/>
          <w:szCs w:val="28"/>
        </w:rPr>
        <w:t>十七、分项报价表</w:t>
      </w:r>
      <w:bookmarkEnd w:id="737"/>
    </w:p>
    <w:tbl>
      <w:tblPr>
        <w:tblStyle w:val="44"/>
        <w:tblW w:w="5000" w:type="pct"/>
        <w:tblInd w:w="0" w:type="dxa"/>
        <w:tblLayout w:type="autofit"/>
        <w:tblCellMar>
          <w:top w:w="0" w:type="dxa"/>
          <w:left w:w="108" w:type="dxa"/>
          <w:bottom w:w="0" w:type="dxa"/>
          <w:right w:w="108" w:type="dxa"/>
        </w:tblCellMar>
      </w:tblPr>
      <w:tblGrid>
        <w:gridCol w:w="747"/>
        <w:gridCol w:w="1392"/>
        <w:gridCol w:w="5763"/>
        <w:gridCol w:w="661"/>
        <w:gridCol w:w="916"/>
        <w:gridCol w:w="819"/>
        <w:gridCol w:w="1531"/>
        <w:gridCol w:w="1060"/>
        <w:gridCol w:w="1063"/>
        <w:gridCol w:w="222"/>
      </w:tblGrid>
      <w:tr w14:paraId="380DACE8">
        <w:tblPrEx>
          <w:tblCellMar>
            <w:top w:w="0" w:type="dxa"/>
            <w:left w:w="108" w:type="dxa"/>
            <w:bottom w:w="0" w:type="dxa"/>
            <w:right w:w="108" w:type="dxa"/>
          </w:tblCellMar>
        </w:tblPrEx>
        <w:trPr>
          <w:gridAfter w:val="1"/>
          <w:wAfter w:w="78" w:type="pct"/>
          <w:trHeight w:val="240" w:hRule="atLeast"/>
        </w:trPr>
        <w:tc>
          <w:tcPr>
            <w:tcW w:w="264" w:type="pct"/>
            <w:vMerge w:val="restart"/>
            <w:tcBorders>
              <w:top w:val="single" w:color="000000" w:sz="4" w:space="0"/>
              <w:left w:val="single" w:color="000000" w:sz="4" w:space="0"/>
              <w:bottom w:val="single" w:color="000000" w:sz="4" w:space="0"/>
              <w:right w:val="single" w:color="000000" w:sz="4" w:space="0"/>
            </w:tcBorders>
            <w:vAlign w:val="center"/>
          </w:tcPr>
          <w:p w14:paraId="19BFBE1C">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序号</w:t>
            </w:r>
          </w:p>
        </w:tc>
        <w:tc>
          <w:tcPr>
            <w:tcW w:w="491" w:type="pct"/>
            <w:vMerge w:val="restart"/>
            <w:tcBorders>
              <w:top w:val="single" w:color="000000" w:sz="4" w:space="0"/>
              <w:left w:val="single" w:color="000000" w:sz="4" w:space="0"/>
              <w:bottom w:val="single" w:color="000000" w:sz="4" w:space="0"/>
              <w:right w:val="single" w:color="000000" w:sz="4" w:space="0"/>
            </w:tcBorders>
            <w:vAlign w:val="center"/>
          </w:tcPr>
          <w:p w14:paraId="6BED0738">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货物名称</w:t>
            </w:r>
          </w:p>
        </w:tc>
        <w:tc>
          <w:tcPr>
            <w:tcW w:w="2033" w:type="pct"/>
            <w:vMerge w:val="restart"/>
            <w:tcBorders>
              <w:top w:val="single" w:color="000000" w:sz="4" w:space="0"/>
              <w:left w:val="single" w:color="000000" w:sz="4" w:space="0"/>
              <w:bottom w:val="single" w:color="000000" w:sz="4" w:space="0"/>
              <w:right w:val="single" w:color="000000" w:sz="4" w:space="0"/>
            </w:tcBorders>
            <w:vAlign w:val="center"/>
          </w:tcPr>
          <w:p w14:paraId="7F3AE162">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产品参数</w:t>
            </w:r>
          </w:p>
        </w:tc>
        <w:tc>
          <w:tcPr>
            <w:tcW w:w="233" w:type="pct"/>
            <w:vMerge w:val="restart"/>
            <w:tcBorders>
              <w:top w:val="single" w:color="000000" w:sz="4" w:space="0"/>
              <w:left w:val="single" w:color="000000" w:sz="4" w:space="0"/>
              <w:bottom w:val="single" w:color="000000" w:sz="4" w:space="0"/>
              <w:right w:val="single" w:color="000000" w:sz="4" w:space="0"/>
            </w:tcBorders>
            <w:vAlign w:val="center"/>
          </w:tcPr>
          <w:p w14:paraId="10E55820">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计量单位</w:t>
            </w:r>
          </w:p>
        </w:tc>
        <w:tc>
          <w:tcPr>
            <w:tcW w:w="323" w:type="pct"/>
            <w:vMerge w:val="restart"/>
            <w:tcBorders>
              <w:top w:val="single" w:color="000000" w:sz="4" w:space="0"/>
              <w:left w:val="single" w:color="000000" w:sz="4" w:space="0"/>
              <w:bottom w:val="single" w:color="000000" w:sz="4" w:space="0"/>
              <w:right w:val="single" w:color="000000" w:sz="4" w:space="0"/>
            </w:tcBorders>
            <w:vAlign w:val="center"/>
          </w:tcPr>
          <w:p w14:paraId="49729047">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数量</w:t>
            </w:r>
          </w:p>
        </w:tc>
        <w:tc>
          <w:tcPr>
            <w:tcW w:w="289" w:type="pct"/>
            <w:vMerge w:val="restart"/>
            <w:tcBorders>
              <w:top w:val="single" w:color="000000" w:sz="4" w:space="0"/>
              <w:left w:val="single" w:color="000000" w:sz="4" w:space="0"/>
              <w:bottom w:val="single" w:color="000000" w:sz="4" w:space="0"/>
              <w:right w:val="single" w:color="000000" w:sz="4" w:space="0"/>
            </w:tcBorders>
            <w:vAlign w:val="center"/>
          </w:tcPr>
          <w:p w14:paraId="4B15C6AA">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质保期（年）</w:t>
            </w:r>
          </w:p>
        </w:tc>
        <w:tc>
          <w:tcPr>
            <w:tcW w:w="540" w:type="pct"/>
            <w:vMerge w:val="restart"/>
            <w:tcBorders>
              <w:top w:val="single" w:color="000000" w:sz="4" w:space="0"/>
              <w:left w:val="single" w:color="000000" w:sz="4" w:space="0"/>
              <w:bottom w:val="single" w:color="000000" w:sz="4" w:space="0"/>
              <w:right w:val="single" w:color="000000" w:sz="4" w:space="0"/>
            </w:tcBorders>
            <w:vAlign w:val="center"/>
          </w:tcPr>
          <w:p w14:paraId="1D733D8E">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品牌、型号</w:t>
            </w:r>
          </w:p>
        </w:tc>
        <w:tc>
          <w:tcPr>
            <w:tcW w:w="749" w:type="pct"/>
            <w:gridSpan w:val="2"/>
            <w:tcBorders>
              <w:top w:val="single" w:color="000000" w:sz="4" w:space="0"/>
              <w:left w:val="nil"/>
              <w:bottom w:val="single" w:color="000000" w:sz="4" w:space="0"/>
              <w:right w:val="single" w:color="000000" w:sz="4" w:space="0"/>
            </w:tcBorders>
            <w:vAlign w:val="center"/>
          </w:tcPr>
          <w:p w14:paraId="690D233C">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金额(元)</w:t>
            </w:r>
          </w:p>
        </w:tc>
      </w:tr>
      <w:tr w14:paraId="59F86AE6">
        <w:tblPrEx>
          <w:tblCellMar>
            <w:top w:w="0" w:type="dxa"/>
            <w:left w:w="108" w:type="dxa"/>
            <w:bottom w:w="0" w:type="dxa"/>
            <w:right w:w="108" w:type="dxa"/>
          </w:tblCellMar>
        </w:tblPrEx>
        <w:trPr>
          <w:gridAfter w:val="1"/>
          <w:wAfter w:w="78" w:type="pct"/>
          <w:trHeight w:val="312" w:hRule="atLeast"/>
        </w:trPr>
        <w:tc>
          <w:tcPr>
            <w:tcW w:w="264" w:type="pct"/>
            <w:vMerge w:val="continue"/>
            <w:tcBorders>
              <w:top w:val="single" w:color="000000" w:sz="4" w:space="0"/>
              <w:left w:val="single" w:color="000000" w:sz="4" w:space="0"/>
              <w:bottom w:val="single" w:color="000000" w:sz="4" w:space="0"/>
              <w:right w:val="single" w:color="000000" w:sz="4" w:space="0"/>
            </w:tcBorders>
            <w:vAlign w:val="center"/>
          </w:tcPr>
          <w:p w14:paraId="7FAF20A3">
            <w:pPr>
              <w:widowControl/>
              <w:spacing w:after="0" w:line="240" w:lineRule="auto"/>
              <w:jc w:val="left"/>
              <w:rPr>
                <w:rFonts w:hint="eastAsia" w:ascii="宋体" w:hAnsi="宋体" w:cs="宋体"/>
                <w:b/>
                <w:bCs/>
                <w:kern w:val="0"/>
                <w:sz w:val="20"/>
                <w:szCs w:val="20"/>
              </w:rPr>
            </w:pPr>
          </w:p>
        </w:tc>
        <w:tc>
          <w:tcPr>
            <w:tcW w:w="491" w:type="pct"/>
            <w:vMerge w:val="continue"/>
            <w:tcBorders>
              <w:top w:val="single" w:color="000000" w:sz="4" w:space="0"/>
              <w:left w:val="single" w:color="000000" w:sz="4" w:space="0"/>
              <w:bottom w:val="single" w:color="000000" w:sz="4" w:space="0"/>
              <w:right w:val="single" w:color="000000" w:sz="4" w:space="0"/>
            </w:tcBorders>
            <w:vAlign w:val="center"/>
          </w:tcPr>
          <w:p w14:paraId="7C83FDAE">
            <w:pPr>
              <w:widowControl/>
              <w:spacing w:after="0" w:line="240" w:lineRule="auto"/>
              <w:jc w:val="left"/>
              <w:rPr>
                <w:rFonts w:hint="eastAsia" w:ascii="宋体" w:hAnsi="宋体" w:cs="宋体"/>
                <w:b/>
                <w:bCs/>
                <w:kern w:val="0"/>
                <w:sz w:val="20"/>
                <w:szCs w:val="20"/>
              </w:rPr>
            </w:pPr>
          </w:p>
        </w:tc>
        <w:tc>
          <w:tcPr>
            <w:tcW w:w="2033" w:type="pct"/>
            <w:vMerge w:val="continue"/>
            <w:tcBorders>
              <w:top w:val="single" w:color="000000" w:sz="4" w:space="0"/>
              <w:left w:val="single" w:color="000000" w:sz="4" w:space="0"/>
              <w:bottom w:val="single" w:color="000000" w:sz="4" w:space="0"/>
              <w:right w:val="single" w:color="000000" w:sz="4" w:space="0"/>
            </w:tcBorders>
            <w:vAlign w:val="center"/>
          </w:tcPr>
          <w:p w14:paraId="6EA7EEC6">
            <w:pPr>
              <w:widowControl/>
              <w:spacing w:after="0" w:line="240" w:lineRule="auto"/>
              <w:jc w:val="left"/>
              <w:rPr>
                <w:rFonts w:hint="eastAsia" w:ascii="宋体" w:hAnsi="宋体" w:cs="宋体"/>
                <w:b/>
                <w:bCs/>
                <w:kern w:val="0"/>
                <w:sz w:val="20"/>
                <w:szCs w:val="20"/>
              </w:rPr>
            </w:pPr>
          </w:p>
        </w:tc>
        <w:tc>
          <w:tcPr>
            <w:tcW w:w="233" w:type="pct"/>
            <w:vMerge w:val="continue"/>
            <w:tcBorders>
              <w:top w:val="single" w:color="000000" w:sz="4" w:space="0"/>
              <w:left w:val="single" w:color="000000" w:sz="4" w:space="0"/>
              <w:bottom w:val="single" w:color="000000" w:sz="4" w:space="0"/>
              <w:right w:val="single" w:color="000000" w:sz="4" w:space="0"/>
            </w:tcBorders>
            <w:vAlign w:val="center"/>
          </w:tcPr>
          <w:p w14:paraId="3B8017CB">
            <w:pPr>
              <w:widowControl/>
              <w:spacing w:after="0" w:line="240" w:lineRule="auto"/>
              <w:jc w:val="left"/>
              <w:rPr>
                <w:rFonts w:hint="eastAsia" w:ascii="宋体" w:hAnsi="宋体" w:cs="宋体"/>
                <w:b/>
                <w:bCs/>
                <w:kern w:val="0"/>
                <w:sz w:val="20"/>
                <w:szCs w:val="20"/>
              </w:rPr>
            </w:pPr>
          </w:p>
        </w:tc>
        <w:tc>
          <w:tcPr>
            <w:tcW w:w="323" w:type="pct"/>
            <w:vMerge w:val="continue"/>
            <w:tcBorders>
              <w:top w:val="single" w:color="000000" w:sz="4" w:space="0"/>
              <w:left w:val="single" w:color="000000" w:sz="4" w:space="0"/>
              <w:bottom w:val="single" w:color="000000" w:sz="4" w:space="0"/>
              <w:right w:val="single" w:color="000000" w:sz="4" w:space="0"/>
            </w:tcBorders>
            <w:vAlign w:val="center"/>
          </w:tcPr>
          <w:p w14:paraId="3C1D95F2">
            <w:pPr>
              <w:widowControl/>
              <w:spacing w:after="0" w:line="240" w:lineRule="auto"/>
              <w:jc w:val="left"/>
              <w:rPr>
                <w:rFonts w:hint="eastAsia" w:ascii="宋体" w:hAnsi="宋体" w:cs="宋体"/>
                <w:b/>
                <w:bCs/>
                <w:kern w:val="0"/>
                <w:sz w:val="20"/>
                <w:szCs w:val="20"/>
              </w:rPr>
            </w:pPr>
          </w:p>
        </w:tc>
        <w:tc>
          <w:tcPr>
            <w:tcW w:w="289" w:type="pct"/>
            <w:vMerge w:val="continue"/>
            <w:tcBorders>
              <w:top w:val="single" w:color="000000" w:sz="4" w:space="0"/>
              <w:left w:val="single" w:color="000000" w:sz="4" w:space="0"/>
              <w:bottom w:val="single" w:color="000000" w:sz="4" w:space="0"/>
              <w:right w:val="single" w:color="000000" w:sz="4" w:space="0"/>
            </w:tcBorders>
            <w:vAlign w:val="center"/>
          </w:tcPr>
          <w:p w14:paraId="560E3E87">
            <w:pPr>
              <w:widowControl/>
              <w:spacing w:after="0" w:line="240" w:lineRule="auto"/>
              <w:jc w:val="left"/>
              <w:rPr>
                <w:rFonts w:hint="eastAsia" w:ascii="宋体" w:hAnsi="宋体" w:cs="宋体"/>
                <w:b/>
                <w:bCs/>
                <w:kern w:val="0"/>
                <w:sz w:val="20"/>
                <w:szCs w:val="20"/>
              </w:rPr>
            </w:pPr>
          </w:p>
        </w:tc>
        <w:tc>
          <w:tcPr>
            <w:tcW w:w="540" w:type="pct"/>
            <w:vMerge w:val="continue"/>
            <w:tcBorders>
              <w:top w:val="single" w:color="000000" w:sz="4" w:space="0"/>
              <w:left w:val="single" w:color="000000" w:sz="4" w:space="0"/>
              <w:bottom w:val="single" w:color="000000" w:sz="4" w:space="0"/>
              <w:right w:val="single" w:color="000000" w:sz="4" w:space="0"/>
            </w:tcBorders>
            <w:vAlign w:val="center"/>
          </w:tcPr>
          <w:p w14:paraId="7B81A42B">
            <w:pPr>
              <w:widowControl/>
              <w:spacing w:after="0" w:line="240" w:lineRule="auto"/>
              <w:jc w:val="left"/>
              <w:rPr>
                <w:rFonts w:hint="eastAsia" w:ascii="宋体" w:hAnsi="宋体" w:cs="宋体"/>
                <w:b/>
                <w:bCs/>
                <w:kern w:val="0"/>
                <w:sz w:val="20"/>
                <w:szCs w:val="20"/>
              </w:rPr>
            </w:pPr>
          </w:p>
        </w:tc>
        <w:tc>
          <w:tcPr>
            <w:tcW w:w="374" w:type="pct"/>
            <w:vMerge w:val="restart"/>
            <w:tcBorders>
              <w:top w:val="nil"/>
              <w:left w:val="single" w:color="000000" w:sz="4" w:space="0"/>
              <w:bottom w:val="single" w:color="000000" w:sz="4" w:space="0"/>
              <w:right w:val="single" w:color="000000" w:sz="4" w:space="0"/>
            </w:tcBorders>
            <w:vAlign w:val="center"/>
          </w:tcPr>
          <w:p w14:paraId="378411BD">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单价</w:t>
            </w:r>
          </w:p>
        </w:tc>
        <w:tc>
          <w:tcPr>
            <w:tcW w:w="375" w:type="pct"/>
            <w:vMerge w:val="restart"/>
            <w:tcBorders>
              <w:top w:val="nil"/>
              <w:left w:val="single" w:color="000000" w:sz="4" w:space="0"/>
              <w:bottom w:val="single" w:color="000000" w:sz="4" w:space="0"/>
              <w:right w:val="single" w:color="000000" w:sz="4" w:space="0"/>
            </w:tcBorders>
            <w:vAlign w:val="center"/>
          </w:tcPr>
          <w:p w14:paraId="60A94CE9">
            <w:pPr>
              <w:widowControl/>
              <w:spacing w:after="0" w:line="240" w:lineRule="auto"/>
              <w:jc w:val="center"/>
              <w:rPr>
                <w:rFonts w:hint="eastAsia" w:ascii="宋体" w:hAnsi="宋体" w:cs="宋体"/>
                <w:b/>
                <w:bCs/>
                <w:kern w:val="0"/>
                <w:sz w:val="20"/>
                <w:szCs w:val="20"/>
              </w:rPr>
            </w:pPr>
            <w:r>
              <w:rPr>
                <w:rFonts w:hint="eastAsia" w:ascii="宋体" w:hAnsi="宋体" w:cs="宋体"/>
                <w:b/>
                <w:bCs/>
                <w:kern w:val="0"/>
                <w:sz w:val="20"/>
                <w:szCs w:val="20"/>
              </w:rPr>
              <w:t>总价</w:t>
            </w:r>
          </w:p>
        </w:tc>
      </w:tr>
      <w:tr w14:paraId="5408205F">
        <w:tblPrEx>
          <w:tblCellMar>
            <w:top w:w="0" w:type="dxa"/>
            <w:left w:w="108" w:type="dxa"/>
            <w:bottom w:w="0" w:type="dxa"/>
            <w:right w:w="108" w:type="dxa"/>
          </w:tblCellMar>
        </w:tblPrEx>
        <w:trPr>
          <w:trHeight w:val="225" w:hRule="atLeast"/>
        </w:trPr>
        <w:tc>
          <w:tcPr>
            <w:tcW w:w="264" w:type="pct"/>
            <w:vMerge w:val="continue"/>
            <w:tcBorders>
              <w:top w:val="single" w:color="000000" w:sz="4" w:space="0"/>
              <w:left w:val="single" w:color="000000" w:sz="4" w:space="0"/>
              <w:bottom w:val="single" w:color="000000" w:sz="4" w:space="0"/>
              <w:right w:val="single" w:color="000000" w:sz="4" w:space="0"/>
            </w:tcBorders>
            <w:vAlign w:val="center"/>
          </w:tcPr>
          <w:p w14:paraId="2A29D4BE">
            <w:pPr>
              <w:widowControl/>
              <w:spacing w:after="0" w:line="240" w:lineRule="auto"/>
              <w:jc w:val="left"/>
              <w:rPr>
                <w:rFonts w:hint="eastAsia" w:ascii="宋体" w:hAnsi="宋体" w:cs="宋体"/>
                <w:b/>
                <w:bCs/>
                <w:kern w:val="0"/>
                <w:sz w:val="20"/>
                <w:szCs w:val="20"/>
              </w:rPr>
            </w:pPr>
          </w:p>
        </w:tc>
        <w:tc>
          <w:tcPr>
            <w:tcW w:w="491" w:type="pct"/>
            <w:vMerge w:val="continue"/>
            <w:tcBorders>
              <w:top w:val="single" w:color="000000" w:sz="4" w:space="0"/>
              <w:left w:val="single" w:color="000000" w:sz="4" w:space="0"/>
              <w:bottom w:val="single" w:color="000000" w:sz="4" w:space="0"/>
              <w:right w:val="single" w:color="000000" w:sz="4" w:space="0"/>
            </w:tcBorders>
            <w:vAlign w:val="center"/>
          </w:tcPr>
          <w:p w14:paraId="21D3590A">
            <w:pPr>
              <w:widowControl/>
              <w:spacing w:after="0" w:line="240" w:lineRule="auto"/>
              <w:jc w:val="left"/>
              <w:rPr>
                <w:rFonts w:hint="eastAsia" w:ascii="宋体" w:hAnsi="宋体" w:cs="宋体"/>
                <w:b/>
                <w:bCs/>
                <w:kern w:val="0"/>
                <w:sz w:val="20"/>
                <w:szCs w:val="20"/>
              </w:rPr>
            </w:pPr>
          </w:p>
        </w:tc>
        <w:tc>
          <w:tcPr>
            <w:tcW w:w="2033" w:type="pct"/>
            <w:vMerge w:val="continue"/>
            <w:tcBorders>
              <w:top w:val="single" w:color="000000" w:sz="4" w:space="0"/>
              <w:left w:val="single" w:color="000000" w:sz="4" w:space="0"/>
              <w:bottom w:val="single" w:color="000000" w:sz="4" w:space="0"/>
              <w:right w:val="single" w:color="000000" w:sz="4" w:space="0"/>
            </w:tcBorders>
            <w:vAlign w:val="center"/>
          </w:tcPr>
          <w:p w14:paraId="440B8A35">
            <w:pPr>
              <w:widowControl/>
              <w:spacing w:after="0" w:line="240" w:lineRule="auto"/>
              <w:jc w:val="left"/>
              <w:rPr>
                <w:rFonts w:hint="eastAsia" w:ascii="宋体" w:hAnsi="宋体" w:cs="宋体"/>
                <w:b/>
                <w:bCs/>
                <w:kern w:val="0"/>
                <w:sz w:val="20"/>
                <w:szCs w:val="20"/>
              </w:rPr>
            </w:pPr>
          </w:p>
        </w:tc>
        <w:tc>
          <w:tcPr>
            <w:tcW w:w="233" w:type="pct"/>
            <w:vMerge w:val="continue"/>
            <w:tcBorders>
              <w:top w:val="single" w:color="000000" w:sz="4" w:space="0"/>
              <w:left w:val="single" w:color="000000" w:sz="4" w:space="0"/>
              <w:bottom w:val="single" w:color="000000" w:sz="4" w:space="0"/>
              <w:right w:val="single" w:color="000000" w:sz="4" w:space="0"/>
            </w:tcBorders>
            <w:vAlign w:val="center"/>
          </w:tcPr>
          <w:p w14:paraId="09C1E83A">
            <w:pPr>
              <w:widowControl/>
              <w:spacing w:after="0" w:line="240" w:lineRule="auto"/>
              <w:jc w:val="left"/>
              <w:rPr>
                <w:rFonts w:hint="eastAsia" w:ascii="宋体" w:hAnsi="宋体" w:cs="宋体"/>
                <w:b/>
                <w:bCs/>
                <w:kern w:val="0"/>
                <w:sz w:val="20"/>
                <w:szCs w:val="20"/>
              </w:rPr>
            </w:pPr>
          </w:p>
        </w:tc>
        <w:tc>
          <w:tcPr>
            <w:tcW w:w="323" w:type="pct"/>
            <w:vMerge w:val="continue"/>
            <w:tcBorders>
              <w:top w:val="single" w:color="000000" w:sz="4" w:space="0"/>
              <w:left w:val="single" w:color="000000" w:sz="4" w:space="0"/>
              <w:bottom w:val="single" w:color="000000" w:sz="4" w:space="0"/>
              <w:right w:val="single" w:color="000000" w:sz="4" w:space="0"/>
            </w:tcBorders>
            <w:vAlign w:val="center"/>
          </w:tcPr>
          <w:p w14:paraId="6EF6ABCB">
            <w:pPr>
              <w:widowControl/>
              <w:spacing w:after="0" w:line="240" w:lineRule="auto"/>
              <w:jc w:val="left"/>
              <w:rPr>
                <w:rFonts w:hint="eastAsia" w:ascii="宋体" w:hAnsi="宋体" w:cs="宋体"/>
                <w:b/>
                <w:bCs/>
                <w:kern w:val="0"/>
                <w:sz w:val="20"/>
                <w:szCs w:val="20"/>
              </w:rPr>
            </w:pPr>
          </w:p>
        </w:tc>
        <w:tc>
          <w:tcPr>
            <w:tcW w:w="289" w:type="pct"/>
            <w:vMerge w:val="continue"/>
            <w:tcBorders>
              <w:top w:val="single" w:color="000000" w:sz="4" w:space="0"/>
              <w:left w:val="single" w:color="000000" w:sz="4" w:space="0"/>
              <w:bottom w:val="single" w:color="000000" w:sz="4" w:space="0"/>
              <w:right w:val="single" w:color="000000" w:sz="4" w:space="0"/>
            </w:tcBorders>
            <w:vAlign w:val="center"/>
          </w:tcPr>
          <w:p w14:paraId="082989D4">
            <w:pPr>
              <w:widowControl/>
              <w:spacing w:after="0" w:line="240" w:lineRule="auto"/>
              <w:jc w:val="left"/>
              <w:rPr>
                <w:rFonts w:hint="eastAsia" w:ascii="宋体" w:hAnsi="宋体" w:cs="宋体"/>
                <w:b/>
                <w:bCs/>
                <w:kern w:val="0"/>
                <w:sz w:val="20"/>
                <w:szCs w:val="20"/>
              </w:rPr>
            </w:pPr>
          </w:p>
        </w:tc>
        <w:tc>
          <w:tcPr>
            <w:tcW w:w="540" w:type="pct"/>
            <w:vMerge w:val="continue"/>
            <w:tcBorders>
              <w:top w:val="single" w:color="000000" w:sz="4" w:space="0"/>
              <w:left w:val="single" w:color="000000" w:sz="4" w:space="0"/>
              <w:bottom w:val="single" w:color="000000" w:sz="4" w:space="0"/>
              <w:right w:val="single" w:color="000000" w:sz="4" w:space="0"/>
            </w:tcBorders>
            <w:vAlign w:val="center"/>
          </w:tcPr>
          <w:p w14:paraId="3C993FE4">
            <w:pPr>
              <w:widowControl/>
              <w:spacing w:after="0" w:line="240" w:lineRule="auto"/>
              <w:jc w:val="left"/>
              <w:rPr>
                <w:rFonts w:hint="eastAsia" w:ascii="宋体" w:hAnsi="宋体" w:cs="宋体"/>
                <w:b/>
                <w:bCs/>
                <w:kern w:val="0"/>
                <w:sz w:val="20"/>
                <w:szCs w:val="20"/>
              </w:rPr>
            </w:pPr>
          </w:p>
        </w:tc>
        <w:tc>
          <w:tcPr>
            <w:tcW w:w="374" w:type="pct"/>
            <w:vMerge w:val="continue"/>
            <w:tcBorders>
              <w:top w:val="nil"/>
              <w:left w:val="single" w:color="000000" w:sz="4" w:space="0"/>
              <w:bottom w:val="single" w:color="000000" w:sz="4" w:space="0"/>
              <w:right w:val="single" w:color="000000" w:sz="4" w:space="0"/>
            </w:tcBorders>
            <w:vAlign w:val="center"/>
          </w:tcPr>
          <w:p w14:paraId="5E34D84E">
            <w:pPr>
              <w:widowControl/>
              <w:spacing w:after="0" w:line="240" w:lineRule="auto"/>
              <w:jc w:val="left"/>
              <w:rPr>
                <w:rFonts w:hint="eastAsia" w:ascii="宋体" w:hAnsi="宋体" w:cs="宋体"/>
                <w:b/>
                <w:bCs/>
                <w:kern w:val="0"/>
                <w:sz w:val="20"/>
                <w:szCs w:val="20"/>
              </w:rPr>
            </w:pPr>
          </w:p>
        </w:tc>
        <w:tc>
          <w:tcPr>
            <w:tcW w:w="375" w:type="pct"/>
            <w:vMerge w:val="continue"/>
            <w:tcBorders>
              <w:top w:val="nil"/>
              <w:left w:val="single" w:color="000000" w:sz="4" w:space="0"/>
              <w:bottom w:val="single" w:color="000000" w:sz="4" w:space="0"/>
              <w:right w:val="single" w:color="000000" w:sz="4" w:space="0"/>
            </w:tcBorders>
            <w:vAlign w:val="center"/>
          </w:tcPr>
          <w:p w14:paraId="2C5B174E">
            <w:pPr>
              <w:widowControl/>
              <w:spacing w:after="0" w:line="240" w:lineRule="auto"/>
              <w:jc w:val="left"/>
              <w:rPr>
                <w:rFonts w:hint="eastAsia" w:ascii="宋体" w:hAnsi="宋体" w:cs="宋体"/>
                <w:b/>
                <w:bCs/>
                <w:kern w:val="0"/>
                <w:sz w:val="20"/>
                <w:szCs w:val="20"/>
              </w:rPr>
            </w:pPr>
          </w:p>
        </w:tc>
        <w:tc>
          <w:tcPr>
            <w:tcW w:w="78" w:type="pct"/>
            <w:tcBorders>
              <w:top w:val="nil"/>
              <w:left w:val="nil"/>
              <w:bottom w:val="nil"/>
              <w:right w:val="nil"/>
            </w:tcBorders>
            <w:noWrap/>
            <w:vAlign w:val="bottom"/>
          </w:tcPr>
          <w:p w14:paraId="3D99E58D">
            <w:pPr>
              <w:widowControl/>
              <w:spacing w:after="0" w:line="240" w:lineRule="auto"/>
              <w:jc w:val="center"/>
              <w:rPr>
                <w:rFonts w:hint="eastAsia" w:ascii="宋体" w:hAnsi="宋体" w:cs="宋体"/>
                <w:b/>
                <w:bCs/>
                <w:kern w:val="0"/>
                <w:sz w:val="20"/>
                <w:szCs w:val="20"/>
              </w:rPr>
            </w:pPr>
          </w:p>
        </w:tc>
      </w:tr>
      <w:tr w14:paraId="245D9453">
        <w:tblPrEx>
          <w:tblCellMar>
            <w:top w:w="0" w:type="dxa"/>
            <w:left w:w="108" w:type="dxa"/>
            <w:bottom w:w="0" w:type="dxa"/>
            <w:right w:w="108" w:type="dxa"/>
          </w:tblCellMar>
        </w:tblPrEx>
        <w:trPr>
          <w:trHeight w:val="2082" w:hRule="atLeast"/>
        </w:trPr>
        <w:tc>
          <w:tcPr>
            <w:tcW w:w="264" w:type="pct"/>
            <w:tcBorders>
              <w:top w:val="nil"/>
              <w:left w:val="single" w:color="000000" w:sz="4" w:space="0"/>
              <w:bottom w:val="single" w:color="000000" w:sz="4" w:space="0"/>
              <w:right w:val="single" w:color="000000" w:sz="4" w:space="0"/>
            </w:tcBorders>
            <w:vAlign w:val="center"/>
          </w:tcPr>
          <w:p w14:paraId="56CEC7A8">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491" w:type="pct"/>
            <w:tcBorders>
              <w:top w:val="nil"/>
              <w:left w:val="nil"/>
              <w:bottom w:val="single" w:color="000000" w:sz="4" w:space="0"/>
              <w:right w:val="single" w:color="000000" w:sz="4" w:space="0"/>
            </w:tcBorders>
            <w:vAlign w:val="center"/>
          </w:tcPr>
          <w:p w14:paraId="55CE6E7E">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1.5匹挂式空调(冷暖，单相，一级能效)</w:t>
            </w:r>
          </w:p>
        </w:tc>
        <w:tc>
          <w:tcPr>
            <w:tcW w:w="2033" w:type="pct"/>
            <w:tcBorders>
              <w:top w:val="nil"/>
              <w:left w:val="nil"/>
              <w:bottom w:val="single" w:color="000000" w:sz="4" w:space="0"/>
              <w:right w:val="single" w:color="000000" w:sz="4" w:space="0"/>
            </w:tcBorders>
            <w:vAlign w:val="center"/>
          </w:tcPr>
          <w:p w14:paraId="6B71B847">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 xml:space="preserve">1.分体式室内空调器安装 挂墙式 </w:t>
            </w:r>
            <w:r>
              <w:rPr>
                <w:rFonts w:hint="eastAsia" w:ascii="宋体" w:hAnsi="宋体" w:cs="宋体"/>
                <w:kern w:val="0"/>
                <w:sz w:val="20"/>
                <w:szCs w:val="20"/>
              </w:rPr>
              <w:br w:type="textWrapping"/>
            </w:r>
            <w:r>
              <w:rPr>
                <w:rFonts w:hint="eastAsia" w:ascii="宋体" w:hAnsi="宋体" w:cs="宋体"/>
                <w:kern w:val="0"/>
                <w:sz w:val="20"/>
                <w:szCs w:val="20"/>
              </w:rPr>
              <w:t>2.分体式室外空调器，额定制冷量：3510W</w:t>
            </w:r>
            <w:r>
              <w:rPr>
                <w:rFonts w:hint="eastAsia" w:ascii="宋体" w:hAnsi="宋体" w:cs="宋体"/>
                <w:kern w:val="0"/>
                <w:sz w:val="20"/>
                <w:szCs w:val="20"/>
              </w:rPr>
              <w:br w:type="textWrapping"/>
            </w:r>
            <w:r>
              <w:rPr>
                <w:rFonts w:hint="eastAsia" w:ascii="宋体" w:hAnsi="宋体" w:cs="宋体"/>
                <w:kern w:val="0"/>
                <w:sz w:val="20"/>
                <w:szCs w:val="20"/>
              </w:rPr>
              <w:t>制冷功率：810W，制热量5000W,制热功率1245W，APF能效比：5.28，按国家标准：GB21455-2019，一级能效。</w:t>
            </w:r>
            <w:r>
              <w:rPr>
                <w:rFonts w:hint="eastAsia" w:ascii="宋体" w:hAnsi="宋体" w:cs="宋体"/>
                <w:kern w:val="0"/>
                <w:sz w:val="20"/>
                <w:szCs w:val="20"/>
              </w:rPr>
              <w:br w:type="textWrapping"/>
            </w:r>
            <w:r>
              <w:rPr>
                <w:rFonts w:hint="eastAsia" w:ascii="宋体" w:hAnsi="宋体" w:cs="宋体"/>
                <w:kern w:val="0"/>
                <w:sz w:val="20"/>
                <w:szCs w:val="20"/>
              </w:rPr>
              <w:t>3.噪音室内，超静17，高风37，超强41，循环风量700m³/h。</w:t>
            </w:r>
          </w:p>
        </w:tc>
        <w:tc>
          <w:tcPr>
            <w:tcW w:w="233" w:type="pct"/>
            <w:tcBorders>
              <w:top w:val="nil"/>
              <w:left w:val="nil"/>
              <w:bottom w:val="single" w:color="000000" w:sz="4" w:space="0"/>
              <w:right w:val="single" w:color="000000" w:sz="4" w:space="0"/>
            </w:tcBorders>
            <w:vAlign w:val="center"/>
          </w:tcPr>
          <w:p w14:paraId="04B77A3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323" w:type="pct"/>
            <w:tcBorders>
              <w:top w:val="nil"/>
              <w:left w:val="nil"/>
              <w:bottom w:val="single" w:color="000000" w:sz="4" w:space="0"/>
              <w:right w:val="single" w:color="000000" w:sz="4" w:space="0"/>
            </w:tcBorders>
            <w:vAlign w:val="center"/>
          </w:tcPr>
          <w:p w14:paraId="0DD7BA7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200</w:t>
            </w:r>
          </w:p>
        </w:tc>
        <w:tc>
          <w:tcPr>
            <w:tcW w:w="289" w:type="pct"/>
            <w:tcBorders>
              <w:top w:val="nil"/>
              <w:left w:val="nil"/>
              <w:bottom w:val="single" w:color="000000" w:sz="4" w:space="0"/>
              <w:right w:val="single" w:color="000000" w:sz="4" w:space="0"/>
            </w:tcBorders>
            <w:vAlign w:val="center"/>
          </w:tcPr>
          <w:p w14:paraId="281A1D9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6</w:t>
            </w:r>
          </w:p>
        </w:tc>
        <w:tc>
          <w:tcPr>
            <w:tcW w:w="540" w:type="pct"/>
            <w:tcBorders>
              <w:top w:val="nil"/>
              <w:left w:val="nil"/>
              <w:bottom w:val="single" w:color="000000" w:sz="4" w:space="0"/>
              <w:right w:val="single" w:color="000000" w:sz="4" w:space="0"/>
            </w:tcBorders>
            <w:vAlign w:val="center"/>
          </w:tcPr>
          <w:p w14:paraId="0CEDC49C">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189C423B">
            <w:pPr>
              <w:widowControl/>
              <w:spacing w:after="0" w:line="240" w:lineRule="auto"/>
              <w:jc w:val="right"/>
              <w:rPr>
                <w:rFonts w:hint="eastAsia" w:ascii="宋体" w:hAnsi="宋体" w:cs="宋体"/>
                <w:kern w:val="0"/>
                <w:sz w:val="20"/>
                <w:szCs w:val="20"/>
              </w:rPr>
            </w:pPr>
            <w:r>
              <w:rPr>
                <w:rFonts w:hint="eastAsia" w:ascii="宋体" w:hAnsi="宋体" w:cs="宋体"/>
                <w:kern w:val="0"/>
                <w:sz w:val="20"/>
                <w:szCs w:val="20"/>
              </w:rPr>
              <w:t>　</w:t>
            </w:r>
          </w:p>
        </w:tc>
        <w:tc>
          <w:tcPr>
            <w:tcW w:w="375" w:type="pct"/>
            <w:tcBorders>
              <w:top w:val="nil"/>
              <w:left w:val="nil"/>
              <w:bottom w:val="single" w:color="000000" w:sz="4" w:space="0"/>
              <w:right w:val="single" w:color="000000" w:sz="4" w:space="0"/>
            </w:tcBorders>
            <w:vAlign w:val="center"/>
          </w:tcPr>
          <w:p w14:paraId="3DA595B2">
            <w:pPr>
              <w:widowControl/>
              <w:spacing w:after="0" w:line="240" w:lineRule="auto"/>
              <w:jc w:val="right"/>
              <w:rPr>
                <w:rFonts w:hint="eastAsia" w:ascii="宋体" w:hAnsi="宋体" w:cs="宋体"/>
                <w:kern w:val="0"/>
                <w:sz w:val="20"/>
                <w:szCs w:val="20"/>
              </w:rPr>
            </w:pPr>
            <w:r>
              <w:rPr>
                <w:rFonts w:hint="eastAsia" w:ascii="宋体" w:hAnsi="宋体" w:cs="宋体"/>
                <w:kern w:val="0"/>
                <w:sz w:val="20"/>
                <w:szCs w:val="20"/>
              </w:rPr>
              <w:t>　</w:t>
            </w:r>
          </w:p>
        </w:tc>
        <w:tc>
          <w:tcPr>
            <w:tcW w:w="78" w:type="pct"/>
            <w:vAlign w:val="center"/>
          </w:tcPr>
          <w:p w14:paraId="146C935A">
            <w:pPr>
              <w:widowControl/>
              <w:spacing w:after="0" w:line="240" w:lineRule="auto"/>
              <w:jc w:val="left"/>
              <w:rPr>
                <w:rFonts w:eastAsia="Times New Roman"/>
                <w:kern w:val="0"/>
                <w:sz w:val="20"/>
                <w:szCs w:val="20"/>
              </w:rPr>
            </w:pPr>
          </w:p>
        </w:tc>
      </w:tr>
      <w:tr w14:paraId="3C1C7606">
        <w:tblPrEx>
          <w:tblCellMar>
            <w:top w:w="0" w:type="dxa"/>
            <w:left w:w="108" w:type="dxa"/>
            <w:bottom w:w="0" w:type="dxa"/>
            <w:right w:w="108" w:type="dxa"/>
          </w:tblCellMar>
        </w:tblPrEx>
        <w:trPr>
          <w:trHeight w:val="8160" w:hRule="atLeast"/>
        </w:trPr>
        <w:tc>
          <w:tcPr>
            <w:tcW w:w="264" w:type="pct"/>
            <w:tcBorders>
              <w:top w:val="nil"/>
              <w:left w:val="single" w:color="000000" w:sz="4" w:space="0"/>
              <w:bottom w:val="single" w:color="000000" w:sz="4" w:space="0"/>
              <w:right w:val="single" w:color="000000" w:sz="4" w:space="0"/>
            </w:tcBorders>
            <w:vAlign w:val="center"/>
          </w:tcPr>
          <w:p w14:paraId="35100992">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w:t>
            </w:r>
          </w:p>
        </w:tc>
        <w:tc>
          <w:tcPr>
            <w:tcW w:w="491" w:type="pct"/>
            <w:tcBorders>
              <w:top w:val="nil"/>
              <w:left w:val="nil"/>
              <w:bottom w:val="single" w:color="000000" w:sz="4" w:space="0"/>
              <w:right w:val="single" w:color="000000" w:sz="4" w:space="0"/>
            </w:tcBorders>
            <w:vAlign w:val="center"/>
          </w:tcPr>
          <w:p w14:paraId="434C0293">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1.5匹以下智能控制器</w:t>
            </w:r>
          </w:p>
        </w:tc>
        <w:tc>
          <w:tcPr>
            <w:tcW w:w="2033" w:type="pct"/>
            <w:tcBorders>
              <w:top w:val="nil"/>
              <w:left w:val="nil"/>
              <w:bottom w:val="single" w:color="000000" w:sz="4" w:space="0"/>
              <w:right w:val="single" w:color="000000" w:sz="4" w:space="0"/>
            </w:tcBorders>
            <w:vAlign w:val="center"/>
          </w:tcPr>
          <w:p w14:paraId="560BA7C1">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基础功能：</w:t>
            </w:r>
            <w:r>
              <w:rPr>
                <w:rFonts w:hint="eastAsia" w:ascii="宋体" w:hAnsi="宋体" w:cs="宋体"/>
                <w:kern w:val="0"/>
                <w:sz w:val="20"/>
                <w:szCs w:val="20"/>
              </w:rPr>
              <w:br w:type="textWrapping"/>
            </w:r>
            <w:r>
              <w:rPr>
                <w:rFonts w:hint="eastAsia" w:ascii="宋体" w:hAnsi="宋体" w:cs="宋体"/>
                <w:kern w:val="0"/>
                <w:sz w:val="20"/>
                <w:szCs w:val="20"/>
              </w:rPr>
              <w:t>1.红外控制：可红外控制空调运行，通过云端的码库、设备自学习红外指令，使用管理遥控器或者后台运用软件/app控制空调的各种运行模式。</w:t>
            </w:r>
            <w:r>
              <w:rPr>
                <w:rFonts w:hint="eastAsia" w:ascii="宋体" w:hAnsi="宋体" w:cs="宋体"/>
                <w:kern w:val="0"/>
                <w:sz w:val="20"/>
                <w:szCs w:val="20"/>
              </w:rPr>
              <w:br w:type="textWrapping"/>
            </w:r>
            <w:r>
              <w:rPr>
                <w:rFonts w:hint="eastAsia" w:ascii="宋体" w:hAnsi="宋体" w:cs="宋体"/>
                <w:kern w:val="0"/>
                <w:sz w:val="20"/>
                <w:szCs w:val="20"/>
              </w:rPr>
              <w:t>2.通断电强制控制：可在达到设定条件时，控制空调电源通断电对空调运行状态进行控制。</w:t>
            </w:r>
            <w:r>
              <w:rPr>
                <w:rFonts w:hint="eastAsia" w:ascii="宋体" w:hAnsi="宋体" w:cs="宋体"/>
                <w:kern w:val="0"/>
                <w:sz w:val="20"/>
                <w:szCs w:val="20"/>
              </w:rPr>
              <w:br w:type="textWrapping"/>
            </w:r>
            <w:r>
              <w:rPr>
                <w:rFonts w:hint="eastAsia" w:ascii="宋体" w:hAnsi="宋体" w:cs="宋体"/>
                <w:kern w:val="0"/>
                <w:sz w:val="20"/>
                <w:szCs w:val="20"/>
              </w:rPr>
              <w:t>3.温度接口：可对环境温度进行监测。</w:t>
            </w:r>
            <w:r>
              <w:rPr>
                <w:rFonts w:hint="eastAsia" w:ascii="宋体" w:hAnsi="宋体" w:cs="宋体"/>
                <w:kern w:val="0"/>
                <w:sz w:val="20"/>
                <w:szCs w:val="20"/>
              </w:rPr>
              <w:br w:type="textWrapping"/>
            </w:r>
            <w:r>
              <w:rPr>
                <w:rFonts w:hint="eastAsia" w:ascii="宋体" w:hAnsi="宋体" w:cs="宋体"/>
                <w:kern w:val="0"/>
                <w:sz w:val="20"/>
                <w:szCs w:val="20"/>
              </w:rPr>
              <w:t>4.电压、电流、功率信息采集：可接入的空调的电压、电流、功率信息。</w:t>
            </w:r>
            <w:r>
              <w:rPr>
                <w:rFonts w:hint="eastAsia" w:ascii="宋体" w:hAnsi="宋体" w:cs="宋体"/>
                <w:kern w:val="0"/>
                <w:sz w:val="20"/>
                <w:szCs w:val="20"/>
              </w:rPr>
              <w:br w:type="textWrapping"/>
            </w:r>
            <w:r>
              <w:rPr>
                <w:rFonts w:hint="eastAsia" w:ascii="宋体" w:hAnsi="宋体" w:cs="宋体"/>
                <w:kern w:val="0"/>
                <w:sz w:val="20"/>
                <w:szCs w:val="20"/>
              </w:rPr>
              <w:t>5.电量、空调运行时长统计：可自动统计空调消耗的累计电量信息，运行时长信息。</w:t>
            </w:r>
            <w:r>
              <w:rPr>
                <w:rFonts w:hint="eastAsia" w:ascii="宋体" w:hAnsi="宋体" w:cs="宋体"/>
                <w:kern w:val="0"/>
                <w:sz w:val="20"/>
                <w:szCs w:val="20"/>
              </w:rPr>
              <w:br w:type="textWrapping"/>
            </w:r>
            <w:r>
              <w:rPr>
                <w:rFonts w:hint="eastAsia" w:ascii="宋体" w:hAnsi="宋体" w:cs="宋体"/>
                <w:kern w:val="0"/>
                <w:sz w:val="20"/>
                <w:szCs w:val="20"/>
              </w:rPr>
              <w:t>6.实时时钟功能：可通过实时时钟进行时间自动控制、时长统计功能。</w:t>
            </w:r>
            <w:r>
              <w:rPr>
                <w:rFonts w:hint="eastAsia" w:ascii="宋体" w:hAnsi="宋体" w:cs="宋体"/>
                <w:kern w:val="0"/>
                <w:sz w:val="20"/>
                <w:szCs w:val="20"/>
              </w:rPr>
              <w:br w:type="textWrapping"/>
            </w:r>
            <w:r>
              <w:rPr>
                <w:rFonts w:hint="eastAsia" w:ascii="宋体" w:hAnsi="宋体" w:cs="宋体"/>
                <w:kern w:val="0"/>
                <w:sz w:val="20"/>
                <w:szCs w:val="20"/>
              </w:rPr>
              <w:t>7.实时采集环境信息功能：支持采集环境温度、房间有无人状态.</w:t>
            </w:r>
            <w:r>
              <w:rPr>
                <w:rFonts w:hint="eastAsia" w:ascii="宋体" w:hAnsi="宋体" w:cs="宋体"/>
                <w:kern w:val="0"/>
                <w:sz w:val="20"/>
                <w:szCs w:val="20"/>
              </w:rPr>
              <w:br w:type="textWrapping"/>
            </w:r>
            <w:r>
              <w:rPr>
                <w:rFonts w:hint="eastAsia" w:ascii="宋体" w:hAnsi="宋体" w:cs="宋体"/>
                <w:kern w:val="0"/>
                <w:sz w:val="20"/>
                <w:szCs w:val="20"/>
              </w:rPr>
              <w:t>8.红外学习：可学习红外控制空调的码值信息，并通过学习的码值对空调控制。</w:t>
            </w:r>
            <w:r>
              <w:rPr>
                <w:rFonts w:hint="eastAsia" w:ascii="宋体" w:hAnsi="宋体" w:cs="宋体"/>
                <w:kern w:val="0"/>
                <w:sz w:val="20"/>
                <w:szCs w:val="20"/>
              </w:rPr>
              <w:br w:type="textWrapping"/>
            </w:r>
            <w:r>
              <w:rPr>
                <w:rFonts w:hint="eastAsia" w:ascii="宋体" w:hAnsi="宋体" w:cs="宋体"/>
                <w:kern w:val="0"/>
                <w:sz w:val="20"/>
                <w:szCs w:val="20"/>
              </w:rPr>
              <w:t>9.红外、通断电控制空调运行：可通过红外、通断电控制空调运行状态。</w:t>
            </w:r>
            <w:r>
              <w:rPr>
                <w:rFonts w:hint="eastAsia" w:ascii="宋体" w:hAnsi="宋体" w:cs="宋体"/>
                <w:kern w:val="0"/>
                <w:sz w:val="20"/>
                <w:szCs w:val="20"/>
              </w:rPr>
              <w:br w:type="textWrapping"/>
            </w:r>
            <w:r>
              <w:rPr>
                <w:rFonts w:hint="eastAsia" w:ascii="宋体" w:hAnsi="宋体" w:cs="宋体"/>
                <w:kern w:val="0"/>
                <w:sz w:val="20"/>
                <w:szCs w:val="20"/>
              </w:rPr>
              <w:t>10.数码管、指示灯显示信息：支持设备上数码管实时显示设备采集的温度、可用电量信息，指示灯提示设备运行状态。</w:t>
            </w:r>
            <w:r>
              <w:rPr>
                <w:rFonts w:hint="eastAsia" w:ascii="宋体" w:hAnsi="宋体" w:cs="宋体"/>
                <w:kern w:val="0"/>
                <w:sz w:val="20"/>
                <w:szCs w:val="20"/>
              </w:rPr>
              <w:br w:type="textWrapping"/>
            </w:r>
            <w:r>
              <w:rPr>
                <w:rFonts w:hint="eastAsia" w:ascii="宋体" w:hAnsi="宋体" w:cs="宋体"/>
                <w:kern w:val="0"/>
                <w:sz w:val="20"/>
                <w:szCs w:val="20"/>
              </w:rPr>
              <w:t>11.蜂鸣器功能：设备上具有蜂鸣器提示功能，用于操作响应及报警辅助。</w:t>
            </w:r>
            <w:r>
              <w:rPr>
                <w:rFonts w:hint="eastAsia" w:ascii="宋体" w:hAnsi="宋体" w:cs="宋体"/>
                <w:kern w:val="0"/>
                <w:sz w:val="20"/>
                <w:szCs w:val="20"/>
              </w:rPr>
              <w:br w:type="textWrapping"/>
            </w:r>
            <w:r>
              <w:rPr>
                <w:rFonts w:hint="eastAsia" w:ascii="宋体" w:hAnsi="宋体" w:cs="宋体"/>
                <w:kern w:val="0"/>
                <w:sz w:val="20"/>
                <w:szCs w:val="20"/>
              </w:rPr>
              <w:t>12.多种通信格式兼容：可通过RS485、LORA、4G等多种接口连接局域网并可通过MQTT连接云平台。</w:t>
            </w:r>
            <w:r>
              <w:rPr>
                <w:rFonts w:hint="eastAsia" w:ascii="宋体" w:hAnsi="宋体" w:cs="宋体"/>
                <w:kern w:val="0"/>
                <w:sz w:val="20"/>
                <w:szCs w:val="20"/>
              </w:rPr>
              <w:br w:type="textWrapping"/>
            </w:r>
            <w:r>
              <w:rPr>
                <w:rFonts w:hint="eastAsia" w:ascii="宋体" w:hAnsi="宋体" w:cs="宋体"/>
                <w:kern w:val="0"/>
                <w:sz w:val="20"/>
                <w:szCs w:val="20"/>
              </w:rPr>
              <w:t>▲13.确保无网环境下，无需学习红外码值，设备仍能应用自带的红外码库自动或手动匹配空调，实现精准控制，满足全天候使用需求。</w:t>
            </w:r>
            <w:r>
              <w:rPr>
                <w:rFonts w:hint="eastAsia" w:ascii="宋体" w:hAnsi="宋体" w:cs="宋体"/>
                <w:kern w:val="0"/>
                <w:sz w:val="20"/>
                <w:szCs w:val="20"/>
              </w:rPr>
              <w:br w:type="textWrapping"/>
            </w:r>
            <w:r>
              <w:rPr>
                <w:rFonts w:hint="eastAsia" w:ascii="宋体" w:hAnsi="宋体" w:cs="宋体"/>
                <w:kern w:val="0"/>
                <w:sz w:val="20"/>
                <w:szCs w:val="20"/>
              </w:rPr>
              <w:t>14.用电参数可查询：支持电压、电流、功率、电量、运行时长、可用电量、剩余电量、每月固定额度等信息存储在设备上，并可通过接口读取、设置。</w:t>
            </w:r>
            <w:r>
              <w:rPr>
                <w:rFonts w:hint="eastAsia" w:ascii="宋体" w:hAnsi="宋体" w:cs="宋体"/>
                <w:kern w:val="0"/>
                <w:sz w:val="20"/>
                <w:szCs w:val="20"/>
              </w:rPr>
              <w:br w:type="textWrapping"/>
            </w:r>
            <w:r>
              <w:rPr>
                <w:rFonts w:hint="eastAsia" w:ascii="宋体" w:hAnsi="宋体" w:cs="宋体"/>
                <w:kern w:val="0"/>
                <w:sz w:val="20"/>
                <w:szCs w:val="20"/>
              </w:rPr>
              <w:t>15.外延式温度传感器：为保证采集的环境温度的精准性采用外延式温度传感器。</w:t>
            </w:r>
            <w:r>
              <w:rPr>
                <w:rFonts w:hint="eastAsia" w:ascii="宋体" w:hAnsi="宋体" w:cs="宋体"/>
                <w:kern w:val="0"/>
                <w:sz w:val="20"/>
                <w:szCs w:val="20"/>
              </w:rPr>
              <w:br w:type="textWrapping"/>
            </w:r>
            <w:r>
              <w:rPr>
                <w:rFonts w:hint="eastAsia" w:ascii="宋体" w:hAnsi="宋体" w:cs="宋体"/>
                <w:kern w:val="0"/>
                <w:sz w:val="20"/>
                <w:szCs w:val="20"/>
              </w:rPr>
              <w:t>16.红外发射头：可根据现场环境情况采用内置大功率红外发射头或外延式红外发射头。</w:t>
            </w:r>
            <w:r>
              <w:rPr>
                <w:rFonts w:hint="eastAsia" w:ascii="宋体" w:hAnsi="宋体" w:cs="宋体"/>
                <w:kern w:val="0"/>
                <w:sz w:val="20"/>
                <w:szCs w:val="20"/>
              </w:rPr>
              <w:br w:type="textWrapping"/>
            </w:r>
            <w:r>
              <w:rPr>
                <w:rFonts w:hint="eastAsia" w:ascii="宋体" w:hAnsi="宋体" w:cs="宋体"/>
                <w:kern w:val="0"/>
                <w:sz w:val="20"/>
                <w:szCs w:val="20"/>
              </w:rPr>
              <w:t>17.手机端控制：可远程手动开关空调、远程调节空调温度、等等。</w:t>
            </w:r>
            <w:r>
              <w:rPr>
                <w:rFonts w:hint="eastAsia" w:ascii="宋体" w:hAnsi="宋体" w:cs="宋体"/>
                <w:kern w:val="0"/>
                <w:sz w:val="20"/>
                <w:szCs w:val="20"/>
              </w:rPr>
              <w:br w:type="textWrapping"/>
            </w:r>
            <w:r>
              <w:rPr>
                <w:rFonts w:hint="eastAsia" w:ascii="宋体" w:hAnsi="宋体" w:cs="宋体"/>
                <w:kern w:val="0"/>
                <w:sz w:val="20"/>
                <w:szCs w:val="20"/>
              </w:rPr>
              <w:t>智能节能功能：</w:t>
            </w:r>
            <w:r>
              <w:rPr>
                <w:rFonts w:hint="eastAsia" w:ascii="宋体" w:hAnsi="宋体" w:cs="宋体"/>
                <w:kern w:val="0"/>
                <w:sz w:val="20"/>
                <w:szCs w:val="20"/>
              </w:rPr>
              <w:br w:type="textWrapping"/>
            </w:r>
            <w:r>
              <w:rPr>
                <w:rFonts w:hint="eastAsia" w:ascii="宋体" w:hAnsi="宋体" w:cs="宋体"/>
                <w:kern w:val="0"/>
                <w:sz w:val="20"/>
                <w:szCs w:val="20"/>
              </w:rPr>
              <w:t>1.智能光感控制：可检测光照度情况，并在光照较低时自动关闭数码管指示灯。</w:t>
            </w:r>
            <w:r>
              <w:rPr>
                <w:rFonts w:hint="eastAsia" w:ascii="宋体" w:hAnsi="宋体" w:cs="宋体"/>
                <w:kern w:val="0"/>
                <w:sz w:val="20"/>
                <w:szCs w:val="20"/>
              </w:rPr>
              <w:br w:type="textWrapping"/>
            </w:r>
            <w:r>
              <w:rPr>
                <w:rFonts w:hint="eastAsia" w:ascii="宋体" w:hAnsi="宋体" w:cs="宋体"/>
                <w:kern w:val="0"/>
                <w:sz w:val="20"/>
                <w:szCs w:val="20"/>
              </w:rPr>
              <w:t>2.智能时间控制：可设置一周7天、一天10个时间段（总共70个时间段）的差异化智能控制，可设置限制空调开启使用、空调使用条件、以及限制温度点等信息。</w:t>
            </w:r>
            <w:r>
              <w:rPr>
                <w:rFonts w:hint="eastAsia" w:ascii="宋体" w:hAnsi="宋体" w:cs="宋体"/>
                <w:kern w:val="0"/>
                <w:sz w:val="20"/>
                <w:szCs w:val="20"/>
              </w:rPr>
              <w:br w:type="textWrapping"/>
            </w:r>
            <w:r>
              <w:rPr>
                <w:rFonts w:hint="eastAsia" w:ascii="宋体" w:hAnsi="宋体" w:cs="宋体"/>
                <w:kern w:val="0"/>
                <w:sz w:val="20"/>
                <w:szCs w:val="20"/>
              </w:rPr>
              <w:t>3.智能温度控制：可预设温度上限值，下限值。</w:t>
            </w:r>
            <w:r>
              <w:rPr>
                <w:rFonts w:hint="eastAsia" w:ascii="宋体" w:hAnsi="宋体" w:cs="宋体"/>
                <w:kern w:val="0"/>
                <w:sz w:val="20"/>
                <w:szCs w:val="20"/>
              </w:rPr>
              <w:br w:type="textWrapping"/>
            </w:r>
            <w:r>
              <w:rPr>
                <w:rFonts w:hint="eastAsia" w:ascii="宋体" w:hAnsi="宋体" w:cs="宋体"/>
                <w:kern w:val="0"/>
                <w:sz w:val="20"/>
                <w:szCs w:val="20"/>
              </w:rPr>
              <w:t>4.智能冬夏季模式切换：可手动或者自动切换夏冬季模式；</w:t>
            </w:r>
            <w:r>
              <w:rPr>
                <w:rFonts w:hint="eastAsia" w:ascii="宋体" w:hAnsi="宋体" w:cs="宋体"/>
                <w:kern w:val="0"/>
                <w:sz w:val="20"/>
                <w:szCs w:val="20"/>
              </w:rPr>
              <w:br w:type="textWrapping"/>
            </w:r>
            <w:r>
              <w:rPr>
                <w:rFonts w:hint="eastAsia" w:ascii="宋体" w:hAnsi="宋体" w:cs="宋体"/>
                <w:kern w:val="0"/>
                <w:sz w:val="20"/>
                <w:szCs w:val="20"/>
              </w:rPr>
              <w:t>5.智能二级限控联合控制：支持控制器自动发送红外指令控制空调（一级限控功能），控制器启动强制控制功能（二级限控）强制切断空调电源。</w:t>
            </w:r>
            <w:r>
              <w:rPr>
                <w:rFonts w:hint="eastAsia" w:ascii="宋体" w:hAnsi="宋体" w:cs="宋体"/>
                <w:kern w:val="0"/>
                <w:sz w:val="20"/>
                <w:szCs w:val="20"/>
              </w:rPr>
              <w:br w:type="textWrapping"/>
            </w:r>
            <w:r>
              <w:rPr>
                <w:rFonts w:hint="eastAsia" w:ascii="宋体" w:hAnsi="宋体" w:cs="宋体"/>
                <w:kern w:val="0"/>
                <w:sz w:val="20"/>
                <w:szCs w:val="20"/>
              </w:rPr>
              <w:t>6.智能节能控制：可对空调的应用条件（时间条件、温度条件）进行控制，并智能监督管理空调使用。</w:t>
            </w:r>
            <w:r>
              <w:rPr>
                <w:rFonts w:hint="eastAsia" w:ascii="宋体" w:hAnsi="宋体" w:cs="宋体"/>
                <w:kern w:val="0"/>
                <w:sz w:val="20"/>
                <w:szCs w:val="20"/>
              </w:rPr>
              <w:br w:type="textWrapping"/>
            </w:r>
            <w:r>
              <w:rPr>
                <w:rFonts w:hint="eastAsia" w:ascii="宋体" w:hAnsi="宋体" w:cs="宋体"/>
                <w:kern w:val="0"/>
                <w:sz w:val="20"/>
                <w:szCs w:val="20"/>
              </w:rPr>
              <w:t>7.智能破坏报警：支持温度传感器被破坏后，设备发出蜂鸣声报警，并通过通信告诉上位机。</w:t>
            </w:r>
            <w:r>
              <w:rPr>
                <w:rFonts w:hint="eastAsia" w:ascii="宋体" w:hAnsi="宋体" w:cs="宋体"/>
                <w:kern w:val="0"/>
                <w:sz w:val="20"/>
                <w:szCs w:val="20"/>
              </w:rPr>
              <w:br w:type="textWrapping"/>
            </w:r>
            <w:r>
              <w:rPr>
                <w:rFonts w:hint="eastAsia" w:ascii="宋体" w:hAnsi="宋体" w:cs="宋体"/>
                <w:kern w:val="0"/>
                <w:sz w:val="20"/>
                <w:szCs w:val="20"/>
              </w:rPr>
              <w:t>8.红外/强制断电联动功能：支持强制电源控制及红外控制的联动控制，在切断空调电源时，需要先发送红外指令关闭空调，在一定时长（时长可设置）后切断空调电源。</w:t>
            </w:r>
            <w:r>
              <w:rPr>
                <w:rFonts w:hint="eastAsia" w:ascii="宋体" w:hAnsi="宋体" w:cs="宋体"/>
                <w:kern w:val="0"/>
                <w:sz w:val="20"/>
                <w:szCs w:val="20"/>
              </w:rPr>
              <w:br w:type="textWrapping"/>
            </w:r>
            <w:r>
              <w:rPr>
                <w:rFonts w:hint="eastAsia" w:ascii="宋体" w:hAnsi="宋体" w:cs="宋体"/>
                <w:kern w:val="0"/>
                <w:sz w:val="20"/>
                <w:szCs w:val="20"/>
              </w:rPr>
              <w:t>9.自动控制功能离线运行：支持智能控制参数均写入设备上的EEPROM上，设备离线状态时可以根据设定的自控参数，智能执行。</w:t>
            </w:r>
            <w:r>
              <w:rPr>
                <w:rFonts w:hint="eastAsia" w:ascii="宋体" w:hAnsi="宋体" w:cs="宋体"/>
                <w:kern w:val="0"/>
                <w:sz w:val="20"/>
                <w:szCs w:val="20"/>
              </w:rPr>
              <w:br w:type="textWrapping"/>
            </w:r>
            <w:r>
              <w:rPr>
                <w:rFonts w:hint="eastAsia" w:ascii="宋体" w:hAnsi="宋体" w:cs="宋体"/>
                <w:kern w:val="0"/>
                <w:sz w:val="20"/>
                <w:szCs w:val="20"/>
              </w:rPr>
              <w:t>实用性：</w:t>
            </w:r>
            <w:r>
              <w:rPr>
                <w:rFonts w:hint="eastAsia" w:ascii="宋体" w:hAnsi="宋体" w:cs="宋体"/>
                <w:kern w:val="0"/>
                <w:sz w:val="20"/>
                <w:szCs w:val="20"/>
              </w:rPr>
              <w:br w:type="textWrapping"/>
            </w:r>
            <w:r>
              <w:rPr>
                <w:rFonts w:hint="eastAsia" w:ascii="宋体" w:hAnsi="宋体" w:cs="宋体"/>
                <w:kern w:val="0"/>
                <w:sz w:val="20"/>
                <w:szCs w:val="20"/>
              </w:rPr>
              <w:t>1. 用电管理功能：支持设备用电管理功能，主要包括：1.可设定每月自动固定充值额度电量；2.可对设备进行可用电量充值及撤销充值操作；3.电量用完自动限制空调使用；4.用电管理功能可开关。</w:t>
            </w:r>
            <w:r>
              <w:rPr>
                <w:rFonts w:hint="eastAsia" w:ascii="宋体" w:hAnsi="宋体" w:cs="宋体"/>
                <w:kern w:val="0"/>
                <w:sz w:val="20"/>
                <w:szCs w:val="20"/>
              </w:rPr>
              <w:br w:type="textWrapping"/>
            </w:r>
            <w:r>
              <w:rPr>
                <w:rFonts w:hint="eastAsia" w:ascii="宋体" w:hAnsi="宋体" w:cs="宋体"/>
                <w:kern w:val="0"/>
                <w:sz w:val="20"/>
                <w:szCs w:val="20"/>
              </w:rPr>
              <w:t>2.剩余电量显示：可为设备进行用电量的预充值，设备数码管显示剩余电量，用户可以实时查看剩余可用电量。</w:t>
            </w:r>
            <w:r>
              <w:rPr>
                <w:rFonts w:hint="eastAsia" w:ascii="宋体" w:hAnsi="宋体" w:cs="宋体"/>
                <w:kern w:val="0"/>
                <w:sz w:val="20"/>
                <w:szCs w:val="20"/>
              </w:rPr>
              <w:br w:type="textWrapping"/>
            </w:r>
            <w:r>
              <w:rPr>
                <w:rFonts w:hint="eastAsia" w:ascii="宋体" w:hAnsi="宋体" w:cs="宋体"/>
                <w:kern w:val="0"/>
                <w:sz w:val="20"/>
                <w:szCs w:val="20"/>
              </w:rPr>
              <w:t>▲3.管理员遥控功能：可通过遥控器对设备进行现场配置，并控制设备运行。</w:t>
            </w:r>
            <w:r>
              <w:rPr>
                <w:rFonts w:hint="eastAsia" w:ascii="宋体" w:hAnsi="宋体" w:cs="宋体"/>
                <w:kern w:val="0"/>
                <w:sz w:val="20"/>
                <w:szCs w:val="20"/>
              </w:rPr>
              <w:br w:type="textWrapping"/>
            </w:r>
            <w:r>
              <w:rPr>
                <w:rFonts w:hint="eastAsia" w:ascii="宋体" w:hAnsi="宋体" w:cs="宋体"/>
                <w:kern w:val="0"/>
                <w:sz w:val="20"/>
                <w:szCs w:val="20"/>
              </w:rPr>
              <w:t>▲4.远程固件升级：可通过远程通信接口对设备进行批量升级。</w:t>
            </w:r>
            <w:r>
              <w:rPr>
                <w:rFonts w:hint="eastAsia" w:ascii="宋体" w:hAnsi="宋体" w:cs="宋体"/>
                <w:kern w:val="0"/>
                <w:sz w:val="20"/>
                <w:szCs w:val="20"/>
              </w:rPr>
              <w:br w:type="textWrapping"/>
            </w:r>
            <w:r>
              <w:rPr>
                <w:rFonts w:hint="eastAsia" w:ascii="宋体" w:hAnsi="宋体" w:cs="宋体"/>
                <w:kern w:val="0"/>
                <w:sz w:val="20"/>
                <w:szCs w:val="20"/>
              </w:rPr>
              <w:t>▲5.无负载报警功能：当控制器插头被拔掉时，控制器可把当前负载状态实时反馈到上位机。</w:t>
            </w:r>
            <w:r>
              <w:rPr>
                <w:rFonts w:hint="eastAsia" w:ascii="宋体" w:hAnsi="宋体" w:cs="宋体"/>
                <w:kern w:val="0"/>
                <w:sz w:val="20"/>
                <w:szCs w:val="20"/>
              </w:rPr>
              <w:br w:type="textWrapping"/>
            </w:r>
            <w:r>
              <w:rPr>
                <w:rFonts w:hint="eastAsia" w:ascii="宋体" w:hAnsi="宋体" w:cs="宋体"/>
                <w:kern w:val="0"/>
                <w:sz w:val="20"/>
                <w:szCs w:val="20"/>
              </w:rPr>
              <w:t>拓展性：</w:t>
            </w:r>
            <w:r>
              <w:rPr>
                <w:rFonts w:hint="eastAsia" w:ascii="宋体" w:hAnsi="宋体" w:cs="宋体"/>
                <w:kern w:val="0"/>
                <w:sz w:val="20"/>
                <w:szCs w:val="20"/>
              </w:rPr>
              <w:br w:type="textWrapping"/>
            </w:r>
            <w:r>
              <w:rPr>
                <w:rFonts w:hint="eastAsia" w:ascii="宋体" w:hAnsi="宋体" w:cs="宋体"/>
                <w:kern w:val="0"/>
                <w:sz w:val="20"/>
                <w:szCs w:val="20"/>
              </w:rPr>
              <w:t>1.可预留门磁或红外接口（二选一）方便后期做功能扩展。</w:t>
            </w:r>
            <w:r>
              <w:rPr>
                <w:rFonts w:hint="eastAsia" w:ascii="宋体" w:hAnsi="宋体" w:cs="宋体"/>
                <w:kern w:val="0"/>
                <w:sz w:val="20"/>
                <w:szCs w:val="20"/>
              </w:rPr>
              <w:br w:type="textWrapping"/>
            </w:r>
            <w:r>
              <w:rPr>
                <w:rFonts w:hint="eastAsia" w:ascii="宋体" w:hAnsi="宋体" w:cs="宋体"/>
                <w:kern w:val="0"/>
                <w:sz w:val="20"/>
                <w:szCs w:val="20"/>
              </w:rPr>
              <w:t>2.预留性能监测模块接口方便后期做功能扩展。</w:t>
            </w:r>
            <w:r>
              <w:rPr>
                <w:rFonts w:hint="eastAsia" w:ascii="宋体" w:hAnsi="宋体" w:cs="宋体"/>
                <w:kern w:val="0"/>
                <w:sz w:val="20"/>
                <w:szCs w:val="20"/>
              </w:rPr>
              <w:br w:type="textWrapping"/>
            </w:r>
            <w:r>
              <w:rPr>
                <w:rFonts w:hint="eastAsia" w:ascii="宋体" w:hAnsi="宋体" w:cs="宋体"/>
                <w:kern w:val="0"/>
                <w:sz w:val="20"/>
                <w:szCs w:val="20"/>
              </w:rPr>
              <w:t>安全性：</w:t>
            </w:r>
            <w:r>
              <w:rPr>
                <w:rFonts w:hint="eastAsia" w:ascii="宋体" w:hAnsi="宋体" w:cs="宋体"/>
                <w:kern w:val="0"/>
                <w:sz w:val="20"/>
                <w:szCs w:val="20"/>
              </w:rPr>
              <w:br w:type="textWrapping"/>
            </w:r>
            <w:r>
              <w:rPr>
                <w:rFonts w:hint="eastAsia" w:ascii="宋体" w:hAnsi="宋体" w:cs="宋体"/>
                <w:kern w:val="0"/>
                <w:sz w:val="20"/>
                <w:szCs w:val="20"/>
              </w:rPr>
              <w:t>1.继电器电机负载（感性负载）控制能力可达1.5HP。</w:t>
            </w:r>
            <w:r>
              <w:rPr>
                <w:rFonts w:hint="eastAsia" w:ascii="宋体" w:hAnsi="宋体" w:cs="宋体"/>
                <w:kern w:val="0"/>
                <w:sz w:val="20"/>
                <w:szCs w:val="20"/>
              </w:rPr>
              <w:br w:type="textWrapping"/>
            </w:r>
            <w:r>
              <w:rPr>
                <w:rFonts w:hint="eastAsia" w:ascii="宋体" w:hAnsi="宋体" w:cs="宋体"/>
                <w:kern w:val="0"/>
                <w:sz w:val="20"/>
                <w:szCs w:val="20"/>
              </w:rPr>
              <w:t>产品资质：</w:t>
            </w:r>
            <w:r>
              <w:rPr>
                <w:rFonts w:hint="eastAsia" w:ascii="宋体" w:hAnsi="宋体" w:cs="宋体"/>
                <w:kern w:val="0"/>
                <w:sz w:val="20"/>
                <w:szCs w:val="20"/>
              </w:rPr>
              <w:br w:type="textWrapping"/>
            </w:r>
            <w:r>
              <w:rPr>
                <w:rFonts w:hint="eastAsia" w:ascii="宋体" w:hAnsi="宋体" w:cs="宋体"/>
                <w:kern w:val="0"/>
                <w:sz w:val="20"/>
                <w:szCs w:val="20"/>
              </w:rPr>
              <w:t>▲1.设备抗干扰等级：3级（IEC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2.产品质量检测报告</w:t>
            </w:r>
            <w:r>
              <w:rPr>
                <w:rFonts w:hint="eastAsia" w:ascii="宋体" w:hAnsi="宋体" w:cs="宋体"/>
                <w:kern w:val="0"/>
                <w:sz w:val="20"/>
                <w:szCs w:val="20"/>
              </w:rPr>
              <w:br w:type="textWrapping"/>
            </w:r>
            <w:r>
              <w:rPr>
                <w:rFonts w:hint="eastAsia" w:ascii="宋体" w:hAnsi="宋体" w:cs="宋体"/>
                <w:kern w:val="0"/>
                <w:sz w:val="20"/>
                <w:szCs w:val="20"/>
              </w:rPr>
              <w:t>基本参数：</w:t>
            </w:r>
            <w:r>
              <w:rPr>
                <w:rFonts w:hint="eastAsia" w:ascii="宋体" w:hAnsi="宋体" w:cs="宋体"/>
                <w:kern w:val="0"/>
                <w:sz w:val="20"/>
                <w:szCs w:val="20"/>
              </w:rPr>
              <w:br w:type="textWrapping"/>
            </w:r>
            <w:r>
              <w:rPr>
                <w:rFonts w:hint="eastAsia" w:ascii="宋体" w:hAnsi="宋体" w:cs="宋体"/>
                <w:kern w:val="0"/>
                <w:sz w:val="20"/>
                <w:szCs w:val="20"/>
              </w:rPr>
              <w:t>1.安装方式：墙插式。</w:t>
            </w:r>
            <w:r>
              <w:rPr>
                <w:rFonts w:hint="eastAsia" w:ascii="宋体" w:hAnsi="宋体" w:cs="宋体"/>
                <w:kern w:val="0"/>
                <w:sz w:val="20"/>
                <w:szCs w:val="20"/>
              </w:rPr>
              <w:br w:type="textWrapping"/>
            </w:r>
            <w:r>
              <w:rPr>
                <w:rFonts w:hint="eastAsia" w:ascii="宋体" w:hAnsi="宋体" w:cs="宋体"/>
                <w:kern w:val="0"/>
                <w:sz w:val="20"/>
                <w:szCs w:val="20"/>
              </w:rPr>
              <w:t>2.工作温度：-15℃~60℃。</w:t>
            </w:r>
            <w:r>
              <w:rPr>
                <w:rFonts w:hint="eastAsia" w:ascii="宋体" w:hAnsi="宋体" w:cs="宋体"/>
                <w:kern w:val="0"/>
                <w:sz w:val="20"/>
                <w:szCs w:val="20"/>
              </w:rPr>
              <w:br w:type="textWrapping"/>
            </w:r>
            <w:r>
              <w:rPr>
                <w:rFonts w:hint="eastAsia" w:ascii="宋体" w:hAnsi="宋体" w:cs="宋体"/>
                <w:kern w:val="0"/>
                <w:sz w:val="20"/>
                <w:szCs w:val="20"/>
              </w:rPr>
              <w:t>3.工作湿度：10％到95％(无凝露)。</w:t>
            </w:r>
            <w:r>
              <w:rPr>
                <w:rFonts w:hint="eastAsia" w:ascii="宋体" w:hAnsi="宋体" w:cs="宋体"/>
                <w:kern w:val="0"/>
                <w:sz w:val="20"/>
                <w:szCs w:val="20"/>
              </w:rPr>
              <w:br w:type="textWrapping"/>
            </w:r>
            <w:r>
              <w:rPr>
                <w:rFonts w:hint="eastAsia" w:ascii="宋体" w:hAnsi="宋体" w:cs="宋体"/>
                <w:kern w:val="0"/>
                <w:sz w:val="20"/>
                <w:szCs w:val="20"/>
              </w:rPr>
              <w:t>4.红外载波频率：38KHZ。</w:t>
            </w:r>
            <w:r>
              <w:rPr>
                <w:rFonts w:hint="eastAsia" w:ascii="宋体" w:hAnsi="宋体" w:cs="宋体"/>
                <w:kern w:val="0"/>
                <w:sz w:val="20"/>
                <w:szCs w:val="20"/>
              </w:rPr>
              <w:br w:type="textWrapping"/>
            </w:r>
            <w:r>
              <w:rPr>
                <w:rFonts w:hint="eastAsia" w:ascii="宋体" w:hAnsi="宋体" w:cs="宋体"/>
                <w:kern w:val="0"/>
                <w:sz w:val="20"/>
                <w:szCs w:val="20"/>
              </w:rPr>
              <w:t>5.继电器额定电流：16A。</w:t>
            </w:r>
            <w:r>
              <w:rPr>
                <w:rFonts w:hint="eastAsia" w:ascii="宋体" w:hAnsi="宋体" w:cs="宋体"/>
                <w:kern w:val="0"/>
                <w:sz w:val="20"/>
                <w:szCs w:val="20"/>
              </w:rPr>
              <w:br w:type="textWrapping"/>
            </w:r>
            <w:r>
              <w:rPr>
                <w:rFonts w:hint="eastAsia" w:ascii="宋体" w:hAnsi="宋体" w:cs="宋体"/>
                <w:kern w:val="0"/>
                <w:sz w:val="20"/>
                <w:szCs w:val="20"/>
              </w:rPr>
              <w:t>6.继电器额定电压：220V。</w:t>
            </w:r>
            <w:r>
              <w:rPr>
                <w:rFonts w:hint="eastAsia" w:ascii="宋体" w:hAnsi="宋体" w:cs="宋体"/>
                <w:kern w:val="0"/>
                <w:sz w:val="20"/>
                <w:szCs w:val="20"/>
              </w:rPr>
              <w:br w:type="textWrapping"/>
            </w:r>
            <w:r>
              <w:rPr>
                <w:rFonts w:hint="eastAsia" w:ascii="宋体" w:hAnsi="宋体" w:cs="宋体"/>
                <w:kern w:val="0"/>
                <w:sz w:val="20"/>
                <w:szCs w:val="20"/>
              </w:rPr>
              <w:t>7.通讯方式：无线4G通讯。</w:t>
            </w:r>
            <w:r>
              <w:rPr>
                <w:rFonts w:hint="eastAsia" w:ascii="宋体" w:hAnsi="宋体" w:cs="宋体"/>
                <w:kern w:val="0"/>
                <w:sz w:val="20"/>
                <w:szCs w:val="20"/>
              </w:rPr>
              <w:br w:type="textWrapping"/>
            </w:r>
            <w:r>
              <w:rPr>
                <w:rFonts w:hint="eastAsia" w:ascii="宋体" w:hAnsi="宋体" w:cs="宋体"/>
                <w:kern w:val="0"/>
                <w:sz w:val="20"/>
                <w:szCs w:val="20"/>
              </w:rPr>
              <w:t>8.控制方式：继电器通断输出控制，红外遥控码值发射控制。</w:t>
            </w:r>
            <w:r>
              <w:rPr>
                <w:rFonts w:hint="eastAsia" w:ascii="宋体" w:hAnsi="宋体" w:cs="宋体"/>
                <w:kern w:val="0"/>
                <w:sz w:val="20"/>
                <w:szCs w:val="20"/>
              </w:rPr>
              <w:br w:type="textWrapping"/>
            </w:r>
            <w:r>
              <w:rPr>
                <w:rFonts w:hint="eastAsia" w:ascii="宋体" w:hAnsi="宋体" w:cs="宋体"/>
                <w:kern w:val="0"/>
                <w:sz w:val="20"/>
                <w:szCs w:val="20"/>
              </w:rPr>
              <w:t>9.设备抗干扰等级：3级（IEC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10.显示：LED数码显示。</w:t>
            </w:r>
            <w:r>
              <w:rPr>
                <w:rFonts w:hint="eastAsia" w:ascii="宋体" w:hAnsi="宋体" w:cs="宋体"/>
                <w:kern w:val="0"/>
                <w:sz w:val="20"/>
                <w:szCs w:val="20"/>
              </w:rPr>
              <w:br w:type="textWrapping"/>
            </w:r>
            <w:r>
              <w:rPr>
                <w:rFonts w:hint="eastAsia" w:ascii="宋体" w:hAnsi="宋体" w:cs="宋体"/>
                <w:kern w:val="0"/>
                <w:sz w:val="20"/>
                <w:szCs w:val="20"/>
              </w:rPr>
              <w:t>管理平台：</w:t>
            </w:r>
            <w:r>
              <w:rPr>
                <w:rFonts w:hint="eastAsia" w:ascii="宋体" w:hAnsi="宋体" w:cs="宋体"/>
                <w:kern w:val="0"/>
                <w:sz w:val="20"/>
                <w:szCs w:val="20"/>
              </w:rPr>
              <w:br w:type="textWrapping"/>
            </w:r>
            <w:r>
              <w:rPr>
                <w:rFonts w:hint="eastAsia" w:ascii="宋体" w:hAnsi="宋体" w:cs="宋体"/>
                <w:kern w:val="0"/>
                <w:sz w:val="20"/>
                <w:szCs w:val="20"/>
              </w:rPr>
              <w:t>1.MQTT服务：可设置mqtt服务器地址、账号、登录密码信息；可设置主题格式、超时时间、心跳时间的通信规则。</w:t>
            </w:r>
            <w:r>
              <w:rPr>
                <w:rFonts w:hint="eastAsia" w:ascii="宋体" w:hAnsi="宋体" w:cs="宋体"/>
                <w:kern w:val="0"/>
                <w:sz w:val="20"/>
                <w:szCs w:val="20"/>
              </w:rPr>
              <w:br w:type="textWrapping"/>
            </w:r>
            <w:r>
              <w:rPr>
                <w:rFonts w:hint="eastAsia" w:ascii="宋体" w:hAnsi="宋体" w:cs="宋体"/>
                <w:kern w:val="0"/>
                <w:sz w:val="20"/>
                <w:szCs w:val="20"/>
              </w:rPr>
              <w:t>2.多种通讯格式兼容：支持设备联网方式可采用无线局域网、有线485网络、GPRS、wifi、以太网。</w:t>
            </w:r>
            <w:r>
              <w:rPr>
                <w:rFonts w:hint="eastAsia" w:ascii="宋体" w:hAnsi="宋体" w:cs="宋体"/>
                <w:kern w:val="0"/>
                <w:sz w:val="20"/>
                <w:szCs w:val="20"/>
              </w:rPr>
              <w:br w:type="textWrapping"/>
            </w:r>
            <w:r>
              <w:rPr>
                <w:rFonts w:hint="eastAsia" w:ascii="宋体" w:hAnsi="宋体" w:cs="宋体"/>
                <w:kern w:val="0"/>
                <w:sz w:val="20"/>
                <w:szCs w:val="20"/>
              </w:rPr>
              <w:t>3.图形化实时状态显示：支持每台空调对应一个状态块，状态块里包含空调名称、所在地的当前温度、光照度、空调当前的瞬时电流、电压、功率、空调累计用电量、空调累计用电时长。应用图标及颜色描述空调当前的状态，当前状态有运行状态、待机状态、断电状态。应用图标及颜色描述空调应用环境是否有人状态、AC360蜂鸣器开关状态、自控系统是否打开状态、当前自控系统应用的季节状态（夏季/冬季），应用颜色描述空调控制器的异常状态。</w:t>
            </w:r>
            <w:r>
              <w:rPr>
                <w:rFonts w:hint="eastAsia" w:ascii="宋体" w:hAnsi="宋体" w:cs="宋体"/>
                <w:kern w:val="0"/>
                <w:sz w:val="20"/>
                <w:szCs w:val="20"/>
              </w:rPr>
              <w:br w:type="textWrapping"/>
            </w:r>
            <w:r>
              <w:rPr>
                <w:rFonts w:hint="eastAsia" w:ascii="宋体" w:hAnsi="宋体" w:cs="宋体"/>
                <w:kern w:val="0"/>
                <w:sz w:val="20"/>
                <w:szCs w:val="20"/>
              </w:rPr>
              <w:t>4.图形化控制界面：可通过点击图形界面控制AC360的状态开关：继电器开关（接通或断开空调电源），自控系统功能开关，蜂鸣器开关、光敏传感器功能开关。</w:t>
            </w:r>
            <w:r>
              <w:rPr>
                <w:rFonts w:hint="eastAsia" w:ascii="宋体" w:hAnsi="宋体" w:cs="宋体"/>
                <w:kern w:val="0"/>
                <w:sz w:val="20"/>
                <w:szCs w:val="20"/>
              </w:rPr>
              <w:br w:type="textWrapping"/>
            </w:r>
            <w:r>
              <w:rPr>
                <w:rFonts w:hint="eastAsia" w:ascii="宋体" w:hAnsi="宋体" w:cs="宋体"/>
                <w:kern w:val="0"/>
                <w:sz w:val="20"/>
                <w:szCs w:val="20"/>
              </w:rPr>
              <w:t>5.可视报警视图：可分时、分组、分设备、分故障类型查询设备报警信息，包括温度传感器异常报警，设备通讯异常报警。</w:t>
            </w:r>
            <w:r>
              <w:rPr>
                <w:rFonts w:hint="eastAsia" w:ascii="宋体" w:hAnsi="宋体" w:cs="宋体"/>
                <w:kern w:val="0"/>
                <w:sz w:val="20"/>
                <w:szCs w:val="20"/>
              </w:rPr>
              <w:br w:type="textWrapping"/>
            </w:r>
            <w:r>
              <w:rPr>
                <w:rFonts w:hint="eastAsia" w:ascii="宋体" w:hAnsi="宋体" w:cs="宋体"/>
                <w:kern w:val="0"/>
                <w:sz w:val="20"/>
                <w:szCs w:val="20"/>
              </w:rPr>
              <w:t>6.远程定时控制：可通过定时控制界面，控制系统在设定的时间定时空调开关机、空调送电或断电，以各分组设备为设置对象，每条定时开关独立执行。</w:t>
            </w:r>
            <w:r>
              <w:rPr>
                <w:rFonts w:hint="eastAsia" w:ascii="宋体" w:hAnsi="宋体" w:cs="宋体"/>
                <w:kern w:val="0"/>
                <w:sz w:val="20"/>
                <w:szCs w:val="20"/>
              </w:rPr>
              <w:br w:type="textWrapping"/>
            </w:r>
            <w:r>
              <w:rPr>
                <w:rFonts w:hint="eastAsia" w:ascii="宋体" w:hAnsi="宋体" w:cs="宋体"/>
                <w:kern w:val="0"/>
                <w:sz w:val="20"/>
                <w:szCs w:val="20"/>
              </w:rPr>
              <w:t>7.远程手动控制：可通过PC端对空调进行分组或单个设备远程红外及电源控控制，红外控制包括开关空调、调节空调运行模式、调节空调温度。</w:t>
            </w:r>
            <w:r>
              <w:rPr>
                <w:rFonts w:hint="eastAsia" w:ascii="宋体" w:hAnsi="宋体" w:cs="宋体"/>
                <w:kern w:val="0"/>
                <w:sz w:val="20"/>
                <w:szCs w:val="20"/>
              </w:rPr>
              <w:br w:type="textWrapping"/>
            </w:r>
            <w:r>
              <w:rPr>
                <w:rFonts w:hint="eastAsia" w:ascii="宋体" w:hAnsi="宋体" w:cs="宋体"/>
                <w:kern w:val="0"/>
                <w:sz w:val="20"/>
                <w:szCs w:val="20"/>
              </w:rPr>
              <w:t>▲8.红外码库：可配置红外码库；选择品牌空调编码、空调品牌、遥控器型号、设备型号；支持一键匹配空调，通过分析学习接收的红外码值，自动匹配出相应的遥控器型号，并通过码库中的参数可控制空调的开关、模式、温度设置、风向、风速信息；可在线设置所连接码库服务器的地址、密匙、解析方式。</w:t>
            </w:r>
            <w:r>
              <w:rPr>
                <w:rFonts w:hint="eastAsia" w:ascii="宋体" w:hAnsi="宋体" w:cs="宋体"/>
                <w:kern w:val="0"/>
                <w:sz w:val="20"/>
                <w:szCs w:val="20"/>
              </w:rPr>
              <w:br w:type="textWrapping"/>
            </w:r>
            <w:r>
              <w:rPr>
                <w:rFonts w:hint="eastAsia" w:ascii="宋体" w:hAnsi="宋体" w:cs="宋体"/>
                <w:kern w:val="0"/>
                <w:sz w:val="20"/>
                <w:szCs w:val="20"/>
              </w:rPr>
              <w:t>▲9.红外码库自动匹配功能：可根据设备上报的红外码值自动匹配红外码库内适用的红外码值，并通过匹配到的红外码值控制空调。</w:t>
            </w:r>
            <w:r>
              <w:rPr>
                <w:rFonts w:hint="eastAsia" w:ascii="宋体" w:hAnsi="宋体" w:cs="宋体"/>
                <w:kern w:val="0"/>
                <w:sz w:val="20"/>
                <w:szCs w:val="20"/>
              </w:rPr>
              <w:br w:type="textWrapping"/>
            </w:r>
            <w:r>
              <w:rPr>
                <w:rFonts w:hint="eastAsia" w:ascii="宋体" w:hAnsi="宋体" w:cs="宋体"/>
                <w:kern w:val="0"/>
                <w:sz w:val="20"/>
                <w:szCs w:val="20"/>
              </w:rPr>
              <w:t>▲10.码库注册：可管理添加码库、码库链接地址。</w:t>
            </w:r>
            <w:r>
              <w:rPr>
                <w:rFonts w:hint="eastAsia" w:ascii="宋体" w:hAnsi="宋体" w:cs="宋体"/>
                <w:kern w:val="0"/>
                <w:sz w:val="20"/>
                <w:szCs w:val="20"/>
              </w:rPr>
              <w:br w:type="textWrapping"/>
            </w:r>
            <w:r>
              <w:rPr>
                <w:rFonts w:hint="eastAsia" w:ascii="宋体" w:hAnsi="宋体" w:cs="宋体"/>
                <w:kern w:val="0"/>
                <w:sz w:val="20"/>
                <w:szCs w:val="20"/>
              </w:rPr>
              <w:t>11.用电管理开关：可对设备电量管理功能的开启、关闭，开启功能后空调使用受可用电量的限制。</w:t>
            </w:r>
            <w:r>
              <w:rPr>
                <w:rFonts w:hint="eastAsia" w:ascii="宋体" w:hAnsi="宋体" w:cs="宋体"/>
                <w:kern w:val="0"/>
                <w:sz w:val="20"/>
                <w:szCs w:val="20"/>
              </w:rPr>
              <w:br w:type="textWrapping"/>
            </w:r>
            <w:r>
              <w:rPr>
                <w:rFonts w:hint="eastAsia" w:ascii="宋体" w:hAnsi="宋体" w:cs="宋体"/>
                <w:kern w:val="0"/>
                <w:sz w:val="20"/>
                <w:szCs w:val="20"/>
              </w:rPr>
              <w:t>12.电量充值：可对设备可用电量进行充值、撤销充值以及充值记录查询。</w:t>
            </w:r>
            <w:r>
              <w:rPr>
                <w:rFonts w:hint="eastAsia" w:ascii="宋体" w:hAnsi="宋体" w:cs="宋体"/>
                <w:kern w:val="0"/>
                <w:sz w:val="20"/>
                <w:szCs w:val="20"/>
              </w:rPr>
              <w:br w:type="textWrapping"/>
            </w:r>
            <w:r>
              <w:rPr>
                <w:rFonts w:hint="eastAsia" w:ascii="宋体" w:hAnsi="宋体" w:cs="宋体"/>
                <w:kern w:val="0"/>
                <w:sz w:val="20"/>
                <w:szCs w:val="20"/>
              </w:rPr>
              <w:t>13.红外学习功能：支持当码库中没有匹配到红外码值时，可以学习空调原配遥控器的红外码值，并且可以利用学习到的红外码值控制空调的开关，调整温度、模式。</w:t>
            </w:r>
            <w:r>
              <w:rPr>
                <w:rFonts w:hint="eastAsia" w:ascii="宋体" w:hAnsi="宋体" w:cs="宋体"/>
                <w:kern w:val="0"/>
                <w:sz w:val="20"/>
                <w:szCs w:val="20"/>
              </w:rPr>
              <w:br w:type="textWrapping"/>
            </w:r>
            <w:r>
              <w:rPr>
                <w:rFonts w:hint="eastAsia" w:ascii="宋体" w:hAnsi="宋体" w:cs="宋体"/>
                <w:kern w:val="0"/>
                <w:sz w:val="20"/>
                <w:szCs w:val="20"/>
              </w:rPr>
              <w:t>14.设备多级分组管理：可设置一到五级分组管理，操作时可对特定组的设备统一管理。</w:t>
            </w:r>
            <w:r>
              <w:rPr>
                <w:rFonts w:hint="eastAsia" w:ascii="宋体" w:hAnsi="宋体" w:cs="宋体"/>
                <w:kern w:val="0"/>
                <w:sz w:val="20"/>
                <w:szCs w:val="20"/>
              </w:rPr>
              <w:br w:type="textWrapping"/>
            </w:r>
            <w:r>
              <w:rPr>
                <w:rFonts w:hint="eastAsia" w:ascii="宋体" w:hAnsi="宋体" w:cs="宋体"/>
                <w:kern w:val="0"/>
                <w:sz w:val="20"/>
                <w:szCs w:val="20"/>
              </w:rPr>
              <w:t>▲15.固件升级：可远程批量升级设备固件程序。</w:t>
            </w:r>
            <w:r>
              <w:rPr>
                <w:rFonts w:hint="eastAsia" w:ascii="宋体" w:hAnsi="宋体" w:cs="宋体"/>
                <w:kern w:val="0"/>
                <w:sz w:val="20"/>
                <w:szCs w:val="20"/>
              </w:rPr>
              <w:br w:type="textWrapping"/>
            </w:r>
            <w:r>
              <w:rPr>
                <w:rFonts w:hint="eastAsia" w:ascii="宋体" w:hAnsi="宋体" w:cs="宋体"/>
                <w:kern w:val="0"/>
                <w:sz w:val="20"/>
                <w:szCs w:val="20"/>
              </w:rPr>
              <w:t>16.采集数据查询：可查询各空调数据定时、手动采集到的数据，以列表形式显示，可选择时间段、分组筛选。后台自动屏蔽连续多次采集到一样的数据，只保留一条。</w:t>
            </w:r>
            <w:r>
              <w:rPr>
                <w:rFonts w:hint="eastAsia" w:ascii="宋体" w:hAnsi="宋体" w:cs="宋体"/>
                <w:kern w:val="0"/>
                <w:sz w:val="20"/>
                <w:szCs w:val="20"/>
              </w:rPr>
              <w:br w:type="textWrapping"/>
            </w:r>
            <w:r>
              <w:rPr>
                <w:rFonts w:hint="eastAsia" w:ascii="宋体" w:hAnsi="宋体" w:cs="宋体"/>
                <w:kern w:val="0"/>
                <w:sz w:val="20"/>
                <w:szCs w:val="20"/>
              </w:rPr>
              <w:t>17.图形化能源报表：可统计总体、各个分组、各个设备的用电情况，包括用电量以用电时长、瞬时功率、能源分析，并进行节电率分析。</w:t>
            </w:r>
            <w:r>
              <w:rPr>
                <w:rFonts w:hint="eastAsia" w:ascii="宋体" w:hAnsi="宋体" w:cs="宋体"/>
                <w:kern w:val="0"/>
                <w:sz w:val="20"/>
                <w:szCs w:val="20"/>
              </w:rPr>
              <w:br w:type="textWrapping"/>
            </w:r>
            <w:r>
              <w:rPr>
                <w:rFonts w:hint="eastAsia" w:ascii="宋体" w:hAnsi="宋体" w:cs="宋体"/>
                <w:kern w:val="0"/>
                <w:sz w:val="20"/>
                <w:szCs w:val="20"/>
              </w:rPr>
              <w:t>18.设备管理：可添加、删除设备，设置设备的名称、连接的网关、通信地址、设备类型、分组的信息。</w:t>
            </w:r>
            <w:r>
              <w:rPr>
                <w:rFonts w:hint="eastAsia" w:ascii="宋体" w:hAnsi="宋体" w:cs="宋体"/>
                <w:kern w:val="0"/>
                <w:sz w:val="20"/>
                <w:szCs w:val="20"/>
              </w:rPr>
              <w:br w:type="textWrapping"/>
            </w:r>
            <w:r>
              <w:rPr>
                <w:rFonts w:hint="eastAsia" w:ascii="宋体" w:hAnsi="宋体" w:cs="宋体"/>
                <w:kern w:val="0"/>
                <w:sz w:val="20"/>
                <w:szCs w:val="20"/>
              </w:rPr>
              <w:t>19.产品管理：可设置、添加产品，可设置产品信息，包括产品类型、品牌、对应遥控器型号（自动匹配到码库）。</w:t>
            </w:r>
            <w:r>
              <w:rPr>
                <w:rFonts w:hint="eastAsia" w:ascii="宋体" w:hAnsi="宋体" w:cs="宋体"/>
                <w:kern w:val="0"/>
                <w:sz w:val="20"/>
                <w:szCs w:val="20"/>
              </w:rPr>
              <w:br w:type="textWrapping"/>
            </w:r>
            <w:r>
              <w:rPr>
                <w:rFonts w:hint="eastAsia" w:ascii="宋体" w:hAnsi="宋体" w:cs="宋体"/>
                <w:kern w:val="0"/>
                <w:sz w:val="20"/>
                <w:szCs w:val="20"/>
              </w:rPr>
              <w:t>20.网关管理：可添加、删除、批量导入RS485、MQTT网关，网关中可设置通信规则、红外发射延迟时间、红外验证时间（发送红外后智能验证是否发送成功）、判断超时时间、通信失败重发次数、分包大小的信息。</w:t>
            </w:r>
            <w:r>
              <w:rPr>
                <w:rFonts w:hint="eastAsia" w:ascii="宋体" w:hAnsi="宋体" w:cs="宋体"/>
                <w:kern w:val="0"/>
                <w:sz w:val="20"/>
                <w:szCs w:val="20"/>
              </w:rPr>
              <w:br w:type="textWrapping"/>
            </w:r>
            <w:r>
              <w:rPr>
                <w:rFonts w:hint="eastAsia" w:ascii="宋体" w:hAnsi="宋体" w:cs="宋体"/>
                <w:kern w:val="0"/>
                <w:sz w:val="20"/>
                <w:szCs w:val="20"/>
              </w:rPr>
              <w:t>21.设置无人关机与继电器断开时间间隔设置：支持设备断开继电器时，先判断空调启停状态，若开启，发送红外关机指令，延时“红外关机与继电器断开时间间隔”所设置的时间后，再断开继电器。</w:t>
            </w:r>
            <w:r>
              <w:rPr>
                <w:rFonts w:hint="eastAsia" w:ascii="宋体" w:hAnsi="宋体" w:cs="宋体"/>
                <w:kern w:val="0"/>
                <w:sz w:val="20"/>
                <w:szCs w:val="20"/>
              </w:rPr>
              <w:br w:type="textWrapping"/>
            </w:r>
            <w:r>
              <w:rPr>
                <w:rFonts w:hint="eastAsia" w:ascii="宋体" w:hAnsi="宋体" w:cs="宋体"/>
                <w:kern w:val="0"/>
                <w:sz w:val="20"/>
                <w:szCs w:val="20"/>
              </w:rPr>
              <w:t>22.冬夏季温度阀值、启停探测阀值设置：支持设备上电后进行冬夏季判断，大于设置的阈值时，判断为夏季，小于设置的阈值时，判断为冬季。设备通过检测负载的电流，并与设置的阈值作比较，判断所接负载是启动还是关闭；检测的电流大于设置的阈值，判断为启动；检测的电流小于设置的阈值，判断为关闭。</w:t>
            </w:r>
            <w:r>
              <w:rPr>
                <w:rFonts w:hint="eastAsia" w:ascii="宋体" w:hAnsi="宋体" w:cs="宋体"/>
                <w:kern w:val="0"/>
                <w:sz w:val="20"/>
                <w:szCs w:val="20"/>
              </w:rPr>
              <w:br w:type="textWrapping"/>
            </w:r>
            <w:r>
              <w:rPr>
                <w:rFonts w:hint="eastAsia" w:ascii="宋体" w:hAnsi="宋体" w:cs="宋体"/>
                <w:kern w:val="0"/>
                <w:sz w:val="20"/>
                <w:szCs w:val="20"/>
              </w:rPr>
              <w:t>23.自控采集间隔时间设置：支持开启自控模式时，采集一次温度，温度将持续保持“自控采集间隔时间”所设置的时间，之后再次采集温度，再持续保持所设置的时间。</w:t>
            </w:r>
            <w:r>
              <w:rPr>
                <w:rFonts w:hint="eastAsia" w:ascii="宋体" w:hAnsi="宋体" w:cs="宋体"/>
                <w:kern w:val="0"/>
                <w:sz w:val="20"/>
                <w:szCs w:val="20"/>
              </w:rPr>
              <w:br w:type="textWrapping"/>
            </w:r>
            <w:r>
              <w:rPr>
                <w:rFonts w:hint="eastAsia" w:ascii="宋体" w:hAnsi="宋体" w:cs="宋体"/>
                <w:kern w:val="0"/>
                <w:sz w:val="20"/>
                <w:szCs w:val="20"/>
              </w:rPr>
              <w:t>24.遥控密码设置：管理员通过密码激活遥控器，并进行使用时，并可更改设备的遥控器密码。</w:t>
            </w:r>
            <w:r>
              <w:rPr>
                <w:rFonts w:hint="eastAsia" w:ascii="宋体" w:hAnsi="宋体" w:cs="宋体"/>
                <w:kern w:val="0"/>
                <w:sz w:val="20"/>
                <w:szCs w:val="20"/>
              </w:rPr>
              <w:br w:type="textWrapping"/>
            </w:r>
            <w:r>
              <w:rPr>
                <w:rFonts w:hint="eastAsia" w:ascii="宋体" w:hAnsi="宋体" w:cs="宋体"/>
                <w:kern w:val="0"/>
                <w:sz w:val="20"/>
                <w:szCs w:val="20"/>
              </w:rPr>
              <w:t>25.自控参数设置：可开启自控模式，设备会按照所设置的自控参数进行运作；自控参数可以设置运行时段、冬夏季上下限、控制模式。</w:t>
            </w:r>
            <w:r>
              <w:rPr>
                <w:rFonts w:hint="eastAsia" w:ascii="宋体" w:hAnsi="宋体" w:cs="宋体"/>
                <w:kern w:val="0"/>
                <w:sz w:val="20"/>
                <w:szCs w:val="20"/>
              </w:rPr>
              <w:br w:type="textWrapping"/>
            </w:r>
            <w:r>
              <w:rPr>
                <w:rFonts w:hint="eastAsia" w:ascii="宋体" w:hAnsi="宋体" w:cs="宋体"/>
                <w:kern w:val="0"/>
                <w:sz w:val="20"/>
                <w:szCs w:val="20"/>
              </w:rPr>
              <w:t>26.全局设置：可设置空调温度、电压、电流报警数值，冬夏季时间段设置以及软件对设备自动信息的采集时间间隔进行设置值。</w:t>
            </w:r>
            <w:r>
              <w:rPr>
                <w:rFonts w:hint="eastAsia" w:ascii="宋体" w:hAnsi="宋体" w:cs="宋体"/>
                <w:kern w:val="0"/>
                <w:sz w:val="20"/>
                <w:szCs w:val="20"/>
              </w:rPr>
              <w:br w:type="textWrapping"/>
            </w:r>
            <w:r>
              <w:rPr>
                <w:rFonts w:hint="eastAsia" w:ascii="宋体" w:hAnsi="宋体" w:cs="宋体"/>
                <w:kern w:val="0"/>
                <w:sz w:val="20"/>
                <w:szCs w:val="20"/>
              </w:rPr>
              <w:t>27.定时/策略控制：可填写控制策略（远程根据分组、时间、温度来管理空调的开关）。可在固定时间段内、对所选固定区域空调设置温度控制策略，控制空调运行温度。</w:t>
            </w:r>
            <w:r>
              <w:rPr>
                <w:rFonts w:hint="eastAsia" w:ascii="宋体" w:hAnsi="宋体" w:cs="宋体"/>
                <w:kern w:val="0"/>
                <w:sz w:val="20"/>
                <w:szCs w:val="20"/>
              </w:rPr>
              <w:br w:type="textWrapping"/>
            </w:r>
            <w:r>
              <w:rPr>
                <w:rFonts w:hint="eastAsia" w:ascii="宋体" w:hAnsi="宋体" w:cs="宋体"/>
                <w:kern w:val="0"/>
                <w:sz w:val="20"/>
                <w:szCs w:val="20"/>
              </w:rPr>
              <w:t>▲28.统一管理平台：确保分体空调、多联机及人体传感器等设备在同一软件平台中展示、操控，并可联动运行，提升管理效率与系统整体可控性。</w:t>
            </w:r>
          </w:p>
        </w:tc>
        <w:tc>
          <w:tcPr>
            <w:tcW w:w="233" w:type="pct"/>
            <w:tcBorders>
              <w:top w:val="nil"/>
              <w:left w:val="nil"/>
              <w:bottom w:val="single" w:color="000000" w:sz="4" w:space="0"/>
              <w:right w:val="single" w:color="000000" w:sz="4" w:space="0"/>
            </w:tcBorders>
            <w:vAlign w:val="center"/>
          </w:tcPr>
          <w:p w14:paraId="182F759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323" w:type="pct"/>
            <w:tcBorders>
              <w:top w:val="nil"/>
              <w:left w:val="nil"/>
              <w:bottom w:val="single" w:color="000000" w:sz="4" w:space="0"/>
              <w:right w:val="single" w:color="000000" w:sz="4" w:space="0"/>
            </w:tcBorders>
            <w:vAlign w:val="center"/>
          </w:tcPr>
          <w:p w14:paraId="6FBF4A4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1650</w:t>
            </w:r>
          </w:p>
        </w:tc>
        <w:tc>
          <w:tcPr>
            <w:tcW w:w="289" w:type="pct"/>
            <w:tcBorders>
              <w:top w:val="nil"/>
              <w:left w:val="nil"/>
              <w:bottom w:val="single" w:color="000000" w:sz="4" w:space="0"/>
              <w:right w:val="single" w:color="000000" w:sz="4" w:space="0"/>
            </w:tcBorders>
            <w:vAlign w:val="center"/>
          </w:tcPr>
          <w:p w14:paraId="189205A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34F07D03">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08F8BAA7">
            <w:pPr>
              <w:widowControl/>
              <w:spacing w:after="0" w:line="240" w:lineRule="auto"/>
              <w:jc w:val="right"/>
              <w:rPr>
                <w:rFonts w:hint="eastAsia" w:ascii="宋体" w:hAnsi="宋体" w:cs="宋体"/>
                <w:kern w:val="0"/>
                <w:sz w:val="20"/>
                <w:szCs w:val="20"/>
              </w:rPr>
            </w:pPr>
            <w:r>
              <w:rPr>
                <w:rFonts w:hint="eastAsia" w:ascii="宋体" w:hAnsi="宋体" w:cs="宋体"/>
                <w:kern w:val="0"/>
                <w:sz w:val="20"/>
                <w:szCs w:val="20"/>
              </w:rPr>
              <w:t>　</w:t>
            </w:r>
          </w:p>
        </w:tc>
        <w:tc>
          <w:tcPr>
            <w:tcW w:w="375" w:type="pct"/>
            <w:tcBorders>
              <w:top w:val="nil"/>
              <w:left w:val="nil"/>
              <w:bottom w:val="single" w:color="000000" w:sz="4" w:space="0"/>
              <w:right w:val="single" w:color="000000" w:sz="4" w:space="0"/>
            </w:tcBorders>
            <w:vAlign w:val="center"/>
          </w:tcPr>
          <w:p w14:paraId="491D54FC">
            <w:pPr>
              <w:widowControl/>
              <w:spacing w:after="0" w:line="240" w:lineRule="auto"/>
              <w:jc w:val="right"/>
              <w:rPr>
                <w:rFonts w:hint="eastAsia" w:ascii="宋体" w:hAnsi="宋体" w:cs="宋体"/>
                <w:kern w:val="0"/>
                <w:sz w:val="20"/>
                <w:szCs w:val="20"/>
              </w:rPr>
            </w:pPr>
            <w:r>
              <w:rPr>
                <w:rFonts w:hint="eastAsia" w:ascii="宋体" w:hAnsi="宋体" w:cs="宋体"/>
                <w:kern w:val="0"/>
                <w:sz w:val="20"/>
                <w:szCs w:val="20"/>
              </w:rPr>
              <w:t>　</w:t>
            </w:r>
          </w:p>
        </w:tc>
        <w:tc>
          <w:tcPr>
            <w:tcW w:w="78" w:type="pct"/>
            <w:vAlign w:val="center"/>
          </w:tcPr>
          <w:p w14:paraId="055229DB">
            <w:pPr>
              <w:widowControl/>
              <w:spacing w:after="0" w:line="240" w:lineRule="auto"/>
              <w:jc w:val="left"/>
              <w:rPr>
                <w:rFonts w:eastAsia="Times New Roman"/>
                <w:kern w:val="0"/>
                <w:sz w:val="20"/>
                <w:szCs w:val="20"/>
              </w:rPr>
            </w:pPr>
          </w:p>
        </w:tc>
      </w:tr>
      <w:tr w14:paraId="6631EBC8">
        <w:tblPrEx>
          <w:tblCellMar>
            <w:top w:w="0" w:type="dxa"/>
            <w:left w:w="108" w:type="dxa"/>
            <w:bottom w:w="0" w:type="dxa"/>
            <w:right w:w="108" w:type="dxa"/>
          </w:tblCellMar>
        </w:tblPrEx>
        <w:trPr>
          <w:trHeight w:val="3462" w:hRule="atLeast"/>
        </w:trPr>
        <w:tc>
          <w:tcPr>
            <w:tcW w:w="264" w:type="pct"/>
            <w:tcBorders>
              <w:top w:val="nil"/>
              <w:left w:val="single" w:color="000000" w:sz="4" w:space="0"/>
              <w:bottom w:val="single" w:color="000000" w:sz="4" w:space="0"/>
              <w:right w:val="single" w:color="000000" w:sz="4" w:space="0"/>
            </w:tcBorders>
            <w:vAlign w:val="center"/>
          </w:tcPr>
          <w:p w14:paraId="2AE8984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3</w:t>
            </w:r>
          </w:p>
        </w:tc>
        <w:tc>
          <w:tcPr>
            <w:tcW w:w="491" w:type="pct"/>
            <w:tcBorders>
              <w:top w:val="nil"/>
              <w:left w:val="nil"/>
              <w:bottom w:val="single" w:color="000000" w:sz="4" w:space="0"/>
              <w:right w:val="single" w:color="000000" w:sz="4" w:space="0"/>
            </w:tcBorders>
            <w:vAlign w:val="center"/>
          </w:tcPr>
          <w:p w14:paraId="3825A172">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2匹及以上智能控制器</w:t>
            </w:r>
          </w:p>
        </w:tc>
        <w:tc>
          <w:tcPr>
            <w:tcW w:w="2033" w:type="pct"/>
            <w:tcBorders>
              <w:top w:val="nil"/>
              <w:left w:val="nil"/>
              <w:bottom w:val="single" w:color="000000" w:sz="4" w:space="0"/>
              <w:right w:val="single" w:color="000000" w:sz="4" w:space="0"/>
            </w:tcBorders>
            <w:vAlign w:val="center"/>
          </w:tcPr>
          <w:p w14:paraId="16AF7639">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基础功能：</w:t>
            </w:r>
            <w:r>
              <w:rPr>
                <w:rFonts w:hint="eastAsia" w:ascii="宋体" w:hAnsi="宋体" w:cs="宋体"/>
                <w:kern w:val="0"/>
                <w:sz w:val="20"/>
                <w:szCs w:val="20"/>
              </w:rPr>
              <w:br w:type="textWrapping"/>
            </w:r>
            <w:r>
              <w:rPr>
                <w:rFonts w:hint="eastAsia" w:ascii="宋体" w:hAnsi="宋体" w:cs="宋体"/>
                <w:kern w:val="0"/>
                <w:sz w:val="20"/>
                <w:szCs w:val="20"/>
              </w:rPr>
              <w:t>1.红外控制：可红外控制空调运行，通过云端的码库、设备自学习红外指令，使用管理遥控器或者后台运用软件/app控制空调的各种运行模式。</w:t>
            </w:r>
            <w:r>
              <w:rPr>
                <w:rFonts w:hint="eastAsia" w:ascii="宋体" w:hAnsi="宋体" w:cs="宋体"/>
                <w:kern w:val="0"/>
                <w:sz w:val="20"/>
                <w:szCs w:val="20"/>
              </w:rPr>
              <w:br w:type="textWrapping"/>
            </w:r>
            <w:r>
              <w:rPr>
                <w:rFonts w:hint="eastAsia" w:ascii="宋体" w:hAnsi="宋体" w:cs="宋体"/>
                <w:kern w:val="0"/>
                <w:sz w:val="20"/>
                <w:szCs w:val="20"/>
              </w:rPr>
              <w:t>2.通断电强制控制：可在达到设定条件时，控制空调电源通断电对空调运行状态进行控制。</w:t>
            </w:r>
            <w:r>
              <w:rPr>
                <w:rFonts w:hint="eastAsia" w:ascii="宋体" w:hAnsi="宋体" w:cs="宋体"/>
                <w:kern w:val="0"/>
                <w:sz w:val="20"/>
                <w:szCs w:val="20"/>
              </w:rPr>
              <w:br w:type="textWrapping"/>
            </w:r>
            <w:r>
              <w:rPr>
                <w:rFonts w:hint="eastAsia" w:ascii="宋体" w:hAnsi="宋体" w:cs="宋体"/>
                <w:kern w:val="0"/>
                <w:sz w:val="20"/>
                <w:szCs w:val="20"/>
              </w:rPr>
              <w:t>3.温度接口：可对环境温度进行监测。</w:t>
            </w:r>
            <w:r>
              <w:rPr>
                <w:rFonts w:hint="eastAsia" w:ascii="宋体" w:hAnsi="宋体" w:cs="宋体"/>
                <w:kern w:val="0"/>
                <w:sz w:val="20"/>
                <w:szCs w:val="20"/>
              </w:rPr>
              <w:br w:type="textWrapping"/>
            </w:r>
            <w:r>
              <w:rPr>
                <w:rFonts w:hint="eastAsia" w:ascii="宋体" w:hAnsi="宋体" w:cs="宋体"/>
                <w:kern w:val="0"/>
                <w:sz w:val="20"/>
                <w:szCs w:val="20"/>
              </w:rPr>
              <w:t>4.电压、电流、功率信息采集：可接入的空调的电压、电流、功率信息。</w:t>
            </w:r>
            <w:r>
              <w:rPr>
                <w:rFonts w:hint="eastAsia" w:ascii="宋体" w:hAnsi="宋体" w:cs="宋体"/>
                <w:kern w:val="0"/>
                <w:sz w:val="20"/>
                <w:szCs w:val="20"/>
              </w:rPr>
              <w:br w:type="textWrapping"/>
            </w:r>
            <w:r>
              <w:rPr>
                <w:rFonts w:hint="eastAsia" w:ascii="宋体" w:hAnsi="宋体" w:cs="宋体"/>
                <w:kern w:val="0"/>
                <w:sz w:val="20"/>
                <w:szCs w:val="20"/>
              </w:rPr>
              <w:t>5.电量、空调运行时长统计：可自动统计空调消耗的累计电量信息，运行时长信息。</w:t>
            </w:r>
            <w:r>
              <w:rPr>
                <w:rFonts w:hint="eastAsia" w:ascii="宋体" w:hAnsi="宋体" w:cs="宋体"/>
                <w:kern w:val="0"/>
                <w:sz w:val="20"/>
                <w:szCs w:val="20"/>
              </w:rPr>
              <w:br w:type="textWrapping"/>
            </w:r>
            <w:r>
              <w:rPr>
                <w:rFonts w:hint="eastAsia" w:ascii="宋体" w:hAnsi="宋体" w:cs="宋体"/>
                <w:kern w:val="0"/>
                <w:sz w:val="20"/>
                <w:szCs w:val="20"/>
              </w:rPr>
              <w:t>6.实时时钟功能：可通过实时时钟进行时间自动控制、时长统计功能。</w:t>
            </w:r>
            <w:r>
              <w:rPr>
                <w:rFonts w:hint="eastAsia" w:ascii="宋体" w:hAnsi="宋体" w:cs="宋体"/>
                <w:kern w:val="0"/>
                <w:sz w:val="20"/>
                <w:szCs w:val="20"/>
              </w:rPr>
              <w:br w:type="textWrapping"/>
            </w:r>
            <w:r>
              <w:rPr>
                <w:rFonts w:hint="eastAsia" w:ascii="宋体" w:hAnsi="宋体" w:cs="宋体"/>
                <w:kern w:val="0"/>
                <w:sz w:val="20"/>
                <w:szCs w:val="20"/>
              </w:rPr>
              <w:t>7.实时采集环境信息功能：支持采集环境温度、房间有无人状态.</w:t>
            </w:r>
            <w:r>
              <w:rPr>
                <w:rFonts w:hint="eastAsia" w:ascii="宋体" w:hAnsi="宋体" w:cs="宋体"/>
                <w:kern w:val="0"/>
                <w:sz w:val="20"/>
                <w:szCs w:val="20"/>
              </w:rPr>
              <w:br w:type="textWrapping"/>
            </w:r>
            <w:r>
              <w:rPr>
                <w:rFonts w:hint="eastAsia" w:ascii="宋体" w:hAnsi="宋体" w:cs="宋体"/>
                <w:kern w:val="0"/>
                <w:sz w:val="20"/>
                <w:szCs w:val="20"/>
              </w:rPr>
              <w:t>8.红外学习：可学习红外控制空调的码值信息，并通过学习的码值对空调控制。</w:t>
            </w:r>
            <w:r>
              <w:rPr>
                <w:rFonts w:hint="eastAsia" w:ascii="宋体" w:hAnsi="宋体" w:cs="宋体"/>
                <w:kern w:val="0"/>
                <w:sz w:val="20"/>
                <w:szCs w:val="20"/>
              </w:rPr>
              <w:br w:type="textWrapping"/>
            </w:r>
            <w:r>
              <w:rPr>
                <w:rFonts w:hint="eastAsia" w:ascii="宋体" w:hAnsi="宋体" w:cs="宋体"/>
                <w:kern w:val="0"/>
                <w:sz w:val="20"/>
                <w:szCs w:val="20"/>
              </w:rPr>
              <w:t>9.红外、通断电控制空调运行：可通过红外、通断电控制空调运行状态。</w:t>
            </w:r>
            <w:r>
              <w:rPr>
                <w:rFonts w:hint="eastAsia" w:ascii="宋体" w:hAnsi="宋体" w:cs="宋体"/>
                <w:kern w:val="0"/>
                <w:sz w:val="20"/>
                <w:szCs w:val="20"/>
              </w:rPr>
              <w:br w:type="textWrapping"/>
            </w:r>
            <w:r>
              <w:rPr>
                <w:rFonts w:hint="eastAsia" w:ascii="宋体" w:hAnsi="宋体" w:cs="宋体"/>
                <w:kern w:val="0"/>
                <w:sz w:val="20"/>
                <w:szCs w:val="20"/>
              </w:rPr>
              <w:t>10.数码管、指示灯显示信息：支持设备上数码管实时显示设备采集的温度、可用电量信息，指示灯提示设备运行状态。</w:t>
            </w:r>
            <w:r>
              <w:rPr>
                <w:rFonts w:hint="eastAsia" w:ascii="宋体" w:hAnsi="宋体" w:cs="宋体"/>
                <w:kern w:val="0"/>
                <w:sz w:val="20"/>
                <w:szCs w:val="20"/>
              </w:rPr>
              <w:br w:type="textWrapping"/>
            </w:r>
            <w:r>
              <w:rPr>
                <w:rFonts w:hint="eastAsia" w:ascii="宋体" w:hAnsi="宋体" w:cs="宋体"/>
                <w:kern w:val="0"/>
                <w:sz w:val="20"/>
                <w:szCs w:val="20"/>
              </w:rPr>
              <w:t>11.蜂鸣器功能：设备上具有蜂鸣器提示功能，用于操作响应及报警辅助。</w:t>
            </w:r>
            <w:r>
              <w:rPr>
                <w:rFonts w:hint="eastAsia" w:ascii="宋体" w:hAnsi="宋体" w:cs="宋体"/>
                <w:kern w:val="0"/>
                <w:sz w:val="20"/>
                <w:szCs w:val="20"/>
              </w:rPr>
              <w:br w:type="textWrapping"/>
            </w:r>
            <w:r>
              <w:rPr>
                <w:rFonts w:hint="eastAsia" w:ascii="宋体" w:hAnsi="宋体" w:cs="宋体"/>
                <w:kern w:val="0"/>
                <w:sz w:val="20"/>
                <w:szCs w:val="20"/>
              </w:rPr>
              <w:t>12.多种通信格式兼容：可通过RS485、LORA、4G等多种接口连接局域网并可通过MQTT连接云平台。</w:t>
            </w:r>
            <w:r>
              <w:rPr>
                <w:rFonts w:hint="eastAsia" w:ascii="宋体" w:hAnsi="宋体" w:cs="宋体"/>
                <w:kern w:val="0"/>
                <w:sz w:val="20"/>
                <w:szCs w:val="20"/>
              </w:rPr>
              <w:br w:type="textWrapping"/>
            </w:r>
            <w:r>
              <w:rPr>
                <w:rFonts w:hint="eastAsia" w:ascii="宋体" w:hAnsi="宋体" w:cs="宋体"/>
                <w:kern w:val="0"/>
                <w:sz w:val="20"/>
                <w:szCs w:val="20"/>
              </w:rPr>
              <w:t>▲13.确保无网环境下，无需学习红外码值，设备仍能应用自带的红外码库自动或手动匹配空调，实现精准控制，满足全天候使用需求。</w:t>
            </w:r>
            <w:r>
              <w:rPr>
                <w:rFonts w:hint="eastAsia" w:ascii="宋体" w:hAnsi="宋体" w:cs="宋体"/>
                <w:kern w:val="0"/>
                <w:sz w:val="20"/>
                <w:szCs w:val="20"/>
              </w:rPr>
              <w:br w:type="textWrapping"/>
            </w:r>
            <w:r>
              <w:rPr>
                <w:rFonts w:hint="eastAsia" w:ascii="宋体" w:hAnsi="宋体" w:cs="宋体"/>
                <w:kern w:val="0"/>
                <w:sz w:val="20"/>
                <w:szCs w:val="20"/>
              </w:rPr>
              <w:t>14.用电参数可查询：支持电压、电流、功率、电量、运行时长、可用电量、剩余电量、每月固定额度等信息存储在设备上，并可通过接口读取、设置。</w:t>
            </w:r>
            <w:r>
              <w:rPr>
                <w:rFonts w:hint="eastAsia" w:ascii="宋体" w:hAnsi="宋体" w:cs="宋体"/>
                <w:kern w:val="0"/>
                <w:sz w:val="20"/>
                <w:szCs w:val="20"/>
              </w:rPr>
              <w:br w:type="textWrapping"/>
            </w:r>
            <w:r>
              <w:rPr>
                <w:rFonts w:hint="eastAsia" w:ascii="宋体" w:hAnsi="宋体" w:cs="宋体"/>
                <w:kern w:val="0"/>
                <w:sz w:val="20"/>
                <w:szCs w:val="20"/>
              </w:rPr>
              <w:t>15.外延式温度传感器：为保证采集的环境温度的精准性采用外延式温度传感器。</w:t>
            </w:r>
            <w:r>
              <w:rPr>
                <w:rFonts w:hint="eastAsia" w:ascii="宋体" w:hAnsi="宋体" w:cs="宋体"/>
                <w:kern w:val="0"/>
                <w:sz w:val="20"/>
                <w:szCs w:val="20"/>
              </w:rPr>
              <w:br w:type="textWrapping"/>
            </w:r>
            <w:r>
              <w:rPr>
                <w:rFonts w:hint="eastAsia" w:ascii="宋体" w:hAnsi="宋体" w:cs="宋体"/>
                <w:kern w:val="0"/>
                <w:sz w:val="20"/>
                <w:szCs w:val="20"/>
              </w:rPr>
              <w:t>16.红外发射头：可根据现场环境情况采用内置大功率红外发射头或外延式红外发射头。</w:t>
            </w:r>
            <w:r>
              <w:rPr>
                <w:rFonts w:hint="eastAsia" w:ascii="宋体" w:hAnsi="宋体" w:cs="宋体"/>
                <w:kern w:val="0"/>
                <w:sz w:val="20"/>
                <w:szCs w:val="20"/>
              </w:rPr>
              <w:br w:type="textWrapping"/>
            </w:r>
            <w:r>
              <w:rPr>
                <w:rFonts w:hint="eastAsia" w:ascii="宋体" w:hAnsi="宋体" w:cs="宋体"/>
                <w:kern w:val="0"/>
                <w:sz w:val="20"/>
                <w:szCs w:val="20"/>
              </w:rPr>
              <w:t>17.手机端控制：可远程手动开关空调、远程调节空调温度、等等。</w:t>
            </w:r>
            <w:r>
              <w:rPr>
                <w:rFonts w:hint="eastAsia" w:ascii="宋体" w:hAnsi="宋体" w:cs="宋体"/>
                <w:kern w:val="0"/>
                <w:sz w:val="20"/>
                <w:szCs w:val="20"/>
              </w:rPr>
              <w:br w:type="textWrapping"/>
            </w:r>
            <w:r>
              <w:rPr>
                <w:rFonts w:hint="eastAsia" w:ascii="宋体" w:hAnsi="宋体" w:cs="宋体"/>
                <w:kern w:val="0"/>
                <w:sz w:val="20"/>
                <w:szCs w:val="20"/>
              </w:rPr>
              <w:t>智能节能功能：</w:t>
            </w:r>
            <w:r>
              <w:rPr>
                <w:rFonts w:hint="eastAsia" w:ascii="宋体" w:hAnsi="宋体" w:cs="宋体"/>
                <w:kern w:val="0"/>
                <w:sz w:val="20"/>
                <w:szCs w:val="20"/>
              </w:rPr>
              <w:br w:type="textWrapping"/>
            </w:r>
            <w:r>
              <w:rPr>
                <w:rFonts w:hint="eastAsia" w:ascii="宋体" w:hAnsi="宋体" w:cs="宋体"/>
                <w:kern w:val="0"/>
                <w:sz w:val="20"/>
                <w:szCs w:val="20"/>
              </w:rPr>
              <w:t>1.智能光感控制：可检测光照度情况，并在光照较低时自动关闭数码管指示灯。</w:t>
            </w:r>
            <w:r>
              <w:rPr>
                <w:rFonts w:hint="eastAsia" w:ascii="宋体" w:hAnsi="宋体" w:cs="宋体"/>
                <w:kern w:val="0"/>
                <w:sz w:val="20"/>
                <w:szCs w:val="20"/>
              </w:rPr>
              <w:br w:type="textWrapping"/>
            </w:r>
            <w:r>
              <w:rPr>
                <w:rFonts w:hint="eastAsia" w:ascii="宋体" w:hAnsi="宋体" w:cs="宋体"/>
                <w:kern w:val="0"/>
                <w:sz w:val="20"/>
                <w:szCs w:val="20"/>
              </w:rPr>
              <w:t>2.智能时间控制：可设置一周7天、一天10个时间段（总共70个时间段）的差异化智能控制，可设置限制空调开启使用、空调使用条件、以及限制温度点等信息。</w:t>
            </w:r>
            <w:r>
              <w:rPr>
                <w:rFonts w:hint="eastAsia" w:ascii="宋体" w:hAnsi="宋体" w:cs="宋体"/>
                <w:kern w:val="0"/>
                <w:sz w:val="20"/>
                <w:szCs w:val="20"/>
              </w:rPr>
              <w:br w:type="textWrapping"/>
            </w:r>
            <w:r>
              <w:rPr>
                <w:rFonts w:hint="eastAsia" w:ascii="宋体" w:hAnsi="宋体" w:cs="宋体"/>
                <w:kern w:val="0"/>
                <w:sz w:val="20"/>
                <w:szCs w:val="20"/>
              </w:rPr>
              <w:t>3.智能温度控制：可预设温度上限值，下限值。</w:t>
            </w:r>
            <w:r>
              <w:rPr>
                <w:rFonts w:hint="eastAsia" w:ascii="宋体" w:hAnsi="宋体" w:cs="宋体"/>
                <w:kern w:val="0"/>
                <w:sz w:val="20"/>
                <w:szCs w:val="20"/>
              </w:rPr>
              <w:br w:type="textWrapping"/>
            </w:r>
            <w:r>
              <w:rPr>
                <w:rFonts w:hint="eastAsia" w:ascii="宋体" w:hAnsi="宋体" w:cs="宋体"/>
                <w:kern w:val="0"/>
                <w:sz w:val="20"/>
                <w:szCs w:val="20"/>
              </w:rPr>
              <w:t>4.智能冬夏季模式切换：可手动或者自动切换夏冬季模式；</w:t>
            </w:r>
            <w:r>
              <w:rPr>
                <w:rFonts w:hint="eastAsia" w:ascii="宋体" w:hAnsi="宋体" w:cs="宋体"/>
                <w:kern w:val="0"/>
                <w:sz w:val="20"/>
                <w:szCs w:val="20"/>
              </w:rPr>
              <w:br w:type="textWrapping"/>
            </w:r>
            <w:r>
              <w:rPr>
                <w:rFonts w:hint="eastAsia" w:ascii="宋体" w:hAnsi="宋体" w:cs="宋体"/>
                <w:kern w:val="0"/>
                <w:sz w:val="20"/>
                <w:szCs w:val="20"/>
              </w:rPr>
              <w:t>5.智能二级限控联合控制：支持控制器自动发送红外指令控制空调（一级限控功能），控制器启动强制控制功能（二级限控）强制切断空调电源。</w:t>
            </w:r>
            <w:r>
              <w:rPr>
                <w:rFonts w:hint="eastAsia" w:ascii="宋体" w:hAnsi="宋体" w:cs="宋体"/>
                <w:kern w:val="0"/>
                <w:sz w:val="20"/>
                <w:szCs w:val="20"/>
              </w:rPr>
              <w:br w:type="textWrapping"/>
            </w:r>
            <w:r>
              <w:rPr>
                <w:rFonts w:hint="eastAsia" w:ascii="宋体" w:hAnsi="宋体" w:cs="宋体"/>
                <w:kern w:val="0"/>
                <w:sz w:val="20"/>
                <w:szCs w:val="20"/>
              </w:rPr>
              <w:t>6.智能节能控制：可对空调的应用条件（时间条件、温度条件）进行控制，并智能监督管理空调使用。</w:t>
            </w:r>
            <w:r>
              <w:rPr>
                <w:rFonts w:hint="eastAsia" w:ascii="宋体" w:hAnsi="宋体" w:cs="宋体"/>
                <w:kern w:val="0"/>
                <w:sz w:val="20"/>
                <w:szCs w:val="20"/>
              </w:rPr>
              <w:br w:type="textWrapping"/>
            </w:r>
            <w:r>
              <w:rPr>
                <w:rFonts w:hint="eastAsia" w:ascii="宋体" w:hAnsi="宋体" w:cs="宋体"/>
                <w:kern w:val="0"/>
                <w:sz w:val="20"/>
                <w:szCs w:val="20"/>
              </w:rPr>
              <w:t>7.智能破坏报警：支持温度传感器被破坏后，设备发出蜂鸣声报警，并通过通信告诉上位机。</w:t>
            </w:r>
            <w:r>
              <w:rPr>
                <w:rFonts w:hint="eastAsia" w:ascii="宋体" w:hAnsi="宋体" w:cs="宋体"/>
                <w:kern w:val="0"/>
                <w:sz w:val="20"/>
                <w:szCs w:val="20"/>
              </w:rPr>
              <w:br w:type="textWrapping"/>
            </w:r>
            <w:r>
              <w:rPr>
                <w:rFonts w:hint="eastAsia" w:ascii="宋体" w:hAnsi="宋体" w:cs="宋体"/>
                <w:kern w:val="0"/>
                <w:sz w:val="20"/>
                <w:szCs w:val="20"/>
              </w:rPr>
              <w:t>8.红外/强制断电联动功能：支持强制电源控制及红外控制的联动控制，在切断空调电源时，需要先发送红外指令关闭空调，在一定时长（时长可设置）后切断空调电源。</w:t>
            </w:r>
            <w:r>
              <w:rPr>
                <w:rFonts w:hint="eastAsia" w:ascii="宋体" w:hAnsi="宋体" w:cs="宋体"/>
                <w:kern w:val="0"/>
                <w:sz w:val="20"/>
                <w:szCs w:val="20"/>
              </w:rPr>
              <w:br w:type="textWrapping"/>
            </w:r>
            <w:r>
              <w:rPr>
                <w:rFonts w:hint="eastAsia" w:ascii="宋体" w:hAnsi="宋体" w:cs="宋体"/>
                <w:kern w:val="0"/>
                <w:sz w:val="20"/>
                <w:szCs w:val="20"/>
              </w:rPr>
              <w:t>9.自动控制功能离线运行：支持智能控制参数均写入设备上的EEPROM上，设备离线状态时可以根据设定的自控参数，智能执行。</w:t>
            </w:r>
            <w:r>
              <w:rPr>
                <w:rFonts w:hint="eastAsia" w:ascii="宋体" w:hAnsi="宋体" w:cs="宋体"/>
                <w:kern w:val="0"/>
                <w:sz w:val="20"/>
                <w:szCs w:val="20"/>
              </w:rPr>
              <w:br w:type="textWrapping"/>
            </w:r>
            <w:r>
              <w:rPr>
                <w:rFonts w:hint="eastAsia" w:ascii="宋体" w:hAnsi="宋体" w:cs="宋体"/>
                <w:kern w:val="0"/>
                <w:sz w:val="20"/>
                <w:szCs w:val="20"/>
              </w:rPr>
              <w:t>实用性：</w:t>
            </w:r>
            <w:r>
              <w:rPr>
                <w:rFonts w:hint="eastAsia" w:ascii="宋体" w:hAnsi="宋体" w:cs="宋体"/>
                <w:kern w:val="0"/>
                <w:sz w:val="20"/>
                <w:szCs w:val="20"/>
              </w:rPr>
              <w:br w:type="textWrapping"/>
            </w:r>
            <w:r>
              <w:rPr>
                <w:rFonts w:hint="eastAsia" w:ascii="宋体" w:hAnsi="宋体" w:cs="宋体"/>
                <w:kern w:val="0"/>
                <w:sz w:val="20"/>
                <w:szCs w:val="20"/>
              </w:rPr>
              <w:t>1. 用电管理功能：支持设备用电管理功能，主要包括：1.可设定每月自动固定充值额度电量；2.可对设备进行可用电量充值及撤销充值操作；3.电量用完自动限制空调使用；4.用电管理功能可开关。</w:t>
            </w:r>
            <w:r>
              <w:rPr>
                <w:rFonts w:hint="eastAsia" w:ascii="宋体" w:hAnsi="宋体" w:cs="宋体"/>
                <w:kern w:val="0"/>
                <w:sz w:val="20"/>
                <w:szCs w:val="20"/>
              </w:rPr>
              <w:br w:type="textWrapping"/>
            </w:r>
            <w:r>
              <w:rPr>
                <w:rFonts w:hint="eastAsia" w:ascii="宋体" w:hAnsi="宋体" w:cs="宋体"/>
                <w:kern w:val="0"/>
                <w:sz w:val="20"/>
                <w:szCs w:val="20"/>
              </w:rPr>
              <w:t>2.剩余电量显示：可为设备进行用电量的预充值，设备数码管显示剩余电量，用户可以实时查看剩余可用电量。</w:t>
            </w:r>
            <w:r>
              <w:rPr>
                <w:rFonts w:hint="eastAsia" w:ascii="宋体" w:hAnsi="宋体" w:cs="宋体"/>
                <w:kern w:val="0"/>
                <w:sz w:val="20"/>
                <w:szCs w:val="20"/>
              </w:rPr>
              <w:br w:type="textWrapping"/>
            </w:r>
            <w:r>
              <w:rPr>
                <w:rFonts w:hint="eastAsia" w:ascii="宋体" w:hAnsi="宋体" w:cs="宋体"/>
                <w:kern w:val="0"/>
                <w:sz w:val="20"/>
                <w:szCs w:val="20"/>
              </w:rPr>
              <w:t>▲3.管理员遥控功能：可通过遥控器对设备进行现场配置，并控制设备运行。</w:t>
            </w:r>
            <w:r>
              <w:rPr>
                <w:rFonts w:hint="eastAsia" w:ascii="宋体" w:hAnsi="宋体" w:cs="宋体"/>
                <w:kern w:val="0"/>
                <w:sz w:val="20"/>
                <w:szCs w:val="20"/>
              </w:rPr>
              <w:br w:type="textWrapping"/>
            </w:r>
            <w:r>
              <w:rPr>
                <w:rFonts w:hint="eastAsia" w:ascii="宋体" w:hAnsi="宋体" w:cs="宋体"/>
                <w:kern w:val="0"/>
                <w:sz w:val="20"/>
                <w:szCs w:val="20"/>
              </w:rPr>
              <w:t>▲4.远程固件升级：可通过远程通信接口对设备进行批量升级。</w:t>
            </w:r>
            <w:r>
              <w:rPr>
                <w:rFonts w:hint="eastAsia" w:ascii="宋体" w:hAnsi="宋体" w:cs="宋体"/>
                <w:kern w:val="0"/>
                <w:sz w:val="20"/>
                <w:szCs w:val="20"/>
              </w:rPr>
              <w:br w:type="textWrapping"/>
            </w:r>
            <w:r>
              <w:rPr>
                <w:rFonts w:hint="eastAsia" w:ascii="宋体" w:hAnsi="宋体" w:cs="宋体"/>
                <w:kern w:val="0"/>
                <w:sz w:val="20"/>
                <w:szCs w:val="20"/>
              </w:rPr>
              <w:t>▲5.无负载报警功能：当控制器插头被拔掉时，控制器可把当前负载状态实时反馈到上位机。</w:t>
            </w:r>
            <w:r>
              <w:rPr>
                <w:rFonts w:hint="eastAsia" w:ascii="宋体" w:hAnsi="宋体" w:cs="宋体"/>
                <w:kern w:val="0"/>
                <w:sz w:val="20"/>
                <w:szCs w:val="20"/>
              </w:rPr>
              <w:br w:type="textWrapping"/>
            </w:r>
            <w:r>
              <w:rPr>
                <w:rFonts w:hint="eastAsia" w:ascii="宋体" w:hAnsi="宋体" w:cs="宋体"/>
                <w:kern w:val="0"/>
                <w:sz w:val="20"/>
                <w:szCs w:val="20"/>
              </w:rPr>
              <w:t>拓展性：</w:t>
            </w:r>
            <w:r>
              <w:rPr>
                <w:rFonts w:hint="eastAsia" w:ascii="宋体" w:hAnsi="宋体" w:cs="宋体"/>
                <w:kern w:val="0"/>
                <w:sz w:val="20"/>
                <w:szCs w:val="20"/>
              </w:rPr>
              <w:br w:type="textWrapping"/>
            </w:r>
            <w:r>
              <w:rPr>
                <w:rFonts w:hint="eastAsia" w:ascii="宋体" w:hAnsi="宋体" w:cs="宋体"/>
                <w:kern w:val="0"/>
                <w:sz w:val="20"/>
                <w:szCs w:val="20"/>
              </w:rPr>
              <w:t>1.可预留门磁或红外接口（二选一）方便后期做功能扩展。</w:t>
            </w:r>
            <w:r>
              <w:rPr>
                <w:rFonts w:hint="eastAsia" w:ascii="宋体" w:hAnsi="宋体" w:cs="宋体"/>
                <w:kern w:val="0"/>
                <w:sz w:val="20"/>
                <w:szCs w:val="20"/>
              </w:rPr>
              <w:br w:type="textWrapping"/>
            </w:r>
            <w:r>
              <w:rPr>
                <w:rFonts w:hint="eastAsia" w:ascii="宋体" w:hAnsi="宋体" w:cs="宋体"/>
                <w:kern w:val="0"/>
                <w:sz w:val="20"/>
                <w:szCs w:val="20"/>
              </w:rPr>
              <w:t>2.预留性能监测模块接口方便后期做功能扩展。</w:t>
            </w:r>
            <w:r>
              <w:rPr>
                <w:rFonts w:hint="eastAsia" w:ascii="宋体" w:hAnsi="宋体" w:cs="宋体"/>
                <w:kern w:val="0"/>
                <w:sz w:val="20"/>
                <w:szCs w:val="20"/>
              </w:rPr>
              <w:br w:type="textWrapping"/>
            </w:r>
            <w:r>
              <w:rPr>
                <w:rFonts w:hint="eastAsia" w:ascii="宋体" w:hAnsi="宋体" w:cs="宋体"/>
                <w:kern w:val="0"/>
                <w:sz w:val="20"/>
                <w:szCs w:val="20"/>
              </w:rPr>
              <w:t>安全性：</w:t>
            </w:r>
            <w:r>
              <w:rPr>
                <w:rFonts w:hint="eastAsia" w:ascii="宋体" w:hAnsi="宋体" w:cs="宋体"/>
                <w:kern w:val="0"/>
                <w:sz w:val="20"/>
                <w:szCs w:val="20"/>
              </w:rPr>
              <w:br w:type="textWrapping"/>
            </w:r>
            <w:r>
              <w:rPr>
                <w:rFonts w:hint="eastAsia" w:ascii="宋体" w:hAnsi="宋体" w:cs="宋体"/>
                <w:kern w:val="0"/>
                <w:sz w:val="20"/>
                <w:szCs w:val="20"/>
              </w:rPr>
              <w:t>1.电器电机负载（感性负载）控制能力可达5HP。</w:t>
            </w:r>
            <w:r>
              <w:rPr>
                <w:rFonts w:hint="eastAsia" w:ascii="宋体" w:hAnsi="宋体" w:cs="宋体"/>
                <w:kern w:val="0"/>
                <w:sz w:val="20"/>
                <w:szCs w:val="20"/>
              </w:rPr>
              <w:br w:type="textWrapping"/>
            </w:r>
            <w:r>
              <w:rPr>
                <w:rFonts w:hint="eastAsia" w:ascii="宋体" w:hAnsi="宋体" w:cs="宋体"/>
                <w:kern w:val="0"/>
                <w:sz w:val="20"/>
                <w:szCs w:val="20"/>
              </w:rPr>
              <w:t>产品资质：</w:t>
            </w:r>
            <w:r>
              <w:rPr>
                <w:rFonts w:hint="eastAsia" w:ascii="宋体" w:hAnsi="宋体" w:cs="宋体"/>
                <w:kern w:val="0"/>
                <w:sz w:val="20"/>
                <w:szCs w:val="20"/>
              </w:rPr>
              <w:br w:type="textWrapping"/>
            </w:r>
            <w:r>
              <w:rPr>
                <w:rFonts w:hint="eastAsia" w:ascii="宋体" w:hAnsi="宋体" w:cs="宋体"/>
                <w:kern w:val="0"/>
                <w:sz w:val="20"/>
                <w:szCs w:val="20"/>
              </w:rPr>
              <w:t>▲1.设备抗干扰等级：3级（IEC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2.产品质量检测报告</w:t>
            </w:r>
            <w:r>
              <w:rPr>
                <w:rFonts w:hint="eastAsia" w:ascii="宋体" w:hAnsi="宋体" w:cs="宋体"/>
                <w:kern w:val="0"/>
                <w:sz w:val="20"/>
                <w:szCs w:val="20"/>
              </w:rPr>
              <w:br w:type="textWrapping"/>
            </w:r>
            <w:r>
              <w:rPr>
                <w:rFonts w:hint="eastAsia" w:ascii="宋体" w:hAnsi="宋体" w:cs="宋体"/>
                <w:kern w:val="0"/>
                <w:sz w:val="20"/>
                <w:szCs w:val="20"/>
              </w:rPr>
              <w:t>基本参数：</w:t>
            </w:r>
            <w:r>
              <w:rPr>
                <w:rFonts w:hint="eastAsia" w:ascii="宋体" w:hAnsi="宋体" w:cs="宋体"/>
                <w:kern w:val="0"/>
                <w:sz w:val="20"/>
                <w:szCs w:val="20"/>
              </w:rPr>
              <w:br w:type="textWrapping"/>
            </w:r>
            <w:r>
              <w:rPr>
                <w:rFonts w:hint="eastAsia" w:ascii="宋体" w:hAnsi="宋体" w:cs="宋体"/>
                <w:kern w:val="0"/>
                <w:sz w:val="20"/>
                <w:szCs w:val="20"/>
              </w:rPr>
              <w:t>1.安装方式：线式。</w:t>
            </w:r>
            <w:r>
              <w:rPr>
                <w:rFonts w:hint="eastAsia" w:ascii="宋体" w:hAnsi="宋体" w:cs="宋体"/>
                <w:kern w:val="0"/>
                <w:sz w:val="20"/>
                <w:szCs w:val="20"/>
              </w:rPr>
              <w:br w:type="textWrapping"/>
            </w:r>
            <w:r>
              <w:rPr>
                <w:rFonts w:hint="eastAsia" w:ascii="宋体" w:hAnsi="宋体" w:cs="宋体"/>
                <w:kern w:val="0"/>
                <w:sz w:val="20"/>
                <w:szCs w:val="20"/>
              </w:rPr>
              <w:t>2.工作温度：-15℃~60℃。</w:t>
            </w:r>
            <w:r>
              <w:rPr>
                <w:rFonts w:hint="eastAsia" w:ascii="宋体" w:hAnsi="宋体" w:cs="宋体"/>
                <w:kern w:val="0"/>
                <w:sz w:val="20"/>
                <w:szCs w:val="20"/>
              </w:rPr>
              <w:br w:type="textWrapping"/>
            </w:r>
            <w:r>
              <w:rPr>
                <w:rFonts w:hint="eastAsia" w:ascii="宋体" w:hAnsi="宋体" w:cs="宋体"/>
                <w:kern w:val="0"/>
                <w:sz w:val="20"/>
                <w:szCs w:val="20"/>
              </w:rPr>
              <w:t>3.工作湿度：10％到95％(无凝露)。</w:t>
            </w:r>
            <w:r>
              <w:rPr>
                <w:rFonts w:hint="eastAsia" w:ascii="宋体" w:hAnsi="宋体" w:cs="宋体"/>
                <w:kern w:val="0"/>
                <w:sz w:val="20"/>
                <w:szCs w:val="20"/>
              </w:rPr>
              <w:br w:type="textWrapping"/>
            </w:r>
            <w:r>
              <w:rPr>
                <w:rFonts w:hint="eastAsia" w:ascii="宋体" w:hAnsi="宋体" w:cs="宋体"/>
                <w:kern w:val="0"/>
                <w:sz w:val="20"/>
                <w:szCs w:val="20"/>
              </w:rPr>
              <w:t>4.红外载波频率：38KHZ。</w:t>
            </w:r>
            <w:r>
              <w:rPr>
                <w:rFonts w:hint="eastAsia" w:ascii="宋体" w:hAnsi="宋体" w:cs="宋体"/>
                <w:kern w:val="0"/>
                <w:sz w:val="20"/>
                <w:szCs w:val="20"/>
              </w:rPr>
              <w:br w:type="textWrapping"/>
            </w:r>
            <w:r>
              <w:rPr>
                <w:rFonts w:hint="eastAsia" w:ascii="宋体" w:hAnsi="宋体" w:cs="宋体"/>
                <w:kern w:val="0"/>
                <w:sz w:val="20"/>
                <w:szCs w:val="20"/>
              </w:rPr>
              <w:t>5.继电器额定电流：24A。</w:t>
            </w:r>
            <w:r>
              <w:rPr>
                <w:rFonts w:hint="eastAsia" w:ascii="宋体" w:hAnsi="宋体" w:cs="宋体"/>
                <w:kern w:val="0"/>
                <w:sz w:val="20"/>
                <w:szCs w:val="20"/>
              </w:rPr>
              <w:br w:type="textWrapping"/>
            </w:r>
            <w:r>
              <w:rPr>
                <w:rFonts w:hint="eastAsia" w:ascii="宋体" w:hAnsi="宋体" w:cs="宋体"/>
                <w:kern w:val="0"/>
                <w:sz w:val="20"/>
                <w:szCs w:val="20"/>
              </w:rPr>
              <w:t>6.继电器额定电压：220V。</w:t>
            </w:r>
            <w:r>
              <w:rPr>
                <w:rFonts w:hint="eastAsia" w:ascii="宋体" w:hAnsi="宋体" w:cs="宋体"/>
                <w:kern w:val="0"/>
                <w:sz w:val="20"/>
                <w:szCs w:val="20"/>
              </w:rPr>
              <w:br w:type="textWrapping"/>
            </w:r>
            <w:r>
              <w:rPr>
                <w:rFonts w:hint="eastAsia" w:ascii="宋体" w:hAnsi="宋体" w:cs="宋体"/>
                <w:kern w:val="0"/>
                <w:sz w:val="20"/>
                <w:szCs w:val="20"/>
              </w:rPr>
              <w:t>7.通讯方式：无线4G通讯。</w:t>
            </w:r>
            <w:r>
              <w:rPr>
                <w:rFonts w:hint="eastAsia" w:ascii="宋体" w:hAnsi="宋体" w:cs="宋体"/>
                <w:kern w:val="0"/>
                <w:sz w:val="20"/>
                <w:szCs w:val="20"/>
              </w:rPr>
              <w:br w:type="textWrapping"/>
            </w:r>
            <w:r>
              <w:rPr>
                <w:rFonts w:hint="eastAsia" w:ascii="宋体" w:hAnsi="宋体" w:cs="宋体"/>
                <w:kern w:val="0"/>
                <w:sz w:val="20"/>
                <w:szCs w:val="20"/>
              </w:rPr>
              <w:t>8.控制方式：继电器通断输出控制，红外遥控码值发射控制。</w:t>
            </w:r>
            <w:r>
              <w:rPr>
                <w:rFonts w:hint="eastAsia" w:ascii="宋体" w:hAnsi="宋体" w:cs="宋体"/>
                <w:kern w:val="0"/>
                <w:sz w:val="20"/>
                <w:szCs w:val="20"/>
              </w:rPr>
              <w:br w:type="textWrapping"/>
            </w:r>
            <w:r>
              <w:rPr>
                <w:rFonts w:hint="eastAsia" w:ascii="宋体" w:hAnsi="宋体" w:cs="宋体"/>
                <w:kern w:val="0"/>
                <w:sz w:val="20"/>
                <w:szCs w:val="20"/>
              </w:rPr>
              <w:t>9.设备抗干扰等级：3级（IEC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10.显示：LED数码显示。</w:t>
            </w:r>
            <w:r>
              <w:rPr>
                <w:rFonts w:hint="eastAsia" w:ascii="宋体" w:hAnsi="宋体" w:cs="宋体"/>
                <w:kern w:val="0"/>
                <w:sz w:val="20"/>
                <w:szCs w:val="20"/>
              </w:rPr>
              <w:br w:type="textWrapping"/>
            </w:r>
            <w:r>
              <w:rPr>
                <w:rFonts w:hint="eastAsia" w:ascii="宋体" w:hAnsi="宋体" w:cs="宋体"/>
                <w:kern w:val="0"/>
                <w:sz w:val="20"/>
                <w:szCs w:val="20"/>
              </w:rPr>
              <w:t>管理平台：</w:t>
            </w:r>
            <w:r>
              <w:rPr>
                <w:rFonts w:hint="eastAsia" w:ascii="宋体" w:hAnsi="宋体" w:cs="宋体"/>
                <w:kern w:val="0"/>
                <w:sz w:val="20"/>
                <w:szCs w:val="20"/>
              </w:rPr>
              <w:br w:type="textWrapping"/>
            </w:r>
            <w:r>
              <w:rPr>
                <w:rFonts w:hint="eastAsia" w:ascii="宋体" w:hAnsi="宋体" w:cs="宋体"/>
                <w:kern w:val="0"/>
                <w:sz w:val="20"/>
                <w:szCs w:val="20"/>
              </w:rPr>
              <w:t>1.MQTT服务：可设置mqtt服务器地址、账号、登录密码信息；可设置主题格式、超时时间、心跳时间的通信规则。</w:t>
            </w:r>
            <w:r>
              <w:rPr>
                <w:rFonts w:hint="eastAsia" w:ascii="宋体" w:hAnsi="宋体" w:cs="宋体"/>
                <w:kern w:val="0"/>
                <w:sz w:val="20"/>
                <w:szCs w:val="20"/>
              </w:rPr>
              <w:br w:type="textWrapping"/>
            </w:r>
            <w:r>
              <w:rPr>
                <w:rFonts w:hint="eastAsia" w:ascii="宋体" w:hAnsi="宋体" w:cs="宋体"/>
                <w:kern w:val="0"/>
                <w:sz w:val="20"/>
                <w:szCs w:val="20"/>
              </w:rPr>
              <w:t>2.多种通讯格式兼容：支持设备联网方式可采用无线局域网、有线485网络、GPRS、wifi、以太网。</w:t>
            </w:r>
            <w:r>
              <w:rPr>
                <w:rFonts w:hint="eastAsia" w:ascii="宋体" w:hAnsi="宋体" w:cs="宋体"/>
                <w:kern w:val="0"/>
                <w:sz w:val="20"/>
                <w:szCs w:val="20"/>
              </w:rPr>
              <w:br w:type="textWrapping"/>
            </w:r>
            <w:r>
              <w:rPr>
                <w:rFonts w:hint="eastAsia" w:ascii="宋体" w:hAnsi="宋体" w:cs="宋体"/>
                <w:kern w:val="0"/>
                <w:sz w:val="20"/>
                <w:szCs w:val="20"/>
              </w:rPr>
              <w:t>3.图形化实时状态显示：支持每台空调对应一个状态块，状态块里包含空调名称、所在地的当前温度、光照度、空调当前的瞬时电流、电压、功率、空调累计用电量、空调累计用电时长。应用图标及颜色描述空调当前的状态，当前状态有运行状态、待机状态、断电状态。应用图标及颜色描述空调应用环境是否有人状态、AC360蜂鸣器开关状态、自控系统是否打开状态、当前自控系统应用的季节状态（夏季/冬季），应用颜色描述空调控制器的异常状态。</w:t>
            </w:r>
            <w:r>
              <w:rPr>
                <w:rFonts w:hint="eastAsia" w:ascii="宋体" w:hAnsi="宋体" w:cs="宋体"/>
                <w:kern w:val="0"/>
                <w:sz w:val="20"/>
                <w:szCs w:val="20"/>
              </w:rPr>
              <w:br w:type="textWrapping"/>
            </w:r>
            <w:r>
              <w:rPr>
                <w:rFonts w:hint="eastAsia" w:ascii="宋体" w:hAnsi="宋体" w:cs="宋体"/>
                <w:kern w:val="0"/>
                <w:sz w:val="20"/>
                <w:szCs w:val="20"/>
              </w:rPr>
              <w:t>4.图形化控制界面：可通过点击图形界面控制AC360的状态开关：继电器开关（接通或断开空调电源），自控系统功能开关，蜂鸣器开关、光敏传感器功能开关。</w:t>
            </w:r>
            <w:r>
              <w:rPr>
                <w:rFonts w:hint="eastAsia" w:ascii="宋体" w:hAnsi="宋体" w:cs="宋体"/>
                <w:kern w:val="0"/>
                <w:sz w:val="20"/>
                <w:szCs w:val="20"/>
              </w:rPr>
              <w:br w:type="textWrapping"/>
            </w:r>
            <w:r>
              <w:rPr>
                <w:rFonts w:hint="eastAsia" w:ascii="宋体" w:hAnsi="宋体" w:cs="宋体"/>
                <w:kern w:val="0"/>
                <w:sz w:val="20"/>
                <w:szCs w:val="20"/>
              </w:rPr>
              <w:t>5.可视报警视图：可分时、分组、分设备、分故障类型查询设备报警信息，包括温度传感器异常报警，设备通讯异常报警。</w:t>
            </w:r>
            <w:r>
              <w:rPr>
                <w:rFonts w:hint="eastAsia" w:ascii="宋体" w:hAnsi="宋体" w:cs="宋体"/>
                <w:kern w:val="0"/>
                <w:sz w:val="20"/>
                <w:szCs w:val="20"/>
              </w:rPr>
              <w:br w:type="textWrapping"/>
            </w:r>
            <w:r>
              <w:rPr>
                <w:rFonts w:hint="eastAsia" w:ascii="宋体" w:hAnsi="宋体" w:cs="宋体"/>
                <w:kern w:val="0"/>
                <w:sz w:val="20"/>
                <w:szCs w:val="20"/>
              </w:rPr>
              <w:t>6.远程定时控制：可通过定时控制界面，控制系统在设定的时间定时空调开关机、空调送电或断电，以各分组设备为设置对象，每条定时开关独立执行。</w:t>
            </w:r>
            <w:r>
              <w:rPr>
                <w:rFonts w:hint="eastAsia" w:ascii="宋体" w:hAnsi="宋体" w:cs="宋体"/>
                <w:kern w:val="0"/>
                <w:sz w:val="20"/>
                <w:szCs w:val="20"/>
              </w:rPr>
              <w:br w:type="textWrapping"/>
            </w:r>
            <w:r>
              <w:rPr>
                <w:rFonts w:hint="eastAsia" w:ascii="宋体" w:hAnsi="宋体" w:cs="宋体"/>
                <w:kern w:val="0"/>
                <w:sz w:val="20"/>
                <w:szCs w:val="20"/>
              </w:rPr>
              <w:t>7.远程手动控制：可通过PC端对空调进行分组或单个设备远程红外及电源控控制，红外控制包括开关空调、调节空调运行模式、调节空调温度。</w:t>
            </w:r>
            <w:r>
              <w:rPr>
                <w:rFonts w:hint="eastAsia" w:ascii="宋体" w:hAnsi="宋体" w:cs="宋体"/>
                <w:kern w:val="0"/>
                <w:sz w:val="20"/>
                <w:szCs w:val="20"/>
              </w:rPr>
              <w:br w:type="textWrapping"/>
            </w:r>
            <w:r>
              <w:rPr>
                <w:rFonts w:hint="eastAsia" w:ascii="宋体" w:hAnsi="宋体" w:cs="宋体"/>
                <w:kern w:val="0"/>
                <w:sz w:val="20"/>
                <w:szCs w:val="20"/>
              </w:rPr>
              <w:t>▲8.红外码库：可配置红外码库；选择品牌空调编码、空调品牌、遥控器型号、设备型号；支持一键匹配空调，通过分析学习接收的红外码值，自动匹配出相应的遥控器型号，并通过码库中的参数可控制空调的开关、模式、温度设置、风向、风速信息；可在线设置所连接码库服务器的地址、密匙、解析方式。</w:t>
            </w:r>
            <w:r>
              <w:rPr>
                <w:rFonts w:hint="eastAsia" w:ascii="宋体" w:hAnsi="宋体" w:cs="宋体"/>
                <w:kern w:val="0"/>
                <w:sz w:val="20"/>
                <w:szCs w:val="20"/>
              </w:rPr>
              <w:br w:type="textWrapping"/>
            </w:r>
            <w:r>
              <w:rPr>
                <w:rFonts w:hint="eastAsia" w:ascii="宋体" w:hAnsi="宋体" w:cs="宋体"/>
                <w:kern w:val="0"/>
                <w:sz w:val="20"/>
                <w:szCs w:val="20"/>
              </w:rPr>
              <w:t>▲9.红外码库自动匹配功能：可根据设备上报的红外码值自动匹配红外码库内适用的红外码值，并通过匹配到的红外码值控制空调。</w:t>
            </w:r>
            <w:r>
              <w:rPr>
                <w:rFonts w:hint="eastAsia" w:ascii="宋体" w:hAnsi="宋体" w:cs="宋体"/>
                <w:kern w:val="0"/>
                <w:sz w:val="20"/>
                <w:szCs w:val="20"/>
              </w:rPr>
              <w:br w:type="textWrapping"/>
            </w:r>
            <w:r>
              <w:rPr>
                <w:rFonts w:hint="eastAsia" w:ascii="宋体" w:hAnsi="宋体" w:cs="宋体"/>
                <w:kern w:val="0"/>
                <w:sz w:val="20"/>
                <w:szCs w:val="20"/>
              </w:rPr>
              <w:t>▲10.码库注册：可管理添加码库、码库链接地址。</w:t>
            </w:r>
            <w:r>
              <w:rPr>
                <w:rFonts w:hint="eastAsia" w:ascii="宋体" w:hAnsi="宋体" w:cs="宋体"/>
                <w:kern w:val="0"/>
                <w:sz w:val="20"/>
                <w:szCs w:val="20"/>
              </w:rPr>
              <w:br w:type="textWrapping"/>
            </w:r>
            <w:r>
              <w:rPr>
                <w:rFonts w:hint="eastAsia" w:ascii="宋体" w:hAnsi="宋体" w:cs="宋体"/>
                <w:kern w:val="0"/>
                <w:sz w:val="20"/>
                <w:szCs w:val="20"/>
              </w:rPr>
              <w:t>11.用电管理开关：可对设备电量管理功能的开启、关闭，开启功能后空调使用受可用电量的限制。</w:t>
            </w:r>
            <w:r>
              <w:rPr>
                <w:rFonts w:hint="eastAsia" w:ascii="宋体" w:hAnsi="宋体" w:cs="宋体"/>
                <w:kern w:val="0"/>
                <w:sz w:val="20"/>
                <w:szCs w:val="20"/>
              </w:rPr>
              <w:br w:type="textWrapping"/>
            </w:r>
            <w:r>
              <w:rPr>
                <w:rFonts w:hint="eastAsia" w:ascii="宋体" w:hAnsi="宋体" w:cs="宋体"/>
                <w:kern w:val="0"/>
                <w:sz w:val="20"/>
                <w:szCs w:val="20"/>
              </w:rPr>
              <w:t>12.电量充值：可对设备可用电量进行充值、撤销充值以及充值记录查询。</w:t>
            </w:r>
            <w:r>
              <w:rPr>
                <w:rFonts w:hint="eastAsia" w:ascii="宋体" w:hAnsi="宋体" w:cs="宋体"/>
                <w:kern w:val="0"/>
                <w:sz w:val="20"/>
                <w:szCs w:val="20"/>
              </w:rPr>
              <w:br w:type="textWrapping"/>
            </w:r>
            <w:r>
              <w:rPr>
                <w:rFonts w:hint="eastAsia" w:ascii="宋体" w:hAnsi="宋体" w:cs="宋体"/>
                <w:kern w:val="0"/>
                <w:sz w:val="20"/>
                <w:szCs w:val="20"/>
              </w:rPr>
              <w:t>13.红外学习功能：支持当码库中没有匹配到红外码值时，可以学习空调原配遥控器的红外码值，并且可以利用学习到的红外码值控制空调的开关，调整温度、模式。</w:t>
            </w:r>
            <w:r>
              <w:rPr>
                <w:rFonts w:hint="eastAsia" w:ascii="宋体" w:hAnsi="宋体" w:cs="宋体"/>
                <w:kern w:val="0"/>
                <w:sz w:val="20"/>
                <w:szCs w:val="20"/>
              </w:rPr>
              <w:br w:type="textWrapping"/>
            </w:r>
            <w:r>
              <w:rPr>
                <w:rFonts w:hint="eastAsia" w:ascii="宋体" w:hAnsi="宋体" w:cs="宋体"/>
                <w:kern w:val="0"/>
                <w:sz w:val="20"/>
                <w:szCs w:val="20"/>
              </w:rPr>
              <w:t>14.设备多级分组管理：可设置一到五级分组管理，操作时可对特定组的设备统一管理。</w:t>
            </w:r>
            <w:r>
              <w:rPr>
                <w:rFonts w:hint="eastAsia" w:ascii="宋体" w:hAnsi="宋体" w:cs="宋体"/>
                <w:kern w:val="0"/>
                <w:sz w:val="20"/>
                <w:szCs w:val="20"/>
              </w:rPr>
              <w:br w:type="textWrapping"/>
            </w:r>
            <w:r>
              <w:rPr>
                <w:rFonts w:hint="eastAsia" w:ascii="宋体" w:hAnsi="宋体" w:cs="宋体"/>
                <w:kern w:val="0"/>
                <w:sz w:val="20"/>
                <w:szCs w:val="20"/>
              </w:rPr>
              <w:t>▲15.固件升级：可远程批量升级设备固件程序。</w:t>
            </w:r>
            <w:r>
              <w:rPr>
                <w:rFonts w:hint="eastAsia" w:ascii="宋体" w:hAnsi="宋体" w:cs="宋体"/>
                <w:kern w:val="0"/>
                <w:sz w:val="20"/>
                <w:szCs w:val="20"/>
              </w:rPr>
              <w:br w:type="textWrapping"/>
            </w:r>
            <w:r>
              <w:rPr>
                <w:rFonts w:hint="eastAsia" w:ascii="宋体" w:hAnsi="宋体" w:cs="宋体"/>
                <w:kern w:val="0"/>
                <w:sz w:val="20"/>
                <w:szCs w:val="20"/>
              </w:rPr>
              <w:t>16.采集数据查询：可查询各空调数据定时、手动采集到的数据，以列表形式显示，可选择时间段、分组筛选。后台自动屏蔽连续多次采集到一样的数据，只保留一条。</w:t>
            </w:r>
            <w:r>
              <w:rPr>
                <w:rFonts w:hint="eastAsia" w:ascii="宋体" w:hAnsi="宋体" w:cs="宋体"/>
                <w:kern w:val="0"/>
                <w:sz w:val="20"/>
                <w:szCs w:val="20"/>
              </w:rPr>
              <w:br w:type="textWrapping"/>
            </w:r>
            <w:r>
              <w:rPr>
                <w:rFonts w:hint="eastAsia" w:ascii="宋体" w:hAnsi="宋体" w:cs="宋体"/>
                <w:kern w:val="0"/>
                <w:sz w:val="20"/>
                <w:szCs w:val="20"/>
              </w:rPr>
              <w:t>17.图形化能源报表：可统计总体、各个分组、各个设备的用电情况，包括用电量以用电时长、瞬时功率、能源分析，并进行节电率分析。</w:t>
            </w:r>
            <w:r>
              <w:rPr>
                <w:rFonts w:hint="eastAsia" w:ascii="宋体" w:hAnsi="宋体" w:cs="宋体"/>
                <w:kern w:val="0"/>
                <w:sz w:val="20"/>
                <w:szCs w:val="20"/>
              </w:rPr>
              <w:br w:type="textWrapping"/>
            </w:r>
            <w:r>
              <w:rPr>
                <w:rFonts w:hint="eastAsia" w:ascii="宋体" w:hAnsi="宋体" w:cs="宋体"/>
                <w:kern w:val="0"/>
                <w:sz w:val="20"/>
                <w:szCs w:val="20"/>
              </w:rPr>
              <w:t>18.设备管理：可添加、删除设备，设置设备的名称、连接的网关、通信地址、设备类型、分组的信息。</w:t>
            </w:r>
            <w:r>
              <w:rPr>
                <w:rFonts w:hint="eastAsia" w:ascii="宋体" w:hAnsi="宋体" w:cs="宋体"/>
                <w:kern w:val="0"/>
                <w:sz w:val="20"/>
                <w:szCs w:val="20"/>
              </w:rPr>
              <w:br w:type="textWrapping"/>
            </w:r>
            <w:r>
              <w:rPr>
                <w:rFonts w:hint="eastAsia" w:ascii="宋体" w:hAnsi="宋体" w:cs="宋体"/>
                <w:kern w:val="0"/>
                <w:sz w:val="20"/>
                <w:szCs w:val="20"/>
              </w:rPr>
              <w:t>19.产品管理：可设置、添加产品，可设置产品信息，包括产品类型、品牌、对应遥控器型号（自动匹配到码库）。</w:t>
            </w:r>
            <w:r>
              <w:rPr>
                <w:rFonts w:hint="eastAsia" w:ascii="宋体" w:hAnsi="宋体" w:cs="宋体"/>
                <w:kern w:val="0"/>
                <w:sz w:val="20"/>
                <w:szCs w:val="20"/>
              </w:rPr>
              <w:br w:type="textWrapping"/>
            </w:r>
            <w:r>
              <w:rPr>
                <w:rFonts w:hint="eastAsia" w:ascii="宋体" w:hAnsi="宋体" w:cs="宋体"/>
                <w:kern w:val="0"/>
                <w:sz w:val="20"/>
                <w:szCs w:val="20"/>
              </w:rPr>
              <w:t>20.网关管理：可添加、删除、批量导入RS485、MQTT网关，网关中可设置通信规则、红外发射延迟时间、红外验证时间（发送红外后智能验证是否发送成功）、判断超时时间、通信失败重发次数、分包大小的信息。</w:t>
            </w:r>
            <w:r>
              <w:rPr>
                <w:rFonts w:hint="eastAsia" w:ascii="宋体" w:hAnsi="宋体" w:cs="宋体"/>
                <w:kern w:val="0"/>
                <w:sz w:val="20"/>
                <w:szCs w:val="20"/>
              </w:rPr>
              <w:br w:type="textWrapping"/>
            </w:r>
            <w:r>
              <w:rPr>
                <w:rFonts w:hint="eastAsia" w:ascii="宋体" w:hAnsi="宋体" w:cs="宋体"/>
                <w:kern w:val="0"/>
                <w:sz w:val="20"/>
                <w:szCs w:val="20"/>
              </w:rPr>
              <w:t>21.设置无人关机与继电器断开时间间隔设置：支持设备断开继电器时，先判断空调启停状态，若开启，发送红外关机指令，延时“红外关机与继电器断开时间间隔”所设置的时间后，再断开继电器。</w:t>
            </w:r>
            <w:r>
              <w:rPr>
                <w:rFonts w:hint="eastAsia" w:ascii="宋体" w:hAnsi="宋体" w:cs="宋体"/>
                <w:kern w:val="0"/>
                <w:sz w:val="20"/>
                <w:szCs w:val="20"/>
              </w:rPr>
              <w:br w:type="textWrapping"/>
            </w:r>
            <w:r>
              <w:rPr>
                <w:rFonts w:hint="eastAsia" w:ascii="宋体" w:hAnsi="宋体" w:cs="宋体"/>
                <w:kern w:val="0"/>
                <w:sz w:val="20"/>
                <w:szCs w:val="20"/>
              </w:rPr>
              <w:t>22.冬夏季温度阀值、启停探测阀值设置：支持设备上电后进行冬夏季判断，大于设置的阈值时，判断为夏季，小于设置的阈值时，判断为冬季。设备通过检测负载的电流，并与设置的阈值作比较，判断所接负载是启动还是关闭；检测的电流大于设置的阈值，判断为启动；检测的电流小于设置的阈值，判断为关闭。</w:t>
            </w:r>
            <w:r>
              <w:rPr>
                <w:rFonts w:hint="eastAsia" w:ascii="宋体" w:hAnsi="宋体" w:cs="宋体"/>
                <w:kern w:val="0"/>
                <w:sz w:val="20"/>
                <w:szCs w:val="20"/>
              </w:rPr>
              <w:br w:type="textWrapping"/>
            </w:r>
            <w:r>
              <w:rPr>
                <w:rFonts w:hint="eastAsia" w:ascii="宋体" w:hAnsi="宋体" w:cs="宋体"/>
                <w:kern w:val="0"/>
                <w:sz w:val="20"/>
                <w:szCs w:val="20"/>
              </w:rPr>
              <w:t>23.自控采集间隔时间设置：支持开启自控模式时，采集一次温度，温度将持续保持“自控采集间隔时间”所设置的时间，之后再次采集温度，再持续保持所设置的时间。</w:t>
            </w:r>
            <w:r>
              <w:rPr>
                <w:rFonts w:hint="eastAsia" w:ascii="宋体" w:hAnsi="宋体" w:cs="宋体"/>
                <w:kern w:val="0"/>
                <w:sz w:val="20"/>
                <w:szCs w:val="20"/>
              </w:rPr>
              <w:br w:type="textWrapping"/>
            </w:r>
            <w:r>
              <w:rPr>
                <w:rFonts w:hint="eastAsia" w:ascii="宋体" w:hAnsi="宋体" w:cs="宋体"/>
                <w:kern w:val="0"/>
                <w:sz w:val="20"/>
                <w:szCs w:val="20"/>
              </w:rPr>
              <w:t>24.遥控密码设置：管理员通过密码激活遥控器，并进行使用时，并可更改设备的遥控器密码。</w:t>
            </w:r>
            <w:r>
              <w:rPr>
                <w:rFonts w:hint="eastAsia" w:ascii="宋体" w:hAnsi="宋体" w:cs="宋体"/>
                <w:kern w:val="0"/>
                <w:sz w:val="20"/>
                <w:szCs w:val="20"/>
              </w:rPr>
              <w:br w:type="textWrapping"/>
            </w:r>
            <w:r>
              <w:rPr>
                <w:rFonts w:hint="eastAsia" w:ascii="宋体" w:hAnsi="宋体" w:cs="宋体"/>
                <w:kern w:val="0"/>
                <w:sz w:val="20"/>
                <w:szCs w:val="20"/>
              </w:rPr>
              <w:t>25.自控参数设置：可开启自控模式，设备会按照所设置的自控参数进行运作；自控参数可以设置运行时段、冬夏季上下限、控制模式。</w:t>
            </w:r>
            <w:r>
              <w:rPr>
                <w:rFonts w:hint="eastAsia" w:ascii="宋体" w:hAnsi="宋体" w:cs="宋体"/>
                <w:kern w:val="0"/>
                <w:sz w:val="20"/>
                <w:szCs w:val="20"/>
              </w:rPr>
              <w:br w:type="textWrapping"/>
            </w:r>
            <w:r>
              <w:rPr>
                <w:rFonts w:hint="eastAsia" w:ascii="宋体" w:hAnsi="宋体" w:cs="宋体"/>
                <w:kern w:val="0"/>
                <w:sz w:val="20"/>
                <w:szCs w:val="20"/>
              </w:rPr>
              <w:t>26.全局设置：可设置空调温度、电压、电流报警数值，冬夏季时间段设置以及软件对设备自动信息的采集时间间隔进行设置值。</w:t>
            </w:r>
            <w:r>
              <w:rPr>
                <w:rFonts w:hint="eastAsia" w:ascii="宋体" w:hAnsi="宋体" w:cs="宋体"/>
                <w:kern w:val="0"/>
                <w:sz w:val="20"/>
                <w:szCs w:val="20"/>
              </w:rPr>
              <w:br w:type="textWrapping"/>
            </w:r>
            <w:r>
              <w:rPr>
                <w:rFonts w:hint="eastAsia" w:ascii="宋体" w:hAnsi="宋体" w:cs="宋体"/>
                <w:kern w:val="0"/>
                <w:sz w:val="20"/>
                <w:szCs w:val="20"/>
              </w:rPr>
              <w:t>27.定时/策略控制：可填写控制策略（远程根据分组、时间、温度来管理空调的开关）。可在固定时间段内、对所选固定区域空调设置温度控制策略，控制空调运行温度。</w:t>
            </w:r>
            <w:r>
              <w:rPr>
                <w:rFonts w:hint="eastAsia" w:ascii="宋体" w:hAnsi="宋体" w:cs="宋体"/>
                <w:kern w:val="0"/>
                <w:sz w:val="20"/>
                <w:szCs w:val="20"/>
              </w:rPr>
              <w:br w:type="textWrapping"/>
            </w:r>
            <w:r>
              <w:rPr>
                <w:rFonts w:hint="eastAsia" w:ascii="宋体" w:hAnsi="宋体" w:cs="宋体"/>
                <w:kern w:val="0"/>
                <w:sz w:val="20"/>
                <w:szCs w:val="20"/>
              </w:rPr>
              <w:t>▲28.统一管理平台：确保分体空调、多联机及人体传感器等设备在同一软件平台中展示、操控，并可联动运行，提升管理效率与系统整体可控性。</w:t>
            </w:r>
          </w:p>
        </w:tc>
        <w:tc>
          <w:tcPr>
            <w:tcW w:w="233" w:type="pct"/>
            <w:tcBorders>
              <w:top w:val="nil"/>
              <w:left w:val="nil"/>
              <w:bottom w:val="single" w:color="000000" w:sz="4" w:space="0"/>
              <w:right w:val="single" w:color="000000" w:sz="4" w:space="0"/>
            </w:tcBorders>
            <w:vAlign w:val="center"/>
          </w:tcPr>
          <w:p w14:paraId="64571A15">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323" w:type="pct"/>
            <w:tcBorders>
              <w:top w:val="nil"/>
              <w:left w:val="nil"/>
              <w:bottom w:val="single" w:color="000000" w:sz="4" w:space="0"/>
              <w:right w:val="single" w:color="000000" w:sz="4" w:space="0"/>
            </w:tcBorders>
            <w:vAlign w:val="center"/>
          </w:tcPr>
          <w:p w14:paraId="7C908C5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762.000</w:t>
            </w:r>
          </w:p>
        </w:tc>
        <w:tc>
          <w:tcPr>
            <w:tcW w:w="289" w:type="pct"/>
            <w:tcBorders>
              <w:top w:val="nil"/>
              <w:left w:val="nil"/>
              <w:bottom w:val="single" w:color="000000" w:sz="4" w:space="0"/>
              <w:right w:val="single" w:color="000000" w:sz="4" w:space="0"/>
            </w:tcBorders>
            <w:vAlign w:val="center"/>
          </w:tcPr>
          <w:p w14:paraId="5065CBD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6C49BAE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　</w:t>
            </w:r>
          </w:p>
        </w:tc>
        <w:tc>
          <w:tcPr>
            <w:tcW w:w="374" w:type="pct"/>
            <w:tcBorders>
              <w:top w:val="nil"/>
              <w:left w:val="nil"/>
              <w:bottom w:val="single" w:color="000000" w:sz="4" w:space="0"/>
              <w:right w:val="single" w:color="000000" w:sz="4" w:space="0"/>
            </w:tcBorders>
            <w:vAlign w:val="center"/>
          </w:tcPr>
          <w:p w14:paraId="63948B9B">
            <w:pPr>
              <w:widowControl/>
              <w:spacing w:after="0" w:line="240" w:lineRule="auto"/>
              <w:jc w:val="right"/>
              <w:rPr>
                <w:rFonts w:hint="eastAsia" w:ascii="宋体" w:hAnsi="宋体" w:cs="宋体"/>
                <w:kern w:val="0"/>
                <w:sz w:val="20"/>
                <w:szCs w:val="20"/>
              </w:rPr>
            </w:pPr>
            <w:r>
              <w:rPr>
                <w:rFonts w:hint="eastAsia" w:ascii="宋体" w:hAnsi="宋体" w:cs="宋体"/>
                <w:kern w:val="0"/>
                <w:sz w:val="20"/>
                <w:szCs w:val="20"/>
              </w:rPr>
              <w:t>　</w:t>
            </w:r>
          </w:p>
        </w:tc>
        <w:tc>
          <w:tcPr>
            <w:tcW w:w="375" w:type="pct"/>
            <w:tcBorders>
              <w:top w:val="nil"/>
              <w:left w:val="nil"/>
              <w:bottom w:val="single" w:color="000000" w:sz="4" w:space="0"/>
              <w:right w:val="single" w:color="000000" w:sz="4" w:space="0"/>
            </w:tcBorders>
            <w:vAlign w:val="center"/>
          </w:tcPr>
          <w:p w14:paraId="54BCA907">
            <w:pPr>
              <w:widowControl/>
              <w:spacing w:after="0" w:line="240" w:lineRule="auto"/>
              <w:jc w:val="right"/>
              <w:rPr>
                <w:rFonts w:hint="eastAsia" w:ascii="宋体" w:hAnsi="宋体" w:cs="宋体"/>
                <w:kern w:val="0"/>
                <w:sz w:val="20"/>
                <w:szCs w:val="20"/>
              </w:rPr>
            </w:pPr>
            <w:r>
              <w:rPr>
                <w:rFonts w:hint="eastAsia" w:ascii="宋体" w:hAnsi="宋体" w:cs="宋体"/>
                <w:kern w:val="0"/>
                <w:sz w:val="20"/>
                <w:szCs w:val="20"/>
              </w:rPr>
              <w:t>　</w:t>
            </w:r>
          </w:p>
        </w:tc>
        <w:tc>
          <w:tcPr>
            <w:tcW w:w="78" w:type="pct"/>
            <w:vAlign w:val="center"/>
          </w:tcPr>
          <w:p w14:paraId="64AD44B6">
            <w:pPr>
              <w:widowControl/>
              <w:spacing w:after="0" w:line="240" w:lineRule="auto"/>
              <w:jc w:val="left"/>
              <w:rPr>
                <w:rFonts w:eastAsia="Times New Roman"/>
                <w:kern w:val="0"/>
                <w:sz w:val="20"/>
                <w:szCs w:val="20"/>
              </w:rPr>
            </w:pPr>
          </w:p>
        </w:tc>
      </w:tr>
      <w:tr w14:paraId="33BED7A7">
        <w:tblPrEx>
          <w:tblCellMar>
            <w:top w:w="0" w:type="dxa"/>
            <w:left w:w="108" w:type="dxa"/>
            <w:bottom w:w="0" w:type="dxa"/>
            <w:right w:w="108" w:type="dxa"/>
          </w:tblCellMar>
        </w:tblPrEx>
        <w:trPr>
          <w:trHeight w:val="3480" w:hRule="atLeast"/>
        </w:trPr>
        <w:tc>
          <w:tcPr>
            <w:tcW w:w="264" w:type="pct"/>
            <w:tcBorders>
              <w:top w:val="nil"/>
              <w:left w:val="single" w:color="000000" w:sz="4" w:space="0"/>
              <w:bottom w:val="single" w:color="000000" w:sz="4" w:space="0"/>
              <w:right w:val="single" w:color="000000" w:sz="4" w:space="0"/>
            </w:tcBorders>
            <w:vAlign w:val="center"/>
          </w:tcPr>
          <w:p w14:paraId="242F468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4</w:t>
            </w:r>
          </w:p>
        </w:tc>
        <w:tc>
          <w:tcPr>
            <w:tcW w:w="491" w:type="pct"/>
            <w:tcBorders>
              <w:top w:val="nil"/>
              <w:left w:val="nil"/>
              <w:bottom w:val="single" w:color="000000" w:sz="4" w:space="0"/>
              <w:right w:val="single" w:color="000000" w:sz="4" w:space="0"/>
            </w:tcBorders>
            <w:vAlign w:val="center"/>
          </w:tcPr>
          <w:p w14:paraId="44B26278">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5匹智能控制器（380V）</w:t>
            </w:r>
          </w:p>
        </w:tc>
        <w:tc>
          <w:tcPr>
            <w:tcW w:w="2033" w:type="pct"/>
            <w:tcBorders>
              <w:top w:val="nil"/>
              <w:left w:val="nil"/>
              <w:bottom w:val="single" w:color="000000" w:sz="4" w:space="0"/>
              <w:right w:val="single" w:color="000000" w:sz="4" w:space="0"/>
            </w:tcBorders>
            <w:vAlign w:val="center"/>
          </w:tcPr>
          <w:p w14:paraId="0A7867DE">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基础功能：</w:t>
            </w:r>
            <w:r>
              <w:rPr>
                <w:rFonts w:hint="eastAsia" w:ascii="宋体" w:hAnsi="宋体" w:cs="宋体"/>
                <w:kern w:val="0"/>
                <w:sz w:val="20"/>
                <w:szCs w:val="20"/>
              </w:rPr>
              <w:br w:type="textWrapping"/>
            </w:r>
            <w:r>
              <w:rPr>
                <w:rFonts w:hint="eastAsia" w:ascii="宋体" w:hAnsi="宋体" w:cs="宋体"/>
                <w:kern w:val="0"/>
                <w:sz w:val="20"/>
                <w:szCs w:val="20"/>
              </w:rPr>
              <w:t>1.红外控制：可红外控制空调运行，通过云端的码库、设备自学习红外指令，使用管理遥控器或者后台运用软件/app控制空调的各种运行模式。</w:t>
            </w:r>
            <w:r>
              <w:rPr>
                <w:rFonts w:hint="eastAsia" w:ascii="宋体" w:hAnsi="宋体" w:cs="宋体"/>
                <w:kern w:val="0"/>
                <w:sz w:val="20"/>
                <w:szCs w:val="20"/>
              </w:rPr>
              <w:br w:type="textWrapping"/>
            </w:r>
            <w:r>
              <w:rPr>
                <w:rFonts w:hint="eastAsia" w:ascii="宋体" w:hAnsi="宋体" w:cs="宋体"/>
                <w:kern w:val="0"/>
                <w:sz w:val="20"/>
                <w:szCs w:val="20"/>
              </w:rPr>
              <w:t>2.通断电强制控制：可在达到设定条件时，控制空调电源通断电对空调运行状态进行控制。</w:t>
            </w:r>
            <w:r>
              <w:rPr>
                <w:rFonts w:hint="eastAsia" w:ascii="宋体" w:hAnsi="宋体" w:cs="宋体"/>
                <w:kern w:val="0"/>
                <w:sz w:val="20"/>
                <w:szCs w:val="20"/>
              </w:rPr>
              <w:br w:type="textWrapping"/>
            </w:r>
            <w:r>
              <w:rPr>
                <w:rFonts w:hint="eastAsia" w:ascii="宋体" w:hAnsi="宋体" w:cs="宋体"/>
                <w:kern w:val="0"/>
                <w:sz w:val="20"/>
                <w:szCs w:val="20"/>
              </w:rPr>
              <w:t>3.温度接口：可对环境温度进行监测。</w:t>
            </w:r>
            <w:r>
              <w:rPr>
                <w:rFonts w:hint="eastAsia" w:ascii="宋体" w:hAnsi="宋体" w:cs="宋体"/>
                <w:kern w:val="0"/>
                <w:sz w:val="20"/>
                <w:szCs w:val="20"/>
              </w:rPr>
              <w:br w:type="textWrapping"/>
            </w:r>
            <w:r>
              <w:rPr>
                <w:rFonts w:hint="eastAsia" w:ascii="宋体" w:hAnsi="宋体" w:cs="宋体"/>
                <w:kern w:val="0"/>
                <w:sz w:val="20"/>
                <w:szCs w:val="20"/>
              </w:rPr>
              <w:t>4.电压、电流、功率信息采集：可接入的空调的电压、电流、功率信息。</w:t>
            </w:r>
            <w:r>
              <w:rPr>
                <w:rFonts w:hint="eastAsia" w:ascii="宋体" w:hAnsi="宋体" w:cs="宋体"/>
                <w:kern w:val="0"/>
                <w:sz w:val="20"/>
                <w:szCs w:val="20"/>
              </w:rPr>
              <w:br w:type="textWrapping"/>
            </w:r>
            <w:r>
              <w:rPr>
                <w:rFonts w:hint="eastAsia" w:ascii="宋体" w:hAnsi="宋体" w:cs="宋体"/>
                <w:kern w:val="0"/>
                <w:sz w:val="20"/>
                <w:szCs w:val="20"/>
              </w:rPr>
              <w:t>5.电量、空调运行时长统计：可自动统计空调消耗的累计电量信息，运行时长信息。</w:t>
            </w:r>
            <w:r>
              <w:rPr>
                <w:rFonts w:hint="eastAsia" w:ascii="宋体" w:hAnsi="宋体" w:cs="宋体"/>
                <w:kern w:val="0"/>
                <w:sz w:val="20"/>
                <w:szCs w:val="20"/>
              </w:rPr>
              <w:br w:type="textWrapping"/>
            </w:r>
            <w:r>
              <w:rPr>
                <w:rFonts w:hint="eastAsia" w:ascii="宋体" w:hAnsi="宋体" w:cs="宋体"/>
                <w:kern w:val="0"/>
                <w:sz w:val="20"/>
                <w:szCs w:val="20"/>
              </w:rPr>
              <w:t>6.实时时钟功能：可通过实时时钟进行时间自动控制、时长统计功能。</w:t>
            </w:r>
            <w:r>
              <w:rPr>
                <w:rFonts w:hint="eastAsia" w:ascii="宋体" w:hAnsi="宋体" w:cs="宋体"/>
                <w:kern w:val="0"/>
                <w:sz w:val="20"/>
                <w:szCs w:val="20"/>
              </w:rPr>
              <w:br w:type="textWrapping"/>
            </w:r>
            <w:r>
              <w:rPr>
                <w:rFonts w:hint="eastAsia" w:ascii="宋体" w:hAnsi="宋体" w:cs="宋体"/>
                <w:kern w:val="0"/>
                <w:sz w:val="20"/>
                <w:szCs w:val="20"/>
              </w:rPr>
              <w:t>7.实时采集环境信息功能：支持采集环境温度、房间有无人状态.</w:t>
            </w:r>
            <w:r>
              <w:rPr>
                <w:rFonts w:hint="eastAsia" w:ascii="宋体" w:hAnsi="宋体" w:cs="宋体"/>
                <w:kern w:val="0"/>
                <w:sz w:val="20"/>
                <w:szCs w:val="20"/>
              </w:rPr>
              <w:br w:type="textWrapping"/>
            </w:r>
            <w:r>
              <w:rPr>
                <w:rFonts w:hint="eastAsia" w:ascii="宋体" w:hAnsi="宋体" w:cs="宋体"/>
                <w:kern w:val="0"/>
                <w:sz w:val="20"/>
                <w:szCs w:val="20"/>
              </w:rPr>
              <w:t>8.红外学习：可学习红外控制空调的码值信息，并通过学习的码值对空调控制。</w:t>
            </w:r>
            <w:r>
              <w:rPr>
                <w:rFonts w:hint="eastAsia" w:ascii="宋体" w:hAnsi="宋体" w:cs="宋体"/>
                <w:kern w:val="0"/>
                <w:sz w:val="20"/>
                <w:szCs w:val="20"/>
              </w:rPr>
              <w:br w:type="textWrapping"/>
            </w:r>
            <w:r>
              <w:rPr>
                <w:rFonts w:hint="eastAsia" w:ascii="宋体" w:hAnsi="宋体" w:cs="宋体"/>
                <w:kern w:val="0"/>
                <w:sz w:val="20"/>
                <w:szCs w:val="20"/>
              </w:rPr>
              <w:t>9.红外、通断电控制空调运行：可通过红外、通断电控制空调运行状态。</w:t>
            </w:r>
            <w:r>
              <w:rPr>
                <w:rFonts w:hint="eastAsia" w:ascii="宋体" w:hAnsi="宋体" w:cs="宋体"/>
                <w:kern w:val="0"/>
                <w:sz w:val="20"/>
                <w:szCs w:val="20"/>
              </w:rPr>
              <w:br w:type="textWrapping"/>
            </w:r>
            <w:r>
              <w:rPr>
                <w:rFonts w:hint="eastAsia" w:ascii="宋体" w:hAnsi="宋体" w:cs="宋体"/>
                <w:kern w:val="0"/>
                <w:sz w:val="20"/>
                <w:szCs w:val="20"/>
              </w:rPr>
              <w:t>10.数码管、指示灯显示信息：支持设备上数码管实时显示设备采集的温度、可用电量信息，指示灯提示设备运行状态。</w:t>
            </w:r>
            <w:r>
              <w:rPr>
                <w:rFonts w:hint="eastAsia" w:ascii="宋体" w:hAnsi="宋体" w:cs="宋体"/>
                <w:kern w:val="0"/>
                <w:sz w:val="20"/>
                <w:szCs w:val="20"/>
              </w:rPr>
              <w:br w:type="textWrapping"/>
            </w:r>
            <w:r>
              <w:rPr>
                <w:rFonts w:hint="eastAsia" w:ascii="宋体" w:hAnsi="宋体" w:cs="宋体"/>
                <w:kern w:val="0"/>
                <w:sz w:val="20"/>
                <w:szCs w:val="20"/>
              </w:rPr>
              <w:t>11.蜂鸣器功能：设备上具有蜂鸣器提示功能，用于操作响应及报警辅助。</w:t>
            </w:r>
            <w:r>
              <w:rPr>
                <w:rFonts w:hint="eastAsia" w:ascii="宋体" w:hAnsi="宋体" w:cs="宋体"/>
                <w:kern w:val="0"/>
                <w:sz w:val="20"/>
                <w:szCs w:val="20"/>
              </w:rPr>
              <w:br w:type="textWrapping"/>
            </w:r>
            <w:r>
              <w:rPr>
                <w:rFonts w:hint="eastAsia" w:ascii="宋体" w:hAnsi="宋体" w:cs="宋体"/>
                <w:kern w:val="0"/>
                <w:sz w:val="20"/>
                <w:szCs w:val="20"/>
              </w:rPr>
              <w:t>12.多种通信格式兼容：可通过RS485、LORA、4G等多种接口连接局域网并可通过MQTT连接云平台。</w:t>
            </w:r>
            <w:r>
              <w:rPr>
                <w:rFonts w:hint="eastAsia" w:ascii="宋体" w:hAnsi="宋体" w:cs="宋体"/>
                <w:kern w:val="0"/>
                <w:sz w:val="20"/>
                <w:szCs w:val="20"/>
              </w:rPr>
              <w:br w:type="textWrapping"/>
            </w:r>
            <w:r>
              <w:rPr>
                <w:rFonts w:hint="eastAsia" w:ascii="宋体" w:hAnsi="宋体" w:cs="宋体"/>
                <w:kern w:val="0"/>
                <w:sz w:val="20"/>
                <w:szCs w:val="20"/>
              </w:rPr>
              <w:t>▲13.确保无网环境下，无需学习红外码值，设备仍能应用自带的红外码库自动或手动匹配空调，实现精准控制，满足全天候使用需求。</w:t>
            </w:r>
            <w:r>
              <w:rPr>
                <w:rFonts w:hint="eastAsia" w:ascii="宋体" w:hAnsi="宋体" w:cs="宋体"/>
                <w:kern w:val="0"/>
                <w:sz w:val="20"/>
                <w:szCs w:val="20"/>
              </w:rPr>
              <w:br w:type="textWrapping"/>
            </w:r>
            <w:r>
              <w:rPr>
                <w:rFonts w:hint="eastAsia" w:ascii="宋体" w:hAnsi="宋体" w:cs="宋体"/>
                <w:kern w:val="0"/>
                <w:sz w:val="20"/>
                <w:szCs w:val="20"/>
              </w:rPr>
              <w:t>14.用电参数可查询：支持电压、电流、功率、电量、运行时长、可用电量、剩余电量、每月固定额度等信息存储在设备上，并可通过接口读取、设置。</w:t>
            </w:r>
            <w:r>
              <w:rPr>
                <w:rFonts w:hint="eastAsia" w:ascii="宋体" w:hAnsi="宋体" w:cs="宋体"/>
                <w:kern w:val="0"/>
                <w:sz w:val="20"/>
                <w:szCs w:val="20"/>
              </w:rPr>
              <w:br w:type="textWrapping"/>
            </w:r>
            <w:r>
              <w:rPr>
                <w:rFonts w:hint="eastAsia" w:ascii="宋体" w:hAnsi="宋体" w:cs="宋体"/>
                <w:kern w:val="0"/>
                <w:sz w:val="20"/>
                <w:szCs w:val="20"/>
              </w:rPr>
              <w:t>15.外延式温度传感器：为保证采集的环境温度的精准性采用外延式温度传感器。</w:t>
            </w:r>
            <w:r>
              <w:rPr>
                <w:rFonts w:hint="eastAsia" w:ascii="宋体" w:hAnsi="宋体" w:cs="宋体"/>
                <w:kern w:val="0"/>
                <w:sz w:val="20"/>
                <w:szCs w:val="20"/>
              </w:rPr>
              <w:br w:type="textWrapping"/>
            </w:r>
            <w:r>
              <w:rPr>
                <w:rFonts w:hint="eastAsia" w:ascii="宋体" w:hAnsi="宋体" w:cs="宋体"/>
                <w:kern w:val="0"/>
                <w:sz w:val="20"/>
                <w:szCs w:val="20"/>
              </w:rPr>
              <w:t>16.红外发射头：可根据现场环境情况采用内置大功率红外发射头或外延式红外发射头。</w:t>
            </w:r>
            <w:r>
              <w:rPr>
                <w:rFonts w:hint="eastAsia" w:ascii="宋体" w:hAnsi="宋体" w:cs="宋体"/>
                <w:kern w:val="0"/>
                <w:sz w:val="20"/>
                <w:szCs w:val="20"/>
              </w:rPr>
              <w:br w:type="textWrapping"/>
            </w:r>
            <w:r>
              <w:rPr>
                <w:rFonts w:hint="eastAsia" w:ascii="宋体" w:hAnsi="宋体" w:cs="宋体"/>
                <w:kern w:val="0"/>
                <w:sz w:val="20"/>
                <w:szCs w:val="20"/>
              </w:rPr>
              <w:t>17.手机端控制：可远程手动开关空调、远程调节空调温度、等等。</w:t>
            </w:r>
            <w:r>
              <w:rPr>
                <w:rFonts w:hint="eastAsia" w:ascii="宋体" w:hAnsi="宋体" w:cs="宋体"/>
                <w:kern w:val="0"/>
                <w:sz w:val="20"/>
                <w:szCs w:val="20"/>
              </w:rPr>
              <w:br w:type="textWrapping"/>
            </w:r>
            <w:r>
              <w:rPr>
                <w:rFonts w:hint="eastAsia" w:ascii="宋体" w:hAnsi="宋体" w:cs="宋体"/>
                <w:kern w:val="0"/>
                <w:sz w:val="20"/>
                <w:szCs w:val="20"/>
              </w:rPr>
              <w:t>智能节能功能：</w:t>
            </w:r>
            <w:r>
              <w:rPr>
                <w:rFonts w:hint="eastAsia" w:ascii="宋体" w:hAnsi="宋体" w:cs="宋体"/>
                <w:kern w:val="0"/>
                <w:sz w:val="20"/>
                <w:szCs w:val="20"/>
              </w:rPr>
              <w:br w:type="textWrapping"/>
            </w:r>
            <w:r>
              <w:rPr>
                <w:rFonts w:hint="eastAsia" w:ascii="宋体" w:hAnsi="宋体" w:cs="宋体"/>
                <w:kern w:val="0"/>
                <w:sz w:val="20"/>
                <w:szCs w:val="20"/>
              </w:rPr>
              <w:t>1.智能光感控制：可检测光照度情况，并在光照较低时自动关闭数码管指示灯。</w:t>
            </w:r>
            <w:r>
              <w:rPr>
                <w:rFonts w:hint="eastAsia" w:ascii="宋体" w:hAnsi="宋体" w:cs="宋体"/>
                <w:kern w:val="0"/>
                <w:sz w:val="20"/>
                <w:szCs w:val="20"/>
              </w:rPr>
              <w:br w:type="textWrapping"/>
            </w:r>
            <w:r>
              <w:rPr>
                <w:rFonts w:hint="eastAsia" w:ascii="宋体" w:hAnsi="宋体" w:cs="宋体"/>
                <w:kern w:val="0"/>
                <w:sz w:val="20"/>
                <w:szCs w:val="20"/>
              </w:rPr>
              <w:t>2.智能时间控制：可设置一周7天、一天10个时间段（总共70个时间段）的差异化智能控制，可设置限制空调开启使用、空调使用条件、以及限制温度点等信息。</w:t>
            </w:r>
            <w:r>
              <w:rPr>
                <w:rFonts w:hint="eastAsia" w:ascii="宋体" w:hAnsi="宋体" w:cs="宋体"/>
                <w:kern w:val="0"/>
                <w:sz w:val="20"/>
                <w:szCs w:val="20"/>
              </w:rPr>
              <w:br w:type="textWrapping"/>
            </w:r>
            <w:r>
              <w:rPr>
                <w:rFonts w:hint="eastAsia" w:ascii="宋体" w:hAnsi="宋体" w:cs="宋体"/>
                <w:kern w:val="0"/>
                <w:sz w:val="20"/>
                <w:szCs w:val="20"/>
              </w:rPr>
              <w:t>3.智能温度控制：可预设温度上限值，下限值。</w:t>
            </w:r>
            <w:r>
              <w:rPr>
                <w:rFonts w:hint="eastAsia" w:ascii="宋体" w:hAnsi="宋体" w:cs="宋体"/>
                <w:kern w:val="0"/>
                <w:sz w:val="20"/>
                <w:szCs w:val="20"/>
              </w:rPr>
              <w:br w:type="textWrapping"/>
            </w:r>
            <w:r>
              <w:rPr>
                <w:rFonts w:hint="eastAsia" w:ascii="宋体" w:hAnsi="宋体" w:cs="宋体"/>
                <w:kern w:val="0"/>
                <w:sz w:val="20"/>
                <w:szCs w:val="20"/>
              </w:rPr>
              <w:t>4.智能冬夏季模式切换：可手动或者自动切换夏冬季模式；</w:t>
            </w:r>
            <w:r>
              <w:rPr>
                <w:rFonts w:hint="eastAsia" w:ascii="宋体" w:hAnsi="宋体" w:cs="宋体"/>
                <w:kern w:val="0"/>
                <w:sz w:val="20"/>
                <w:szCs w:val="20"/>
              </w:rPr>
              <w:br w:type="textWrapping"/>
            </w:r>
            <w:r>
              <w:rPr>
                <w:rFonts w:hint="eastAsia" w:ascii="宋体" w:hAnsi="宋体" w:cs="宋体"/>
                <w:kern w:val="0"/>
                <w:sz w:val="20"/>
                <w:szCs w:val="20"/>
              </w:rPr>
              <w:t>5.智能二级限控联合控制：支持控制器自动发送红外指令控制空调（一级限控功能），控制器启动强制控制功能（二级限控）强制切断空调电源。</w:t>
            </w:r>
            <w:r>
              <w:rPr>
                <w:rFonts w:hint="eastAsia" w:ascii="宋体" w:hAnsi="宋体" w:cs="宋体"/>
                <w:kern w:val="0"/>
                <w:sz w:val="20"/>
                <w:szCs w:val="20"/>
              </w:rPr>
              <w:br w:type="textWrapping"/>
            </w:r>
            <w:r>
              <w:rPr>
                <w:rFonts w:hint="eastAsia" w:ascii="宋体" w:hAnsi="宋体" w:cs="宋体"/>
                <w:kern w:val="0"/>
                <w:sz w:val="20"/>
                <w:szCs w:val="20"/>
              </w:rPr>
              <w:t>6.智能节能控制：可对空调的应用条件（时间条件、温度条件）进行控制，并智能监督管理空调使用。</w:t>
            </w:r>
            <w:r>
              <w:rPr>
                <w:rFonts w:hint="eastAsia" w:ascii="宋体" w:hAnsi="宋体" w:cs="宋体"/>
                <w:kern w:val="0"/>
                <w:sz w:val="20"/>
                <w:szCs w:val="20"/>
              </w:rPr>
              <w:br w:type="textWrapping"/>
            </w:r>
            <w:r>
              <w:rPr>
                <w:rFonts w:hint="eastAsia" w:ascii="宋体" w:hAnsi="宋体" w:cs="宋体"/>
                <w:kern w:val="0"/>
                <w:sz w:val="20"/>
                <w:szCs w:val="20"/>
              </w:rPr>
              <w:t>7.智能破坏报警：支持温度传感器被破坏后，设备发出蜂鸣声报警，并通过通信告诉上位机。</w:t>
            </w:r>
            <w:r>
              <w:rPr>
                <w:rFonts w:hint="eastAsia" w:ascii="宋体" w:hAnsi="宋体" w:cs="宋体"/>
                <w:kern w:val="0"/>
                <w:sz w:val="20"/>
                <w:szCs w:val="20"/>
              </w:rPr>
              <w:br w:type="textWrapping"/>
            </w:r>
            <w:r>
              <w:rPr>
                <w:rFonts w:hint="eastAsia" w:ascii="宋体" w:hAnsi="宋体" w:cs="宋体"/>
                <w:kern w:val="0"/>
                <w:sz w:val="20"/>
                <w:szCs w:val="20"/>
              </w:rPr>
              <w:t>8.红外/强制断电联动功能：支持强制电源控制及红外控制的联动控制，在切断空调电源时，需要先发送红外指令关闭空调，在一定时长（时长可设置）后切断空调电源。</w:t>
            </w:r>
            <w:r>
              <w:rPr>
                <w:rFonts w:hint="eastAsia" w:ascii="宋体" w:hAnsi="宋体" w:cs="宋体"/>
                <w:kern w:val="0"/>
                <w:sz w:val="20"/>
                <w:szCs w:val="20"/>
              </w:rPr>
              <w:br w:type="textWrapping"/>
            </w:r>
            <w:r>
              <w:rPr>
                <w:rFonts w:hint="eastAsia" w:ascii="宋体" w:hAnsi="宋体" w:cs="宋体"/>
                <w:kern w:val="0"/>
                <w:sz w:val="20"/>
                <w:szCs w:val="20"/>
              </w:rPr>
              <w:t>9.自动控制功能离线运行：支持智能控制参数均写入设备上的EEPROM上，设备离线状态时可以根据设定的自控参数，智能执行。</w:t>
            </w:r>
            <w:r>
              <w:rPr>
                <w:rFonts w:hint="eastAsia" w:ascii="宋体" w:hAnsi="宋体" w:cs="宋体"/>
                <w:kern w:val="0"/>
                <w:sz w:val="20"/>
                <w:szCs w:val="20"/>
              </w:rPr>
              <w:br w:type="textWrapping"/>
            </w:r>
            <w:r>
              <w:rPr>
                <w:rFonts w:hint="eastAsia" w:ascii="宋体" w:hAnsi="宋体" w:cs="宋体"/>
                <w:kern w:val="0"/>
                <w:sz w:val="20"/>
                <w:szCs w:val="20"/>
              </w:rPr>
              <w:t>实用性：</w:t>
            </w:r>
            <w:r>
              <w:rPr>
                <w:rFonts w:hint="eastAsia" w:ascii="宋体" w:hAnsi="宋体" w:cs="宋体"/>
                <w:kern w:val="0"/>
                <w:sz w:val="20"/>
                <w:szCs w:val="20"/>
              </w:rPr>
              <w:br w:type="textWrapping"/>
            </w:r>
            <w:r>
              <w:rPr>
                <w:rFonts w:hint="eastAsia" w:ascii="宋体" w:hAnsi="宋体" w:cs="宋体"/>
                <w:kern w:val="0"/>
                <w:sz w:val="20"/>
                <w:szCs w:val="20"/>
              </w:rPr>
              <w:t>1. 用电管理功能：支持设备用电管理功能，主要包括：1.可设定每月自动固定充值额度电量；2.可对设备进行可用电量充值及撤销充值操作；3.电量用完自动限制空调使用；4.用电管理功能可开关。</w:t>
            </w:r>
            <w:r>
              <w:rPr>
                <w:rFonts w:hint="eastAsia" w:ascii="宋体" w:hAnsi="宋体" w:cs="宋体"/>
                <w:kern w:val="0"/>
                <w:sz w:val="20"/>
                <w:szCs w:val="20"/>
              </w:rPr>
              <w:br w:type="textWrapping"/>
            </w:r>
            <w:r>
              <w:rPr>
                <w:rFonts w:hint="eastAsia" w:ascii="宋体" w:hAnsi="宋体" w:cs="宋体"/>
                <w:kern w:val="0"/>
                <w:sz w:val="20"/>
                <w:szCs w:val="20"/>
              </w:rPr>
              <w:t>2.剩余电量显示：可为设备进行用电量的预充值，设备数码管显示剩余电量，用户可以实时查看剩余可用电量。</w:t>
            </w:r>
            <w:r>
              <w:rPr>
                <w:rFonts w:hint="eastAsia" w:ascii="宋体" w:hAnsi="宋体" w:cs="宋体"/>
                <w:kern w:val="0"/>
                <w:sz w:val="20"/>
                <w:szCs w:val="20"/>
              </w:rPr>
              <w:br w:type="textWrapping"/>
            </w:r>
            <w:r>
              <w:rPr>
                <w:rFonts w:hint="eastAsia" w:ascii="宋体" w:hAnsi="宋体" w:cs="宋体"/>
                <w:kern w:val="0"/>
                <w:sz w:val="20"/>
                <w:szCs w:val="20"/>
              </w:rPr>
              <w:t>▲3.管理员遥控功能：可通过遥控器对设备进行现场配置，并控制设备运行。</w:t>
            </w:r>
            <w:r>
              <w:rPr>
                <w:rFonts w:hint="eastAsia" w:ascii="宋体" w:hAnsi="宋体" w:cs="宋体"/>
                <w:kern w:val="0"/>
                <w:sz w:val="20"/>
                <w:szCs w:val="20"/>
              </w:rPr>
              <w:br w:type="textWrapping"/>
            </w:r>
            <w:r>
              <w:rPr>
                <w:rFonts w:hint="eastAsia" w:ascii="宋体" w:hAnsi="宋体" w:cs="宋体"/>
                <w:kern w:val="0"/>
                <w:sz w:val="20"/>
                <w:szCs w:val="20"/>
              </w:rPr>
              <w:t>▲4.远程固件升级：可通过远程通信接口对设备进行批量升级。</w:t>
            </w:r>
            <w:r>
              <w:rPr>
                <w:rFonts w:hint="eastAsia" w:ascii="宋体" w:hAnsi="宋体" w:cs="宋体"/>
                <w:kern w:val="0"/>
                <w:sz w:val="20"/>
                <w:szCs w:val="20"/>
              </w:rPr>
              <w:br w:type="textWrapping"/>
            </w:r>
            <w:r>
              <w:rPr>
                <w:rFonts w:hint="eastAsia" w:ascii="宋体" w:hAnsi="宋体" w:cs="宋体"/>
                <w:kern w:val="0"/>
                <w:sz w:val="20"/>
                <w:szCs w:val="20"/>
              </w:rPr>
              <w:t>▲5.无负载报警功能：当控制器插头被拔掉时，控制器可把当前负载状态实时反馈到上位机。</w:t>
            </w:r>
            <w:r>
              <w:rPr>
                <w:rFonts w:hint="eastAsia" w:ascii="宋体" w:hAnsi="宋体" w:cs="宋体"/>
                <w:kern w:val="0"/>
                <w:sz w:val="20"/>
                <w:szCs w:val="20"/>
              </w:rPr>
              <w:br w:type="textWrapping"/>
            </w:r>
            <w:r>
              <w:rPr>
                <w:rFonts w:hint="eastAsia" w:ascii="宋体" w:hAnsi="宋体" w:cs="宋体"/>
                <w:kern w:val="0"/>
                <w:sz w:val="20"/>
                <w:szCs w:val="20"/>
              </w:rPr>
              <w:t>拓展性：</w:t>
            </w:r>
            <w:r>
              <w:rPr>
                <w:rFonts w:hint="eastAsia" w:ascii="宋体" w:hAnsi="宋体" w:cs="宋体"/>
                <w:kern w:val="0"/>
                <w:sz w:val="20"/>
                <w:szCs w:val="20"/>
              </w:rPr>
              <w:br w:type="textWrapping"/>
            </w:r>
            <w:r>
              <w:rPr>
                <w:rFonts w:hint="eastAsia" w:ascii="宋体" w:hAnsi="宋体" w:cs="宋体"/>
                <w:kern w:val="0"/>
                <w:sz w:val="20"/>
                <w:szCs w:val="20"/>
              </w:rPr>
              <w:t>1.可预留门磁或红外接口（二选一）方便后期做功能扩展。</w:t>
            </w:r>
            <w:r>
              <w:rPr>
                <w:rFonts w:hint="eastAsia" w:ascii="宋体" w:hAnsi="宋体" w:cs="宋体"/>
                <w:kern w:val="0"/>
                <w:sz w:val="20"/>
                <w:szCs w:val="20"/>
              </w:rPr>
              <w:br w:type="textWrapping"/>
            </w:r>
            <w:r>
              <w:rPr>
                <w:rFonts w:hint="eastAsia" w:ascii="宋体" w:hAnsi="宋体" w:cs="宋体"/>
                <w:kern w:val="0"/>
                <w:sz w:val="20"/>
                <w:szCs w:val="20"/>
              </w:rPr>
              <w:t>2.预留性能监测模块接口方便后期做功能扩展。</w:t>
            </w:r>
            <w:r>
              <w:rPr>
                <w:rFonts w:hint="eastAsia" w:ascii="宋体" w:hAnsi="宋体" w:cs="宋体"/>
                <w:kern w:val="0"/>
                <w:sz w:val="20"/>
                <w:szCs w:val="20"/>
              </w:rPr>
              <w:br w:type="textWrapping"/>
            </w:r>
            <w:r>
              <w:rPr>
                <w:rFonts w:hint="eastAsia" w:ascii="宋体" w:hAnsi="宋体" w:cs="宋体"/>
                <w:kern w:val="0"/>
                <w:sz w:val="20"/>
                <w:szCs w:val="20"/>
              </w:rPr>
              <w:t>安全性：</w:t>
            </w:r>
            <w:r>
              <w:rPr>
                <w:rFonts w:hint="eastAsia" w:ascii="宋体" w:hAnsi="宋体" w:cs="宋体"/>
                <w:kern w:val="0"/>
                <w:sz w:val="20"/>
                <w:szCs w:val="20"/>
              </w:rPr>
              <w:br w:type="textWrapping"/>
            </w:r>
            <w:r>
              <w:rPr>
                <w:rFonts w:hint="eastAsia" w:ascii="宋体" w:hAnsi="宋体" w:cs="宋体"/>
                <w:kern w:val="0"/>
                <w:sz w:val="20"/>
                <w:szCs w:val="20"/>
              </w:rPr>
              <w:t>1.380V空调的智能节能远程强电控制需要内置应用交流接触器，整机一体式设计，无需外挂；</w:t>
            </w:r>
            <w:r>
              <w:rPr>
                <w:rFonts w:hint="eastAsia" w:ascii="宋体" w:hAnsi="宋体" w:cs="宋体"/>
                <w:kern w:val="0"/>
                <w:sz w:val="20"/>
                <w:szCs w:val="20"/>
              </w:rPr>
              <w:br w:type="textWrapping"/>
            </w:r>
            <w:r>
              <w:rPr>
                <w:rFonts w:hint="eastAsia" w:ascii="宋体" w:hAnsi="宋体" w:cs="宋体"/>
                <w:kern w:val="0"/>
                <w:sz w:val="20"/>
                <w:szCs w:val="20"/>
              </w:rPr>
              <w:t>产品资质：</w:t>
            </w:r>
            <w:r>
              <w:rPr>
                <w:rFonts w:hint="eastAsia" w:ascii="宋体" w:hAnsi="宋体" w:cs="宋体"/>
                <w:kern w:val="0"/>
                <w:sz w:val="20"/>
                <w:szCs w:val="20"/>
              </w:rPr>
              <w:br w:type="textWrapping"/>
            </w:r>
            <w:r>
              <w:rPr>
                <w:rFonts w:hint="eastAsia" w:ascii="宋体" w:hAnsi="宋体" w:cs="宋体"/>
                <w:kern w:val="0"/>
                <w:sz w:val="20"/>
                <w:szCs w:val="20"/>
              </w:rPr>
              <w:t>▲1.设备抗干扰等级：3级（IEC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2.产品质量检测报告</w:t>
            </w:r>
            <w:r>
              <w:rPr>
                <w:rFonts w:hint="eastAsia" w:ascii="宋体" w:hAnsi="宋体" w:cs="宋体"/>
                <w:kern w:val="0"/>
                <w:sz w:val="20"/>
                <w:szCs w:val="20"/>
              </w:rPr>
              <w:br w:type="textWrapping"/>
            </w:r>
            <w:r>
              <w:rPr>
                <w:rFonts w:hint="eastAsia" w:ascii="宋体" w:hAnsi="宋体" w:cs="宋体"/>
                <w:kern w:val="0"/>
                <w:sz w:val="20"/>
                <w:szCs w:val="20"/>
              </w:rPr>
              <w:t>基本参数：</w:t>
            </w:r>
            <w:r>
              <w:rPr>
                <w:rFonts w:hint="eastAsia" w:ascii="宋体" w:hAnsi="宋体" w:cs="宋体"/>
                <w:kern w:val="0"/>
                <w:sz w:val="20"/>
                <w:szCs w:val="20"/>
              </w:rPr>
              <w:br w:type="textWrapping"/>
            </w:r>
            <w:r>
              <w:rPr>
                <w:rFonts w:hint="eastAsia" w:ascii="宋体" w:hAnsi="宋体" w:cs="宋体"/>
                <w:kern w:val="0"/>
                <w:sz w:val="20"/>
                <w:szCs w:val="20"/>
              </w:rPr>
              <w:t>1.安装方式：线式。</w:t>
            </w:r>
            <w:r>
              <w:rPr>
                <w:rFonts w:hint="eastAsia" w:ascii="宋体" w:hAnsi="宋体" w:cs="宋体"/>
                <w:kern w:val="0"/>
                <w:sz w:val="20"/>
                <w:szCs w:val="20"/>
              </w:rPr>
              <w:br w:type="textWrapping"/>
            </w:r>
            <w:r>
              <w:rPr>
                <w:rFonts w:hint="eastAsia" w:ascii="宋体" w:hAnsi="宋体" w:cs="宋体"/>
                <w:kern w:val="0"/>
                <w:sz w:val="20"/>
                <w:szCs w:val="20"/>
              </w:rPr>
              <w:t>2.工作温度：-15℃~60℃。</w:t>
            </w:r>
            <w:r>
              <w:rPr>
                <w:rFonts w:hint="eastAsia" w:ascii="宋体" w:hAnsi="宋体" w:cs="宋体"/>
                <w:kern w:val="0"/>
                <w:sz w:val="20"/>
                <w:szCs w:val="20"/>
              </w:rPr>
              <w:br w:type="textWrapping"/>
            </w:r>
            <w:r>
              <w:rPr>
                <w:rFonts w:hint="eastAsia" w:ascii="宋体" w:hAnsi="宋体" w:cs="宋体"/>
                <w:kern w:val="0"/>
                <w:sz w:val="20"/>
                <w:szCs w:val="20"/>
              </w:rPr>
              <w:t>3.工作湿度：10％到95％(无凝露)。</w:t>
            </w:r>
            <w:r>
              <w:rPr>
                <w:rFonts w:hint="eastAsia" w:ascii="宋体" w:hAnsi="宋体" w:cs="宋体"/>
                <w:kern w:val="0"/>
                <w:sz w:val="20"/>
                <w:szCs w:val="20"/>
              </w:rPr>
              <w:br w:type="textWrapping"/>
            </w:r>
            <w:r>
              <w:rPr>
                <w:rFonts w:hint="eastAsia" w:ascii="宋体" w:hAnsi="宋体" w:cs="宋体"/>
                <w:kern w:val="0"/>
                <w:sz w:val="20"/>
                <w:szCs w:val="20"/>
              </w:rPr>
              <w:t>4.红外载波频率：38KHZ。</w:t>
            </w:r>
            <w:r>
              <w:rPr>
                <w:rFonts w:hint="eastAsia" w:ascii="宋体" w:hAnsi="宋体" w:cs="宋体"/>
                <w:kern w:val="0"/>
                <w:sz w:val="20"/>
                <w:szCs w:val="20"/>
              </w:rPr>
              <w:br w:type="textWrapping"/>
            </w:r>
            <w:r>
              <w:rPr>
                <w:rFonts w:hint="eastAsia" w:ascii="宋体" w:hAnsi="宋体" w:cs="宋体"/>
                <w:kern w:val="0"/>
                <w:sz w:val="20"/>
                <w:szCs w:val="20"/>
              </w:rPr>
              <w:t>5.继电器额定电流：24A。</w:t>
            </w:r>
            <w:r>
              <w:rPr>
                <w:rFonts w:hint="eastAsia" w:ascii="宋体" w:hAnsi="宋体" w:cs="宋体"/>
                <w:kern w:val="0"/>
                <w:sz w:val="20"/>
                <w:szCs w:val="20"/>
              </w:rPr>
              <w:br w:type="textWrapping"/>
            </w:r>
            <w:r>
              <w:rPr>
                <w:rFonts w:hint="eastAsia" w:ascii="宋体" w:hAnsi="宋体" w:cs="宋体"/>
                <w:kern w:val="0"/>
                <w:sz w:val="20"/>
                <w:szCs w:val="20"/>
              </w:rPr>
              <w:t>6.继电器额定电压：380V。</w:t>
            </w:r>
            <w:r>
              <w:rPr>
                <w:rFonts w:hint="eastAsia" w:ascii="宋体" w:hAnsi="宋体" w:cs="宋体"/>
                <w:kern w:val="0"/>
                <w:sz w:val="20"/>
                <w:szCs w:val="20"/>
              </w:rPr>
              <w:br w:type="textWrapping"/>
            </w:r>
            <w:r>
              <w:rPr>
                <w:rFonts w:hint="eastAsia" w:ascii="宋体" w:hAnsi="宋体" w:cs="宋体"/>
                <w:kern w:val="0"/>
                <w:sz w:val="20"/>
                <w:szCs w:val="20"/>
              </w:rPr>
              <w:t>7.通讯方式：无线4G通讯。</w:t>
            </w:r>
            <w:r>
              <w:rPr>
                <w:rFonts w:hint="eastAsia" w:ascii="宋体" w:hAnsi="宋体" w:cs="宋体"/>
                <w:kern w:val="0"/>
                <w:sz w:val="20"/>
                <w:szCs w:val="20"/>
              </w:rPr>
              <w:br w:type="textWrapping"/>
            </w:r>
            <w:r>
              <w:rPr>
                <w:rFonts w:hint="eastAsia" w:ascii="宋体" w:hAnsi="宋体" w:cs="宋体"/>
                <w:kern w:val="0"/>
                <w:sz w:val="20"/>
                <w:szCs w:val="20"/>
              </w:rPr>
              <w:t>8.控制方式：继电器通断输出控制，红外遥控码值发射控制。</w:t>
            </w:r>
            <w:r>
              <w:rPr>
                <w:rFonts w:hint="eastAsia" w:ascii="宋体" w:hAnsi="宋体" w:cs="宋体"/>
                <w:kern w:val="0"/>
                <w:sz w:val="20"/>
                <w:szCs w:val="20"/>
              </w:rPr>
              <w:br w:type="textWrapping"/>
            </w:r>
            <w:r>
              <w:rPr>
                <w:rFonts w:hint="eastAsia" w:ascii="宋体" w:hAnsi="宋体" w:cs="宋体"/>
                <w:kern w:val="0"/>
                <w:sz w:val="20"/>
                <w:szCs w:val="20"/>
              </w:rPr>
              <w:t>9.设备抗干扰等级：3级（IEC 61000-4-4:2012）</w:t>
            </w:r>
            <w:r>
              <w:rPr>
                <w:rFonts w:hint="eastAsia" w:ascii="宋体" w:hAnsi="宋体" w:cs="宋体"/>
                <w:kern w:val="0"/>
                <w:sz w:val="20"/>
                <w:szCs w:val="20"/>
              </w:rPr>
              <w:br w:type="textWrapping"/>
            </w:r>
            <w:r>
              <w:rPr>
                <w:rFonts w:hint="eastAsia" w:ascii="宋体" w:hAnsi="宋体" w:cs="宋体"/>
                <w:kern w:val="0"/>
                <w:sz w:val="20"/>
                <w:szCs w:val="20"/>
              </w:rPr>
              <w:t>10.显示：LED数码显示。</w:t>
            </w:r>
            <w:r>
              <w:rPr>
                <w:rFonts w:hint="eastAsia" w:ascii="宋体" w:hAnsi="宋体" w:cs="宋体"/>
                <w:kern w:val="0"/>
                <w:sz w:val="20"/>
                <w:szCs w:val="20"/>
              </w:rPr>
              <w:br w:type="textWrapping"/>
            </w:r>
            <w:r>
              <w:rPr>
                <w:rFonts w:hint="eastAsia" w:ascii="宋体" w:hAnsi="宋体" w:cs="宋体"/>
                <w:kern w:val="0"/>
                <w:sz w:val="20"/>
                <w:szCs w:val="20"/>
              </w:rPr>
              <w:t>管理平台：</w:t>
            </w:r>
            <w:r>
              <w:rPr>
                <w:rFonts w:hint="eastAsia" w:ascii="宋体" w:hAnsi="宋体" w:cs="宋体"/>
                <w:kern w:val="0"/>
                <w:sz w:val="20"/>
                <w:szCs w:val="20"/>
              </w:rPr>
              <w:br w:type="textWrapping"/>
            </w:r>
            <w:r>
              <w:rPr>
                <w:rFonts w:hint="eastAsia" w:ascii="宋体" w:hAnsi="宋体" w:cs="宋体"/>
                <w:kern w:val="0"/>
                <w:sz w:val="20"/>
                <w:szCs w:val="20"/>
              </w:rPr>
              <w:t>1.MQTT服务：可设置mqtt服务器地址、账号、登录密码信息；可设置主题格式、超时时间、心跳时间的通信规则。</w:t>
            </w:r>
            <w:r>
              <w:rPr>
                <w:rFonts w:hint="eastAsia" w:ascii="宋体" w:hAnsi="宋体" w:cs="宋体"/>
                <w:kern w:val="0"/>
                <w:sz w:val="20"/>
                <w:szCs w:val="20"/>
              </w:rPr>
              <w:br w:type="textWrapping"/>
            </w:r>
            <w:r>
              <w:rPr>
                <w:rFonts w:hint="eastAsia" w:ascii="宋体" w:hAnsi="宋体" w:cs="宋体"/>
                <w:kern w:val="0"/>
                <w:sz w:val="20"/>
                <w:szCs w:val="20"/>
              </w:rPr>
              <w:t>2.多种通讯格式兼容：支持设备联网方式可采用无线局域网、有线485网络、GPRS、wifi、以太网。</w:t>
            </w:r>
            <w:r>
              <w:rPr>
                <w:rFonts w:hint="eastAsia" w:ascii="宋体" w:hAnsi="宋体" w:cs="宋体"/>
                <w:kern w:val="0"/>
                <w:sz w:val="20"/>
                <w:szCs w:val="20"/>
              </w:rPr>
              <w:br w:type="textWrapping"/>
            </w:r>
            <w:r>
              <w:rPr>
                <w:rFonts w:hint="eastAsia" w:ascii="宋体" w:hAnsi="宋体" w:cs="宋体"/>
                <w:kern w:val="0"/>
                <w:sz w:val="20"/>
                <w:szCs w:val="20"/>
              </w:rPr>
              <w:t>3.图形化实时状态显示：支持每台空调对应一个状态块，状态块里包含空调名称、所在地的当前温度、光照度、空调当前的瞬时电流、电压、功率、空调累计用电量、空调累计用电时长。应用图标及颜色描述空调当前的状态，当前状态有运行状态、待机状态、断电状态。应用图标及颜色描述空调应用环境是否有人状态、AC360蜂鸣器开关状态、自控系统是否打开状态、当前自控系统应用的季节状态（夏季/冬季），应用颜色描述空调控制器的异常状态。</w:t>
            </w:r>
            <w:r>
              <w:rPr>
                <w:rFonts w:hint="eastAsia" w:ascii="宋体" w:hAnsi="宋体" w:cs="宋体"/>
                <w:kern w:val="0"/>
                <w:sz w:val="20"/>
                <w:szCs w:val="20"/>
              </w:rPr>
              <w:br w:type="textWrapping"/>
            </w:r>
            <w:r>
              <w:rPr>
                <w:rFonts w:hint="eastAsia" w:ascii="宋体" w:hAnsi="宋体" w:cs="宋体"/>
                <w:kern w:val="0"/>
                <w:sz w:val="20"/>
                <w:szCs w:val="20"/>
              </w:rPr>
              <w:t>4.图形化控制界面：可通过点击图形界面控制AC360的状态开关：继电器开关（接通或断开空调电源），自控系统功能开关，蜂鸣器开关、光敏传感器功能开关。</w:t>
            </w:r>
            <w:r>
              <w:rPr>
                <w:rFonts w:hint="eastAsia" w:ascii="宋体" w:hAnsi="宋体" w:cs="宋体"/>
                <w:kern w:val="0"/>
                <w:sz w:val="20"/>
                <w:szCs w:val="20"/>
              </w:rPr>
              <w:br w:type="textWrapping"/>
            </w:r>
            <w:r>
              <w:rPr>
                <w:rFonts w:hint="eastAsia" w:ascii="宋体" w:hAnsi="宋体" w:cs="宋体"/>
                <w:kern w:val="0"/>
                <w:sz w:val="20"/>
                <w:szCs w:val="20"/>
              </w:rPr>
              <w:t>5.可视报警视图：可分时、分组、分设备、分故障类型查询设备报警信息，包括温度传感器异常报警，设备通讯异常报警。</w:t>
            </w:r>
            <w:r>
              <w:rPr>
                <w:rFonts w:hint="eastAsia" w:ascii="宋体" w:hAnsi="宋体" w:cs="宋体"/>
                <w:kern w:val="0"/>
                <w:sz w:val="20"/>
                <w:szCs w:val="20"/>
              </w:rPr>
              <w:br w:type="textWrapping"/>
            </w:r>
            <w:r>
              <w:rPr>
                <w:rFonts w:hint="eastAsia" w:ascii="宋体" w:hAnsi="宋体" w:cs="宋体"/>
                <w:kern w:val="0"/>
                <w:sz w:val="20"/>
                <w:szCs w:val="20"/>
              </w:rPr>
              <w:t>6.远程定时控制：可通过定时控制界面，控制系统在设定的时间定时空调开关机、空调送电或断电，以各分组设备为设置对象，每条定时开关独立执行。</w:t>
            </w:r>
            <w:r>
              <w:rPr>
                <w:rFonts w:hint="eastAsia" w:ascii="宋体" w:hAnsi="宋体" w:cs="宋体"/>
                <w:kern w:val="0"/>
                <w:sz w:val="20"/>
                <w:szCs w:val="20"/>
              </w:rPr>
              <w:br w:type="textWrapping"/>
            </w:r>
            <w:r>
              <w:rPr>
                <w:rFonts w:hint="eastAsia" w:ascii="宋体" w:hAnsi="宋体" w:cs="宋体"/>
                <w:kern w:val="0"/>
                <w:sz w:val="20"/>
                <w:szCs w:val="20"/>
              </w:rPr>
              <w:t>7.远程手动控制：可通过PC端对空调进行分组或单个设备远程红外及电源控控制，红外控制包括开关空调、调节空调运行模式、调节空调温度。</w:t>
            </w:r>
            <w:r>
              <w:rPr>
                <w:rFonts w:hint="eastAsia" w:ascii="宋体" w:hAnsi="宋体" w:cs="宋体"/>
                <w:kern w:val="0"/>
                <w:sz w:val="20"/>
                <w:szCs w:val="20"/>
              </w:rPr>
              <w:br w:type="textWrapping"/>
            </w:r>
            <w:r>
              <w:rPr>
                <w:rFonts w:hint="eastAsia" w:ascii="宋体" w:hAnsi="宋体" w:cs="宋体"/>
                <w:kern w:val="0"/>
                <w:sz w:val="20"/>
                <w:szCs w:val="20"/>
              </w:rPr>
              <w:t>▲8.红外码库：可配置红外码库；选择品牌空调编码、空调品牌、遥控器型号、设备型号；支持一键匹配空调，通过分析学习接收的红外码值，自动匹配出相应的遥控器型号，并通过码库中的参数可控制空调的开关、模式、温度设置、风向、风速信息；可在线设置所连接码库服务器的地址、密匙、解析方式。</w:t>
            </w:r>
            <w:r>
              <w:rPr>
                <w:rFonts w:hint="eastAsia" w:ascii="宋体" w:hAnsi="宋体" w:cs="宋体"/>
                <w:kern w:val="0"/>
                <w:sz w:val="20"/>
                <w:szCs w:val="20"/>
              </w:rPr>
              <w:br w:type="textWrapping"/>
            </w:r>
            <w:r>
              <w:rPr>
                <w:rFonts w:hint="eastAsia" w:ascii="宋体" w:hAnsi="宋体" w:cs="宋体"/>
                <w:kern w:val="0"/>
                <w:sz w:val="20"/>
                <w:szCs w:val="20"/>
              </w:rPr>
              <w:t>▲9.红外码库自动匹配功能：可根据设备上报的红外码值自动匹配红外码库内适用的红外码值，并通过匹配到的红外码值控制空调。</w:t>
            </w:r>
            <w:r>
              <w:rPr>
                <w:rFonts w:hint="eastAsia" w:ascii="宋体" w:hAnsi="宋体" w:cs="宋体"/>
                <w:kern w:val="0"/>
                <w:sz w:val="20"/>
                <w:szCs w:val="20"/>
              </w:rPr>
              <w:br w:type="textWrapping"/>
            </w:r>
            <w:r>
              <w:rPr>
                <w:rFonts w:hint="eastAsia" w:ascii="宋体" w:hAnsi="宋体" w:cs="宋体"/>
                <w:kern w:val="0"/>
                <w:sz w:val="20"/>
                <w:szCs w:val="20"/>
              </w:rPr>
              <w:t>▲10.码库注册：可管理添加码库、码库链接地址。</w:t>
            </w:r>
            <w:r>
              <w:rPr>
                <w:rFonts w:hint="eastAsia" w:ascii="宋体" w:hAnsi="宋体" w:cs="宋体"/>
                <w:kern w:val="0"/>
                <w:sz w:val="20"/>
                <w:szCs w:val="20"/>
              </w:rPr>
              <w:br w:type="textWrapping"/>
            </w:r>
            <w:r>
              <w:rPr>
                <w:rFonts w:hint="eastAsia" w:ascii="宋体" w:hAnsi="宋体" w:cs="宋体"/>
                <w:kern w:val="0"/>
                <w:sz w:val="20"/>
                <w:szCs w:val="20"/>
              </w:rPr>
              <w:t>11.用电管理开关：可对设备电量管理功能的开启、关闭，开启功能后空调使用受可用电量的限制。</w:t>
            </w:r>
            <w:r>
              <w:rPr>
                <w:rFonts w:hint="eastAsia" w:ascii="宋体" w:hAnsi="宋体" w:cs="宋体"/>
                <w:kern w:val="0"/>
                <w:sz w:val="20"/>
                <w:szCs w:val="20"/>
              </w:rPr>
              <w:br w:type="textWrapping"/>
            </w:r>
            <w:r>
              <w:rPr>
                <w:rFonts w:hint="eastAsia" w:ascii="宋体" w:hAnsi="宋体" w:cs="宋体"/>
                <w:kern w:val="0"/>
                <w:sz w:val="20"/>
                <w:szCs w:val="20"/>
              </w:rPr>
              <w:t>12.电量充值：可对设备可用电量进行充值、撤销充值以及充值记录查询。</w:t>
            </w:r>
            <w:r>
              <w:rPr>
                <w:rFonts w:hint="eastAsia" w:ascii="宋体" w:hAnsi="宋体" w:cs="宋体"/>
                <w:kern w:val="0"/>
                <w:sz w:val="20"/>
                <w:szCs w:val="20"/>
              </w:rPr>
              <w:br w:type="textWrapping"/>
            </w:r>
            <w:r>
              <w:rPr>
                <w:rFonts w:hint="eastAsia" w:ascii="宋体" w:hAnsi="宋体" w:cs="宋体"/>
                <w:kern w:val="0"/>
                <w:sz w:val="20"/>
                <w:szCs w:val="20"/>
              </w:rPr>
              <w:t>13.红外学习功能：支持当码库中没有匹配到红外码值时，可以学习空调原配遥控器的红外码值，并且可以利用学习到的红外码值控制空调的开关，调整温度、模式。</w:t>
            </w:r>
            <w:r>
              <w:rPr>
                <w:rFonts w:hint="eastAsia" w:ascii="宋体" w:hAnsi="宋体" w:cs="宋体"/>
                <w:kern w:val="0"/>
                <w:sz w:val="20"/>
                <w:szCs w:val="20"/>
              </w:rPr>
              <w:br w:type="textWrapping"/>
            </w:r>
            <w:r>
              <w:rPr>
                <w:rFonts w:hint="eastAsia" w:ascii="宋体" w:hAnsi="宋体" w:cs="宋体"/>
                <w:kern w:val="0"/>
                <w:sz w:val="20"/>
                <w:szCs w:val="20"/>
              </w:rPr>
              <w:t>14.设备多级分组管理：可设置一到五级分组管理，操作时可对特定组的设备统一管理。</w:t>
            </w:r>
            <w:r>
              <w:rPr>
                <w:rFonts w:hint="eastAsia" w:ascii="宋体" w:hAnsi="宋体" w:cs="宋体"/>
                <w:kern w:val="0"/>
                <w:sz w:val="20"/>
                <w:szCs w:val="20"/>
              </w:rPr>
              <w:br w:type="textWrapping"/>
            </w:r>
            <w:r>
              <w:rPr>
                <w:rFonts w:hint="eastAsia" w:ascii="宋体" w:hAnsi="宋体" w:cs="宋体"/>
                <w:kern w:val="0"/>
                <w:sz w:val="20"/>
                <w:szCs w:val="20"/>
              </w:rPr>
              <w:t>▲15.固件升级：可远程批量升级设备固件程序。</w:t>
            </w:r>
            <w:r>
              <w:rPr>
                <w:rFonts w:hint="eastAsia" w:ascii="宋体" w:hAnsi="宋体" w:cs="宋体"/>
                <w:kern w:val="0"/>
                <w:sz w:val="20"/>
                <w:szCs w:val="20"/>
              </w:rPr>
              <w:br w:type="textWrapping"/>
            </w:r>
            <w:r>
              <w:rPr>
                <w:rFonts w:hint="eastAsia" w:ascii="宋体" w:hAnsi="宋体" w:cs="宋体"/>
                <w:kern w:val="0"/>
                <w:sz w:val="20"/>
                <w:szCs w:val="20"/>
              </w:rPr>
              <w:t>16.采集数据查询：可查询各空调数据定时、手动采集到的数据，以列表形式显示，可选择时间段、分组筛选。后台自动屏蔽连续多次采集到一样的数据，只保留一条。</w:t>
            </w:r>
            <w:r>
              <w:rPr>
                <w:rFonts w:hint="eastAsia" w:ascii="宋体" w:hAnsi="宋体" w:cs="宋体"/>
                <w:kern w:val="0"/>
                <w:sz w:val="20"/>
                <w:szCs w:val="20"/>
              </w:rPr>
              <w:br w:type="textWrapping"/>
            </w:r>
            <w:r>
              <w:rPr>
                <w:rFonts w:hint="eastAsia" w:ascii="宋体" w:hAnsi="宋体" w:cs="宋体"/>
                <w:kern w:val="0"/>
                <w:sz w:val="20"/>
                <w:szCs w:val="20"/>
              </w:rPr>
              <w:t>17.图形化能源报表：可统计总体、各个分组、各个设备的用电情况，包括用电量以用电时长、瞬时功率、能源分析，并进行节电率分析。</w:t>
            </w:r>
            <w:r>
              <w:rPr>
                <w:rFonts w:hint="eastAsia" w:ascii="宋体" w:hAnsi="宋体" w:cs="宋体"/>
                <w:kern w:val="0"/>
                <w:sz w:val="20"/>
                <w:szCs w:val="20"/>
              </w:rPr>
              <w:br w:type="textWrapping"/>
            </w:r>
            <w:r>
              <w:rPr>
                <w:rFonts w:hint="eastAsia" w:ascii="宋体" w:hAnsi="宋体" w:cs="宋体"/>
                <w:kern w:val="0"/>
                <w:sz w:val="20"/>
                <w:szCs w:val="20"/>
              </w:rPr>
              <w:t>18.设备管理：可添加、删除设备，设置设备的名称、连接的网关、通信地址、设备类型、分组的信息。</w:t>
            </w:r>
            <w:r>
              <w:rPr>
                <w:rFonts w:hint="eastAsia" w:ascii="宋体" w:hAnsi="宋体" w:cs="宋体"/>
                <w:kern w:val="0"/>
                <w:sz w:val="20"/>
                <w:szCs w:val="20"/>
              </w:rPr>
              <w:br w:type="textWrapping"/>
            </w:r>
            <w:r>
              <w:rPr>
                <w:rFonts w:hint="eastAsia" w:ascii="宋体" w:hAnsi="宋体" w:cs="宋体"/>
                <w:kern w:val="0"/>
                <w:sz w:val="20"/>
                <w:szCs w:val="20"/>
              </w:rPr>
              <w:t>19.产品管理：可设置、添加产品，可设置产品信息，包括产品类型、品牌、对应遥控器型号（自动匹配到码库）。</w:t>
            </w:r>
            <w:r>
              <w:rPr>
                <w:rFonts w:hint="eastAsia" w:ascii="宋体" w:hAnsi="宋体" w:cs="宋体"/>
                <w:kern w:val="0"/>
                <w:sz w:val="20"/>
                <w:szCs w:val="20"/>
              </w:rPr>
              <w:br w:type="textWrapping"/>
            </w:r>
            <w:r>
              <w:rPr>
                <w:rFonts w:hint="eastAsia" w:ascii="宋体" w:hAnsi="宋体" w:cs="宋体"/>
                <w:kern w:val="0"/>
                <w:sz w:val="20"/>
                <w:szCs w:val="20"/>
              </w:rPr>
              <w:t>20.网关管理：可添加、删除、批量导入RS485、MQTT网关，网关中可设置通信规则、红外发射延迟时间、红外验证时间（发送红外后智能验证是否发送成功）、判断超时时间、通信失败重发次数、分包大小的信息。</w:t>
            </w:r>
            <w:r>
              <w:rPr>
                <w:rFonts w:hint="eastAsia" w:ascii="宋体" w:hAnsi="宋体" w:cs="宋体"/>
                <w:kern w:val="0"/>
                <w:sz w:val="20"/>
                <w:szCs w:val="20"/>
              </w:rPr>
              <w:br w:type="textWrapping"/>
            </w:r>
            <w:r>
              <w:rPr>
                <w:rFonts w:hint="eastAsia" w:ascii="宋体" w:hAnsi="宋体" w:cs="宋体"/>
                <w:kern w:val="0"/>
                <w:sz w:val="20"/>
                <w:szCs w:val="20"/>
              </w:rPr>
              <w:t>21.设置无人关机与继电器断开时间间隔设置：支持设备断开继电器时，先判断空调启停状态，若开启，发送红外关机指令，延时“红外关机与继电器断开时间间隔”所设置的时间后，再断开继电器。</w:t>
            </w:r>
            <w:r>
              <w:rPr>
                <w:rFonts w:hint="eastAsia" w:ascii="宋体" w:hAnsi="宋体" w:cs="宋体"/>
                <w:kern w:val="0"/>
                <w:sz w:val="20"/>
                <w:szCs w:val="20"/>
              </w:rPr>
              <w:br w:type="textWrapping"/>
            </w:r>
            <w:r>
              <w:rPr>
                <w:rFonts w:hint="eastAsia" w:ascii="宋体" w:hAnsi="宋体" w:cs="宋体"/>
                <w:kern w:val="0"/>
                <w:sz w:val="20"/>
                <w:szCs w:val="20"/>
              </w:rPr>
              <w:t>22.冬夏季温度阀值、启停探测阀值设置：支持设备上电后进行冬夏季判断，大于设置的阈值时，判断为夏季，小于设置的阈值时，判断为冬季。设备通过检测负载的电流，并与设置的阈值作比较，判断所接负载是启动还是关闭；检测的电流大于设置的阈值，判断为启动；检测的电流小于设置的阈值，判断为关闭。</w:t>
            </w:r>
            <w:r>
              <w:rPr>
                <w:rFonts w:hint="eastAsia" w:ascii="宋体" w:hAnsi="宋体" w:cs="宋体"/>
                <w:kern w:val="0"/>
                <w:sz w:val="20"/>
                <w:szCs w:val="20"/>
              </w:rPr>
              <w:br w:type="textWrapping"/>
            </w:r>
            <w:r>
              <w:rPr>
                <w:rFonts w:hint="eastAsia" w:ascii="宋体" w:hAnsi="宋体" w:cs="宋体"/>
                <w:kern w:val="0"/>
                <w:sz w:val="20"/>
                <w:szCs w:val="20"/>
              </w:rPr>
              <w:t>23.自控采集间隔时间设置：支持开启自控模式时，采集一次温度，温度将持续保持“自控采集间隔时间”所设置的时间，之后再次采集温度，再持续保持所设置的时间。</w:t>
            </w:r>
            <w:r>
              <w:rPr>
                <w:rFonts w:hint="eastAsia" w:ascii="宋体" w:hAnsi="宋体" w:cs="宋体"/>
                <w:kern w:val="0"/>
                <w:sz w:val="20"/>
                <w:szCs w:val="20"/>
              </w:rPr>
              <w:br w:type="textWrapping"/>
            </w:r>
            <w:r>
              <w:rPr>
                <w:rFonts w:hint="eastAsia" w:ascii="宋体" w:hAnsi="宋体" w:cs="宋体"/>
                <w:kern w:val="0"/>
                <w:sz w:val="20"/>
                <w:szCs w:val="20"/>
              </w:rPr>
              <w:t>24.遥控密码设置：管理员通过密码激活遥控器，并进行使用时，并可更改设备的遥控器密码。</w:t>
            </w:r>
            <w:r>
              <w:rPr>
                <w:rFonts w:hint="eastAsia" w:ascii="宋体" w:hAnsi="宋体" w:cs="宋体"/>
                <w:kern w:val="0"/>
                <w:sz w:val="20"/>
                <w:szCs w:val="20"/>
              </w:rPr>
              <w:br w:type="textWrapping"/>
            </w:r>
            <w:r>
              <w:rPr>
                <w:rFonts w:hint="eastAsia" w:ascii="宋体" w:hAnsi="宋体" w:cs="宋体"/>
                <w:kern w:val="0"/>
                <w:sz w:val="20"/>
                <w:szCs w:val="20"/>
              </w:rPr>
              <w:t>25.自控参数设置：可开启自控模式，设备会按照所设置的自控参数进行运作；自控参数可以设置运行时段、冬夏季上下限、控制模式。</w:t>
            </w:r>
            <w:r>
              <w:rPr>
                <w:rFonts w:hint="eastAsia" w:ascii="宋体" w:hAnsi="宋体" w:cs="宋体"/>
                <w:kern w:val="0"/>
                <w:sz w:val="20"/>
                <w:szCs w:val="20"/>
              </w:rPr>
              <w:br w:type="textWrapping"/>
            </w:r>
            <w:r>
              <w:rPr>
                <w:rFonts w:hint="eastAsia" w:ascii="宋体" w:hAnsi="宋体" w:cs="宋体"/>
                <w:kern w:val="0"/>
                <w:sz w:val="20"/>
                <w:szCs w:val="20"/>
              </w:rPr>
              <w:t>26.全局设置：可设置空调温度、电压、电流报警数值，冬夏季时间段设置以及软件对设备自动信息的采集时间间隔进行设置值。</w:t>
            </w:r>
            <w:r>
              <w:rPr>
                <w:rFonts w:hint="eastAsia" w:ascii="宋体" w:hAnsi="宋体" w:cs="宋体"/>
                <w:kern w:val="0"/>
                <w:sz w:val="20"/>
                <w:szCs w:val="20"/>
              </w:rPr>
              <w:br w:type="textWrapping"/>
            </w:r>
            <w:r>
              <w:rPr>
                <w:rFonts w:hint="eastAsia" w:ascii="宋体" w:hAnsi="宋体" w:cs="宋体"/>
                <w:kern w:val="0"/>
                <w:sz w:val="20"/>
                <w:szCs w:val="20"/>
              </w:rPr>
              <w:t>27.定时/策略控制：可填写控制策略（远程根据分组、时间、温度来管理空调的开关）。可在固定时间段内、对所选固定区域空调设置温度控制策略，控制空调运行温度。</w:t>
            </w:r>
            <w:r>
              <w:rPr>
                <w:rFonts w:hint="eastAsia" w:ascii="宋体" w:hAnsi="宋体" w:cs="宋体"/>
                <w:kern w:val="0"/>
                <w:sz w:val="20"/>
                <w:szCs w:val="20"/>
              </w:rPr>
              <w:br w:type="textWrapping"/>
            </w:r>
            <w:r>
              <w:rPr>
                <w:rFonts w:hint="eastAsia" w:ascii="宋体" w:hAnsi="宋体" w:cs="宋体"/>
                <w:kern w:val="0"/>
                <w:sz w:val="20"/>
                <w:szCs w:val="20"/>
              </w:rPr>
              <w:t>▲28.统一管理平台：确保分体空调、多联机及人体传感器等设备在同一软件平台中展示、操控，并可联动运行，提升管理效率与系统整体可控性。</w:t>
            </w:r>
          </w:p>
        </w:tc>
        <w:tc>
          <w:tcPr>
            <w:tcW w:w="233" w:type="pct"/>
            <w:tcBorders>
              <w:top w:val="nil"/>
              <w:left w:val="nil"/>
              <w:bottom w:val="single" w:color="000000" w:sz="4" w:space="0"/>
              <w:right w:val="single" w:color="000000" w:sz="4" w:space="0"/>
            </w:tcBorders>
            <w:vAlign w:val="center"/>
          </w:tcPr>
          <w:p w14:paraId="4835740F">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323" w:type="pct"/>
            <w:tcBorders>
              <w:top w:val="nil"/>
              <w:left w:val="nil"/>
              <w:bottom w:val="single" w:color="000000" w:sz="4" w:space="0"/>
              <w:right w:val="single" w:color="000000" w:sz="4" w:space="0"/>
            </w:tcBorders>
            <w:vAlign w:val="center"/>
          </w:tcPr>
          <w:p w14:paraId="45B23712">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172</w:t>
            </w:r>
          </w:p>
        </w:tc>
        <w:tc>
          <w:tcPr>
            <w:tcW w:w="289" w:type="pct"/>
            <w:tcBorders>
              <w:top w:val="nil"/>
              <w:left w:val="nil"/>
              <w:bottom w:val="single" w:color="000000" w:sz="4" w:space="0"/>
              <w:right w:val="single" w:color="000000" w:sz="4" w:space="0"/>
            </w:tcBorders>
            <w:vAlign w:val="center"/>
          </w:tcPr>
          <w:p w14:paraId="60F77C49">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1167F90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　</w:t>
            </w:r>
          </w:p>
        </w:tc>
        <w:tc>
          <w:tcPr>
            <w:tcW w:w="374" w:type="pct"/>
            <w:tcBorders>
              <w:top w:val="nil"/>
              <w:left w:val="nil"/>
              <w:bottom w:val="single" w:color="000000" w:sz="4" w:space="0"/>
              <w:right w:val="single" w:color="000000" w:sz="4" w:space="0"/>
            </w:tcBorders>
            <w:vAlign w:val="center"/>
          </w:tcPr>
          <w:p w14:paraId="5CCA3D37">
            <w:pPr>
              <w:widowControl/>
              <w:spacing w:after="0" w:line="240" w:lineRule="auto"/>
              <w:jc w:val="right"/>
              <w:rPr>
                <w:rFonts w:hint="eastAsia" w:ascii="宋体" w:hAnsi="宋体" w:cs="宋体"/>
                <w:kern w:val="0"/>
                <w:sz w:val="20"/>
                <w:szCs w:val="20"/>
              </w:rPr>
            </w:pPr>
            <w:r>
              <w:rPr>
                <w:rFonts w:hint="eastAsia" w:ascii="宋体" w:hAnsi="宋体" w:cs="宋体"/>
                <w:kern w:val="0"/>
                <w:sz w:val="20"/>
                <w:szCs w:val="20"/>
              </w:rPr>
              <w:t>　</w:t>
            </w:r>
          </w:p>
        </w:tc>
        <w:tc>
          <w:tcPr>
            <w:tcW w:w="375" w:type="pct"/>
            <w:tcBorders>
              <w:top w:val="nil"/>
              <w:left w:val="nil"/>
              <w:bottom w:val="single" w:color="000000" w:sz="4" w:space="0"/>
              <w:right w:val="single" w:color="000000" w:sz="4" w:space="0"/>
            </w:tcBorders>
            <w:vAlign w:val="center"/>
          </w:tcPr>
          <w:p w14:paraId="559B4A7C">
            <w:pPr>
              <w:widowControl/>
              <w:spacing w:after="0" w:line="240" w:lineRule="auto"/>
              <w:jc w:val="right"/>
              <w:rPr>
                <w:rFonts w:hint="eastAsia" w:ascii="宋体" w:hAnsi="宋体" w:cs="宋体"/>
                <w:kern w:val="0"/>
                <w:sz w:val="20"/>
                <w:szCs w:val="20"/>
              </w:rPr>
            </w:pPr>
            <w:r>
              <w:rPr>
                <w:rFonts w:hint="eastAsia" w:ascii="宋体" w:hAnsi="宋体" w:cs="宋体"/>
                <w:kern w:val="0"/>
                <w:sz w:val="20"/>
                <w:szCs w:val="20"/>
              </w:rPr>
              <w:t>　</w:t>
            </w:r>
          </w:p>
        </w:tc>
        <w:tc>
          <w:tcPr>
            <w:tcW w:w="78" w:type="pct"/>
            <w:vAlign w:val="center"/>
          </w:tcPr>
          <w:p w14:paraId="41855947">
            <w:pPr>
              <w:widowControl/>
              <w:spacing w:after="0" w:line="240" w:lineRule="auto"/>
              <w:jc w:val="left"/>
              <w:rPr>
                <w:rFonts w:eastAsia="Times New Roman"/>
                <w:kern w:val="0"/>
                <w:sz w:val="20"/>
                <w:szCs w:val="20"/>
              </w:rPr>
            </w:pPr>
          </w:p>
        </w:tc>
      </w:tr>
      <w:tr w14:paraId="6366FC9A">
        <w:tblPrEx>
          <w:tblCellMar>
            <w:top w:w="0" w:type="dxa"/>
            <w:left w:w="108" w:type="dxa"/>
            <w:bottom w:w="0" w:type="dxa"/>
            <w:right w:w="108" w:type="dxa"/>
          </w:tblCellMar>
        </w:tblPrEx>
        <w:trPr>
          <w:trHeight w:val="1800" w:hRule="atLeast"/>
        </w:trPr>
        <w:tc>
          <w:tcPr>
            <w:tcW w:w="264" w:type="pct"/>
            <w:tcBorders>
              <w:top w:val="nil"/>
              <w:left w:val="single" w:color="000000" w:sz="4" w:space="0"/>
              <w:bottom w:val="single" w:color="000000" w:sz="4" w:space="0"/>
              <w:right w:val="single" w:color="000000" w:sz="4" w:space="0"/>
            </w:tcBorders>
            <w:vAlign w:val="center"/>
          </w:tcPr>
          <w:p w14:paraId="3B63F9DC">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w:t>
            </w:r>
          </w:p>
        </w:tc>
        <w:tc>
          <w:tcPr>
            <w:tcW w:w="491" w:type="pct"/>
            <w:tcBorders>
              <w:top w:val="nil"/>
              <w:left w:val="nil"/>
              <w:bottom w:val="single" w:color="000000" w:sz="4" w:space="0"/>
              <w:right w:val="single" w:color="000000" w:sz="4" w:space="0"/>
            </w:tcBorders>
            <w:vAlign w:val="center"/>
          </w:tcPr>
          <w:p w14:paraId="05753EBF">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末端空调温控器</w:t>
            </w:r>
          </w:p>
        </w:tc>
        <w:tc>
          <w:tcPr>
            <w:tcW w:w="2033" w:type="pct"/>
            <w:tcBorders>
              <w:top w:val="nil"/>
              <w:left w:val="nil"/>
              <w:bottom w:val="single" w:color="000000" w:sz="4" w:space="0"/>
              <w:right w:val="single" w:color="000000" w:sz="4" w:space="0"/>
            </w:tcBorders>
            <w:vAlign w:val="center"/>
          </w:tcPr>
          <w:p w14:paraId="7DF4E659">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基本参数：</w:t>
            </w:r>
            <w:r>
              <w:rPr>
                <w:rFonts w:hint="eastAsia" w:ascii="宋体" w:hAnsi="宋体" w:cs="宋体"/>
                <w:kern w:val="0"/>
                <w:sz w:val="20"/>
                <w:szCs w:val="20"/>
              </w:rPr>
              <w:br w:type="textWrapping"/>
            </w:r>
            <w:r>
              <w:rPr>
                <w:rFonts w:hint="eastAsia" w:ascii="宋体" w:hAnsi="宋体" w:cs="宋体"/>
                <w:kern w:val="0"/>
                <w:sz w:val="20"/>
                <w:szCs w:val="20"/>
              </w:rPr>
              <w:t>1.适用：二管制水系统末端的风机盘管、电动门阀或球阀的工作状态控制</w:t>
            </w:r>
            <w:r>
              <w:rPr>
                <w:rFonts w:hint="eastAsia" w:ascii="宋体" w:hAnsi="宋体" w:cs="宋体"/>
                <w:kern w:val="0"/>
                <w:sz w:val="20"/>
                <w:szCs w:val="20"/>
              </w:rPr>
              <w:br w:type="textWrapping"/>
            </w:r>
            <w:r>
              <w:rPr>
                <w:rFonts w:hint="eastAsia" w:ascii="宋体" w:hAnsi="宋体" w:cs="宋体"/>
                <w:kern w:val="0"/>
                <w:sz w:val="20"/>
                <w:szCs w:val="20"/>
              </w:rPr>
              <w:t>2.额定电压：220V</w:t>
            </w:r>
            <w:r>
              <w:rPr>
                <w:rFonts w:hint="eastAsia" w:ascii="宋体" w:hAnsi="宋体" w:cs="宋体"/>
                <w:kern w:val="0"/>
                <w:sz w:val="20"/>
                <w:szCs w:val="20"/>
              </w:rPr>
              <w:br w:type="textWrapping"/>
            </w:r>
            <w:r>
              <w:rPr>
                <w:rFonts w:hint="eastAsia" w:ascii="宋体" w:hAnsi="宋体" w:cs="宋体"/>
                <w:kern w:val="0"/>
                <w:sz w:val="20"/>
                <w:szCs w:val="20"/>
              </w:rPr>
              <w:t>3.待机功耗：≤1W</w:t>
            </w:r>
            <w:r>
              <w:rPr>
                <w:rFonts w:hint="eastAsia" w:ascii="宋体" w:hAnsi="宋体" w:cs="宋体"/>
                <w:kern w:val="0"/>
                <w:sz w:val="20"/>
                <w:szCs w:val="20"/>
              </w:rPr>
              <w:br w:type="textWrapping"/>
            </w:r>
            <w:r>
              <w:rPr>
                <w:rFonts w:hint="eastAsia" w:ascii="宋体" w:hAnsi="宋体" w:cs="宋体"/>
                <w:kern w:val="0"/>
                <w:sz w:val="20"/>
                <w:szCs w:val="20"/>
              </w:rPr>
              <w:t>4.重量：约 0.2kg</w:t>
            </w:r>
            <w:r>
              <w:rPr>
                <w:rFonts w:hint="eastAsia" w:ascii="宋体" w:hAnsi="宋体" w:cs="宋体"/>
                <w:kern w:val="0"/>
                <w:sz w:val="20"/>
                <w:szCs w:val="20"/>
              </w:rPr>
              <w:br w:type="textWrapping"/>
            </w:r>
            <w:r>
              <w:rPr>
                <w:rFonts w:hint="eastAsia" w:ascii="宋体" w:hAnsi="宋体" w:cs="宋体"/>
                <w:kern w:val="0"/>
                <w:sz w:val="20"/>
                <w:szCs w:val="20"/>
              </w:rPr>
              <w:t>5.工作环境：温度-15℃-+65℃；湿度 10%～95%（无凝露）</w:t>
            </w:r>
            <w:r>
              <w:rPr>
                <w:rFonts w:hint="eastAsia" w:ascii="宋体" w:hAnsi="宋体" w:cs="宋体"/>
                <w:kern w:val="0"/>
                <w:sz w:val="20"/>
                <w:szCs w:val="20"/>
              </w:rPr>
              <w:br w:type="textWrapping"/>
            </w:r>
            <w:r>
              <w:rPr>
                <w:rFonts w:hint="eastAsia" w:ascii="宋体" w:hAnsi="宋体" w:cs="宋体"/>
                <w:kern w:val="0"/>
                <w:sz w:val="20"/>
                <w:szCs w:val="20"/>
              </w:rPr>
              <w:t>6.通讯接口：4G</w:t>
            </w:r>
            <w:r>
              <w:rPr>
                <w:rFonts w:hint="eastAsia" w:ascii="宋体" w:hAnsi="宋体" w:cs="宋体"/>
                <w:kern w:val="0"/>
                <w:sz w:val="20"/>
                <w:szCs w:val="20"/>
              </w:rPr>
              <w:br w:type="textWrapping"/>
            </w:r>
            <w:r>
              <w:rPr>
                <w:rFonts w:hint="eastAsia" w:ascii="宋体" w:hAnsi="宋体" w:cs="宋体"/>
                <w:kern w:val="0"/>
                <w:sz w:val="20"/>
                <w:szCs w:val="20"/>
              </w:rPr>
              <w:t>7.继电器的额定负载：风机：5A，水阀：3A</w:t>
            </w:r>
            <w:r>
              <w:rPr>
                <w:rFonts w:hint="eastAsia" w:ascii="宋体" w:hAnsi="宋体" w:cs="宋体"/>
                <w:kern w:val="0"/>
                <w:sz w:val="20"/>
                <w:szCs w:val="20"/>
              </w:rPr>
              <w:br w:type="textWrapping"/>
            </w:r>
            <w:r>
              <w:rPr>
                <w:rFonts w:hint="eastAsia" w:ascii="宋体" w:hAnsi="宋体" w:cs="宋体"/>
                <w:kern w:val="0"/>
                <w:sz w:val="20"/>
                <w:szCs w:val="20"/>
              </w:rPr>
              <w:t>8.显示：液晶显示屏</w:t>
            </w:r>
            <w:r>
              <w:rPr>
                <w:rFonts w:hint="eastAsia" w:ascii="宋体" w:hAnsi="宋体" w:cs="宋体"/>
                <w:kern w:val="0"/>
                <w:sz w:val="20"/>
                <w:szCs w:val="20"/>
              </w:rPr>
              <w:br w:type="textWrapping"/>
            </w:r>
            <w:r>
              <w:rPr>
                <w:rFonts w:hint="eastAsia" w:ascii="宋体" w:hAnsi="宋体" w:cs="宋体"/>
                <w:kern w:val="0"/>
                <w:sz w:val="20"/>
                <w:szCs w:val="20"/>
              </w:rPr>
              <w:t>显示内容：</w:t>
            </w:r>
            <w:r>
              <w:rPr>
                <w:rFonts w:hint="eastAsia" w:ascii="宋体" w:hAnsi="宋体" w:cs="宋体"/>
                <w:kern w:val="0"/>
                <w:sz w:val="20"/>
                <w:szCs w:val="20"/>
              </w:rPr>
              <w:br w:type="textWrapping"/>
            </w:r>
            <w:r>
              <w:rPr>
                <w:rFonts w:hint="eastAsia" w:ascii="宋体" w:hAnsi="宋体" w:cs="宋体"/>
                <w:kern w:val="0"/>
                <w:sz w:val="20"/>
                <w:szCs w:val="20"/>
              </w:rPr>
              <w:t>风机风速（低速、中速、高速或自动） 开机/关机键（ ）</w:t>
            </w:r>
            <w:r>
              <w:rPr>
                <w:rFonts w:hint="eastAsia" w:ascii="宋体" w:hAnsi="宋体" w:cs="宋体"/>
                <w:kern w:val="0"/>
                <w:sz w:val="20"/>
                <w:szCs w:val="20"/>
              </w:rPr>
              <w:br w:type="textWrapping"/>
            </w:r>
            <w:r>
              <w:rPr>
                <w:rFonts w:hint="eastAsia" w:ascii="宋体" w:hAnsi="宋体" w:cs="宋体"/>
                <w:kern w:val="0"/>
                <w:sz w:val="20"/>
                <w:szCs w:val="20"/>
              </w:rPr>
              <w:t>设置温度显示（SET TEMP） 模式转换键（ ）</w:t>
            </w:r>
            <w:r>
              <w:rPr>
                <w:rFonts w:hint="eastAsia" w:ascii="宋体" w:hAnsi="宋体" w:cs="宋体"/>
                <w:kern w:val="0"/>
                <w:sz w:val="20"/>
                <w:szCs w:val="20"/>
              </w:rPr>
              <w:br w:type="textWrapping"/>
            </w:r>
            <w:r>
              <w:rPr>
                <w:rFonts w:hint="eastAsia" w:ascii="宋体" w:hAnsi="宋体" w:cs="宋体"/>
                <w:kern w:val="0"/>
                <w:sz w:val="20"/>
                <w:szCs w:val="20"/>
              </w:rPr>
              <w:t>室内温度显示（ROOM TEMP） 风速选择键（ ）</w:t>
            </w:r>
            <w:r>
              <w:rPr>
                <w:rFonts w:hint="eastAsia" w:ascii="宋体" w:hAnsi="宋体" w:cs="宋体"/>
                <w:kern w:val="0"/>
                <w:sz w:val="20"/>
                <w:szCs w:val="20"/>
              </w:rPr>
              <w:br w:type="textWrapping"/>
            </w:r>
            <w:r>
              <w:rPr>
                <w:rFonts w:hint="eastAsia" w:ascii="宋体" w:hAnsi="宋体" w:cs="宋体"/>
                <w:kern w:val="0"/>
                <w:sz w:val="20"/>
                <w:szCs w:val="20"/>
              </w:rPr>
              <w:t>模式（冷风、暖风、无显示：送风） 温度调整键（▲ ▼）</w:t>
            </w:r>
            <w:r>
              <w:rPr>
                <w:rFonts w:hint="eastAsia" w:ascii="宋体" w:hAnsi="宋体" w:cs="宋体"/>
                <w:kern w:val="0"/>
                <w:sz w:val="20"/>
                <w:szCs w:val="20"/>
              </w:rPr>
              <w:br w:type="textWrapping"/>
            </w:r>
            <w:r>
              <w:rPr>
                <w:rFonts w:hint="eastAsia" w:ascii="宋体" w:hAnsi="宋体" w:cs="宋体"/>
                <w:kern w:val="0"/>
                <w:sz w:val="20"/>
                <w:szCs w:val="20"/>
              </w:rPr>
              <w:t>时间显示</w:t>
            </w:r>
            <w:r>
              <w:rPr>
                <w:rFonts w:hint="eastAsia" w:ascii="宋体" w:hAnsi="宋体" w:cs="宋体"/>
                <w:kern w:val="0"/>
                <w:sz w:val="20"/>
                <w:szCs w:val="20"/>
              </w:rPr>
              <w:br w:type="textWrapping"/>
            </w:r>
            <w:r>
              <w:rPr>
                <w:rFonts w:hint="eastAsia" w:ascii="宋体" w:hAnsi="宋体" w:cs="宋体"/>
                <w:kern w:val="0"/>
                <w:sz w:val="20"/>
                <w:szCs w:val="20"/>
              </w:rPr>
              <w:t>注：关机状态下除开关键外，触摸任意按键显示灯和背光会亮起</w:t>
            </w:r>
          </w:p>
        </w:tc>
        <w:tc>
          <w:tcPr>
            <w:tcW w:w="233" w:type="pct"/>
            <w:tcBorders>
              <w:top w:val="nil"/>
              <w:left w:val="nil"/>
              <w:bottom w:val="single" w:color="000000" w:sz="4" w:space="0"/>
              <w:right w:val="single" w:color="000000" w:sz="4" w:space="0"/>
            </w:tcBorders>
            <w:vAlign w:val="center"/>
          </w:tcPr>
          <w:p w14:paraId="3735D0A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323" w:type="pct"/>
            <w:tcBorders>
              <w:top w:val="nil"/>
              <w:left w:val="nil"/>
              <w:bottom w:val="single" w:color="000000" w:sz="4" w:space="0"/>
              <w:right w:val="single" w:color="000000" w:sz="4" w:space="0"/>
            </w:tcBorders>
            <w:vAlign w:val="center"/>
          </w:tcPr>
          <w:p w14:paraId="26936FD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264</w:t>
            </w:r>
          </w:p>
        </w:tc>
        <w:tc>
          <w:tcPr>
            <w:tcW w:w="289" w:type="pct"/>
            <w:tcBorders>
              <w:top w:val="nil"/>
              <w:left w:val="nil"/>
              <w:bottom w:val="single" w:color="000000" w:sz="4" w:space="0"/>
              <w:right w:val="single" w:color="000000" w:sz="4" w:space="0"/>
            </w:tcBorders>
            <w:vAlign w:val="center"/>
          </w:tcPr>
          <w:p w14:paraId="01374429">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403E8853">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3A00B12B">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47999BD5">
            <w:pPr>
              <w:widowControl/>
              <w:spacing w:after="0" w:line="240" w:lineRule="auto"/>
              <w:jc w:val="right"/>
              <w:rPr>
                <w:rFonts w:hint="eastAsia" w:ascii="宋体" w:hAnsi="宋体" w:cs="宋体"/>
                <w:kern w:val="0"/>
                <w:sz w:val="20"/>
                <w:szCs w:val="20"/>
              </w:rPr>
            </w:pPr>
          </w:p>
        </w:tc>
        <w:tc>
          <w:tcPr>
            <w:tcW w:w="78" w:type="pct"/>
            <w:vAlign w:val="center"/>
          </w:tcPr>
          <w:p w14:paraId="6AFC12B8">
            <w:pPr>
              <w:widowControl/>
              <w:spacing w:after="0" w:line="240" w:lineRule="auto"/>
              <w:jc w:val="left"/>
              <w:rPr>
                <w:rFonts w:eastAsia="Times New Roman"/>
                <w:kern w:val="0"/>
                <w:sz w:val="20"/>
                <w:szCs w:val="20"/>
              </w:rPr>
            </w:pPr>
          </w:p>
        </w:tc>
      </w:tr>
      <w:tr w14:paraId="1678B71A">
        <w:tblPrEx>
          <w:tblCellMar>
            <w:top w:w="0" w:type="dxa"/>
            <w:left w:w="108" w:type="dxa"/>
            <w:bottom w:w="0" w:type="dxa"/>
            <w:right w:w="108" w:type="dxa"/>
          </w:tblCellMar>
        </w:tblPrEx>
        <w:trPr>
          <w:trHeight w:val="1080" w:hRule="atLeast"/>
        </w:trPr>
        <w:tc>
          <w:tcPr>
            <w:tcW w:w="264" w:type="pct"/>
            <w:tcBorders>
              <w:top w:val="nil"/>
              <w:left w:val="single" w:color="000000" w:sz="4" w:space="0"/>
              <w:bottom w:val="single" w:color="000000" w:sz="4" w:space="0"/>
              <w:right w:val="single" w:color="000000" w:sz="4" w:space="0"/>
            </w:tcBorders>
            <w:vAlign w:val="center"/>
          </w:tcPr>
          <w:p w14:paraId="00F57F2F">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6</w:t>
            </w:r>
          </w:p>
        </w:tc>
        <w:tc>
          <w:tcPr>
            <w:tcW w:w="491" w:type="pct"/>
            <w:tcBorders>
              <w:top w:val="nil"/>
              <w:left w:val="nil"/>
              <w:bottom w:val="single" w:color="000000" w:sz="4" w:space="0"/>
              <w:right w:val="single" w:color="000000" w:sz="4" w:space="0"/>
            </w:tcBorders>
            <w:vAlign w:val="center"/>
          </w:tcPr>
          <w:p w14:paraId="651CDC61">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1.2米 T8高效节能灯管</w:t>
            </w:r>
          </w:p>
        </w:tc>
        <w:tc>
          <w:tcPr>
            <w:tcW w:w="2033" w:type="pct"/>
            <w:tcBorders>
              <w:top w:val="nil"/>
              <w:left w:val="nil"/>
              <w:bottom w:val="single" w:color="000000" w:sz="4" w:space="0"/>
              <w:right w:val="single" w:color="000000" w:sz="4" w:space="0"/>
            </w:tcBorders>
            <w:vAlign w:val="center"/>
          </w:tcPr>
          <w:p w14:paraId="1F3F58D2">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1.功率：10W±5%</w:t>
            </w:r>
            <w:r>
              <w:rPr>
                <w:rFonts w:hint="eastAsia" w:ascii="宋体" w:hAnsi="宋体" w:cs="宋体"/>
                <w:kern w:val="0"/>
                <w:sz w:val="20"/>
                <w:szCs w:val="20"/>
              </w:rPr>
              <w:br w:type="textWrapping"/>
            </w:r>
            <w:r>
              <w:rPr>
                <w:rFonts w:hint="eastAsia" w:ascii="宋体" w:hAnsi="宋体" w:cs="宋体"/>
                <w:kern w:val="0"/>
                <w:sz w:val="20"/>
                <w:szCs w:val="20"/>
              </w:rPr>
              <w:t>2.光通量:1850lm</w:t>
            </w:r>
            <w:r>
              <w:rPr>
                <w:rFonts w:hint="eastAsia" w:ascii="宋体" w:hAnsi="宋体" w:cs="宋体"/>
                <w:kern w:val="0"/>
                <w:sz w:val="20"/>
                <w:szCs w:val="20"/>
              </w:rPr>
              <w:br w:type="textWrapping"/>
            </w:r>
            <w:r>
              <w:rPr>
                <w:rFonts w:hint="eastAsia" w:ascii="宋体" w:hAnsi="宋体" w:cs="宋体"/>
                <w:kern w:val="0"/>
                <w:sz w:val="20"/>
                <w:szCs w:val="20"/>
              </w:rPr>
              <w:t>3.光效：190lm/w</w:t>
            </w:r>
            <w:r>
              <w:rPr>
                <w:rFonts w:hint="eastAsia" w:ascii="宋体" w:hAnsi="宋体" w:cs="宋体"/>
                <w:kern w:val="0"/>
                <w:sz w:val="20"/>
                <w:szCs w:val="20"/>
              </w:rPr>
              <w:br w:type="textWrapping"/>
            </w:r>
            <w:r>
              <w:rPr>
                <w:rFonts w:hint="eastAsia" w:ascii="宋体" w:hAnsi="宋体" w:cs="宋体"/>
                <w:kern w:val="0"/>
                <w:sz w:val="20"/>
                <w:szCs w:val="20"/>
              </w:rPr>
              <w:t>4.色温：6500K</w:t>
            </w:r>
            <w:r>
              <w:rPr>
                <w:rFonts w:hint="eastAsia" w:ascii="宋体" w:hAnsi="宋体" w:cs="宋体"/>
                <w:kern w:val="0"/>
                <w:sz w:val="20"/>
                <w:szCs w:val="20"/>
              </w:rPr>
              <w:br w:type="textWrapping"/>
            </w:r>
            <w:r>
              <w:rPr>
                <w:rFonts w:hint="eastAsia" w:ascii="宋体" w:hAnsi="宋体" w:cs="宋体"/>
                <w:kern w:val="0"/>
                <w:sz w:val="20"/>
                <w:szCs w:val="20"/>
              </w:rPr>
              <w:t>5.显色指数≧80</w:t>
            </w:r>
            <w:r>
              <w:rPr>
                <w:rFonts w:hint="eastAsia" w:ascii="宋体" w:hAnsi="宋体" w:cs="宋体"/>
                <w:kern w:val="0"/>
                <w:sz w:val="20"/>
                <w:szCs w:val="20"/>
              </w:rPr>
              <w:br w:type="textWrapping"/>
            </w:r>
            <w:r>
              <w:rPr>
                <w:rFonts w:hint="eastAsia" w:ascii="宋体" w:hAnsi="宋体" w:cs="宋体"/>
                <w:kern w:val="0"/>
                <w:sz w:val="20"/>
                <w:szCs w:val="20"/>
              </w:rPr>
              <w:t>6.亮灯模式：ON/OFF</w:t>
            </w:r>
            <w:r>
              <w:rPr>
                <w:rFonts w:hint="eastAsia" w:ascii="宋体" w:hAnsi="宋体" w:cs="宋体"/>
                <w:kern w:val="0"/>
                <w:sz w:val="20"/>
                <w:szCs w:val="20"/>
              </w:rPr>
              <w:br w:type="textWrapping"/>
            </w:r>
            <w:r>
              <w:rPr>
                <w:rFonts w:hint="eastAsia" w:ascii="宋体" w:hAnsi="宋体" w:cs="宋体"/>
                <w:kern w:val="0"/>
                <w:sz w:val="20"/>
                <w:szCs w:val="20"/>
              </w:rPr>
              <w:t>7.国产优质光源</w:t>
            </w:r>
            <w:r>
              <w:rPr>
                <w:rFonts w:hint="eastAsia" w:ascii="宋体" w:hAnsi="宋体" w:cs="宋体"/>
                <w:kern w:val="0"/>
                <w:sz w:val="20"/>
                <w:szCs w:val="20"/>
              </w:rPr>
              <w:br w:type="textWrapping"/>
            </w:r>
            <w:r>
              <w:rPr>
                <w:rFonts w:hint="eastAsia" w:ascii="宋体" w:hAnsi="宋体" w:cs="宋体"/>
                <w:kern w:val="0"/>
                <w:sz w:val="20"/>
                <w:szCs w:val="20"/>
              </w:rPr>
              <w:t>8.质保5年</w:t>
            </w:r>
          </w:p>
        </w:tc>
        <w:tc>
          <w:tcPr>
            <w:tcW w:w="233" w:type="pct"/>
            <w:tcBorders>
              <w:top w:val="nil"/>
              <w:left w:val="nil"/>
              <w:bottom w:val="single" w:color="000000" w:sz="4" w:space="0"/>
              <w:right w:val="single" w:color="000000" w:sz="4" w:space="0"/>
            </w:tcBorders>
            <w:vAlign w:val="center"/>
          </w:tcPr>
          <w:p w14:paraId="5C3F3E9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323" w:type="pct"/>
            <w:tcBorders>
              <w:top w:val="nil"/>
              <w:left w:val="nil"/>
              <w:bottom w:val="single" w:color="000000" w:sz="4" w:space="0"/>
              <w:right w:val="single" w:color="000000" w:sz="4" w:space="0"/>
            </w:tcBorders>
            <w:vAlign w:val="center"/>
          </w:tcPr>
          <w:p w14:paraId="0150F995">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5731</w:t>
            </w:r>
          </w:p>
        </w:tc>
        <w:tc>
          <w:tcPr>
            <w:tcW w:w="289" w:type="pct"/>
            <w:tcBorders>
              <w:top w:val="nil"/>
              <w:left w:val="nil"/>
              <w:bottom w:val="single" w:color="000000" w:sz="4" w:space="0"/>
              <w:right w:val="single" w:color="000000" w:sz="4" w:space="0"/>
            </w:tcBorders>
            <w:vAlign w:val="center"/>
          </w:tcPr>
          <w:p w14:paraId="1A836AA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w:t>
            </w:r>
          </w:p>
        </w:tc>
        <w:tc>
          <w:tcPr>
            <w:tcW w:w="540" w:type="pct"/>
            <w:tcBorders>
              <w:top w:val="nil"/>
              <w:left w:val="nil"/>
              <w:bottom w:val="single" w:color="000000" w:sz="4" w:space="0"/>
              <w:right w:val="single" w:color="000000" w:sz="4" w:space="0"/>
            </w:tcBorders>
            <w:vAlign w:val="center"/>
          </w:tcPr>
          <w:p w14:paraId="3E9E3705">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56B19750">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7606CE26">
            <w:pPr>
              <w:widowControl/>
              <w:spacing w:after="0" w:line="240" w:lineRule="auto"/>
              <w:jc w:val="right"/>
              <w:rPr>
                <w:rFonts w:hint="eastAsia" w:ascii="宋体" w:hAnsi="宋体" w:cs="宋体"/>
                <w:kern w:val="0"/>
                <w:sz w:val="20"/>
                <w:szCs w:val="20"/>
              </w:rPr>
            </w:pPr>
          </w:p>
        </w:tc>
        <w:tc>
          <w:tcPr>
            <w:tcW w:w="78" w:type="pct"/>
            <w:vAlign w:val="center"/>
          </w:tcPr>
          <w:p w14:paraId="7E1F6BD5">
            <w:pPr>
              <w:widowControl/>
              <w:spacing w:after="0" w:line="240" w:lineRule="auto"/>
              <w:jc w:val="left"/>
              <w:rPr>
                <w:rFonts w:eastAsia="Times New Roman"/>
                <w:kern w:val="0"/>
                <w:sz w:val="20"/>
                <w:szCs w:val="20"/>
              </w:rPr>
            </w:pPr>
          </w:p>
        </w:tc>
      </w:tr>
      <w:tr w14:paraId="017BDF50">
        <w:tblPrEx>
          <w:tblCellMar>
            <w:top w:w="0" w:type="dxa"/>
            <w:left w:w="108" w:type="dxa"/>
            <w:bottom w:w="0" w:type="dxa"/>
            <w:right w:w="108" w:type="dxa"/>
          </w:tblCellMar>
        </w:tblPrEx>
        <w:trPr>
          <w:trHeight w:val="1080" w:hRule="atLeast"/>
        </w:trPr>
        <w:tc>
          <w:tcPr>
            <w:tcW w:w="264" w:type="pct"/>
            <w:tcBorders>
              <w:top w:val="nil"/>
              <w:left w:val="single" w:color="000000" w:sz="4" w:space="0"/>
              <w:bottom w:val="single" w:color="000000" w:sz="4" w:space="0"/>
              <w:right w:val="single" w:color="000000" w:sz="4" w:space="0"/>
            </w:tcBorders>
            <w:vAlign w:val="center"/>
          </w:tcPr>
          <w:p w14:paraId="3015298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7</w:t>
            </w:r>
          </w:p>
        </w:tc>
        <w:tc>
          <w:tcPr>
            <w:tcW w:w="491" w:type="pct"/>
            <w:tcBorders>
              <w:top w:val="nil"/>
              <w:left w:val="nil"/>
              <w:bottom w:val="single" w:color="000000" w:sz="4" w:space="0"/>
              <w:right w:val="single" w:color="000000" w:sz="4" w:space="0"/>
            </w:tcBorders>
            <w:vAlign w:val="center"/>
          </w:tcPr>
          <w:p w14:paraId="36E5F129">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高效节能吸顶灯</w:t>
            </w:r>
          </w:p>
        </w:tc>
        <w:tc>
          <w:tcPr>
            <w:tcW w:w="2033" w:type="pct"/>
            <w:tcBorders>
              <w:top w:val="nil"/>
              <w:left w:val="nil"/>
              <w:bottom w:val="single" w:color="000000" w:sz="4" w:space="0"/>
              <w:right w:val="single" w:color="000000" w:sz="4" w:space="0"/>
            </w:tcBorders>
            <w:vAlign w:val="center"/>
          </w:tcPr>
          <w:p w14:paraId="2E618DAF">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1.功率：6W±5%</w:t>
            </w:r>
            <w:r>
              <w:rPr>
                <w:rFonts w:hint="eastAsia" w:ascii="宋体" w:hAnsi="宋体" w:cs="宋体"/>
                <w:kern w:val="0"/>
                <w:sz w:val="20"/>
                <w:szCs w:val="20"/>
              </w:rPr>
              <w:br w:type="textWrapping"/>
            </w:r>
            <w:r>
              <w:rPr>
                <w:rFonts w:hint="eastAsia" w:ascii="宋体" w:hAnsi="宋体" w:cs="宋体"/>
                <w:kern w:val="0"/>
                <w:sz w:val="20"/>
                <w:szCs w:val="20"/>
              </w:rPr>
              <w:t>2.光通量:1100lm</w:t>
            </w:r>
            <w:r>
              <w:rPr>
                <w:rFonts w:hint="eastAsia" w:ascii="宋体" w:hAnsi="宋体" w:cs="宋体"/>
                <w:kern w:val="0"/>
                <w:sz w:val="20"/>
                <w:szCs w:val="20"/>
              </w:rPr>
              <w:br w:type="textWrapping"/>
            </w:r>
            <w:r>
              <w:rPr>
                <w:rFonts w:hint="eastAsia" w:ascii="宋体" w:hAnsi="宋体" w:cs="宋体"/>
                <w:kern w:val="0"/>
                <w:sz w:val="20"/>
                <w:szCs w:val="20"/>
              </w:rPr>
              <w:t>3.光效：180lm/w</w:t>
            </w:r>
            <w:r>
              <w:rPr>
                <w:rFonts w:hint="eastAsia" w:ascii="宋体" w:hAnsi="宋体" w:cs="宋体"/>
                <w:kern w:val="0"/>
                <w:sz w:val="20"/>
                <w:szCs w:val="20"/>
              </w:rPr>
              <w:br w:type="textWrapping"/>
            </w:r>
            <w:r>
              <w:rPr>
                <w:rFonts w:hint="eastAsia" w:ascii="宋体" w:hAnsi="宋体" w:cs="宋体"/>
                <w:kern w:val="0"/>
                <w:sz w:val="20"/>
                <w:szCs w:val="20"/>
              </w:rPr>
              <w:t>4.色温：6500K</w:t>
            </w:r>
            <w:r>
              <w:rPr>
                <w:rFonts w:hint="eastAsia" w:ascii="宋体" w:hAnsi="宋体" w:cs="宋体"/>
                <w:kern w:val="0"/>
                <w:sz w:val="20"/>
                <w:szCs w:val="20"/>
              </w:rPr>
              <w:br w:type="textWrapping"/>
            </w:r>
            <w:r>
              <w:rPr>
                <w:rFonts w:hint="eastAsia" w:ascii="宋体" w:hAnsi="宋体" w:cs="宋体"/>
                <w:kern w:val="0"/>
                <w:sz w:val="20"/>
                <w:szCs w:val="20"/>
              </w:rPr>
              <w:t>5.显色指数≧80</w:t>
            </w:r>
            <w:r>
              <w:rPr>
                <w:rFonts w:hint="eastAsia" w:ascii="宋体" w:hAnsi="宋体" w:cs="宋体"/>
                <w:kern w:val="0"/>
                <w:sz w:val="20"/>
                <w:szCs w:val="20"/>
              </w:rPr>
              <w:br w:type="textWrapping"/>
            </w:r>
            <w:r>
              <w:rPr>
                <w:rFonts w:hint="eastAsia" w:ascii="宋体" w:hAnsi="宋体" w:cs="宋体"/>
                <w:kern w:val="0"/>
                <w:sz w:val="20"/>
                <w:szCs w:val="20"/>
              </w:rPr>
              <w:t>6.亮灯模式：雷达感应</w:t>
            </w:r>
            <w:r>
              <w:rPr>
                <w:rFonts w:hint="eastAsia" w:ascii="宋体" w:hAnsi="宋体" w:cs="宋体"/>
                <w:kern w:val="0"/>
                <w:sz w:val="20"/>
                <w:szCs w:val="20"/>
              </w:rPr>
              <w:br w:type="textWrapping"/>
            </w:r>
            <w:r>
              <w:rPr>
                <w:rFonts w:hint="eastAsia" w:ascii="宋体" w:hAnsi="宋体" w:cs="宋体"/>
                <w:kern w:val="0"/>
                <w:sz w:val="20"/>
                <w:szCs w:val="20"/>
              </w:rPr>
              <w:t>7.国产优质光源</w:t>
            </w:r>
            <w:r>
              <w:rPr>
                <w:rFonts w:hint="eastAsia" w:ascii="宋体" w:hAnsi="宋体" w:cs="宋体"/>
                <w:kern w:val="0"/>
                <w:sz w:val="20"/>
                <w:szCs w:val="20"/>
              </w:rPr>
              <w:br w:type="textWrapping"/>
            </w:r>
            <w:r>
              <w:rPr>
                <w:rFonts w:hint="eastAsia" w:ascii="宋体" w:hAnsi="宋体" w:cs="宋体"/>
                <w:kern w:val="0"/>
                <w:sz w:val="20"/>
                <w:szCs w:val="20"/>
              </w:rPr>
              <w:t>8.质保5年</w:t>
            </w:r>
          </w:p>
        </w:tc>
        <w:tc>
          <w:tcPr>
            <w:tcW w:w="233" w:type="pct"/>
            <w:tcBorders>
              <w:top w:val="nil"/>
              <w:left w:val="nil"/>
              <w:bottom w:val="single" w:color="000000" w:sz="4" w:space="0"/>
              <w:right w:val="single" w:color="000000" w:sz="4" w:space="0"/>
            </w:tcBorders>
            <w:vAlign w:val="center"/>
          </w:tcPr>
          <w:p w14:paraId="6F85399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323" w:type="pct"/>
            <w:tcBorders>
              <w:top w:val="nil"/>
              <w:left w:val="nil"/>
              <w:bottom w:val="single" w:color="000000" w:sz="4" w:space="0"/>
              <w:right w:val="single" w:color="000000" w:sz="4" w:space="0"/>
            </w:tcBorders>
            <w:vAlign w:val="center"/>
          </w:tcPr>
          <w:p w14:paraId="64FFD0A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2188</w:t>
            </w:r>
          </w:p>
        </w:tc>
        <w:tc>
          <w:tcPr>
            <w:tcW w:w="289" w:type="pct"/>
            <w:tcBorders>
              <w:top w:val="nil"/>
              <w:left w:val="nil"/>
              <w:bottom w:val="single" w:color="000000" w:sz="4" w:space="0"/>
              <w:right w:val="single" w:color="000000" w:sz="4" w:space="0"/>
            </w:tcBorders>
            <w:vAlign w:val="center"/>
          </w:tcPr>
          <w:p w14:paraId="44F3FB9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w:t>
            </w:r>
          </w:p>
        </w:tc>
        <w:tc>
          <w:tcPr>
            <w:tcW w:w="540" w:type="pct"/>
            <w:tcBorders>
              <w:top w:val="nil"/>
              <w:left w:val="nil"/>
              <w:bottom w:val="single" w:color="000000" w:sz="4" w:space="0"/>
              <w:right w:val="single" w:color="000000" w:sz="4" w:space="0"/>
            </w:tcBorders>
            <w:vAlign w:val="center"/>
          </w:tcPr>
          <w:p w14:paraId="5F08C6A5">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6EB99782">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60F641D2">
            <w:pPr>
              <w:widowControl/>
              <w:spacing w:after="0" w:line="240" w:lineRule="auto"/>
              <w:jc w:val="right"/>
              <w:rPr>
                <w:rFonts w:hint="eastAsia" w:ascii="宋体" w:hAnsi="宋体" w:cs="宋体"/>
                <w:kern w:val="0"/>
                <w:sz w:val="20"/>
                <w:szCs w:val="20"/>
              </w:rPr>
            </w:pPr>
          </w:p>
        </w:tc>
        <w:tc>
          <w:tcPr>
            <w:tcW w:w="78" w:type="pct"/>
            <w:vAlign w:val="center"/>
          </w:tcPr>
          <w:p w14:paraId="62480F32">
            <w:pPr>
              <w:widowControl/>
              <w:spacing w:after="0" w:line="240" w:lineRule="auto"/>
              <w:jc w:val="left"/>
              <w:rPr>
                <w:rFonts w:eastAsia="Times New Roman"/>
                <w:kern w:val="0"/>
                <w:sz w:val="20"/>
                <w:szCs w:val="20"/>
              </w:rPr>
            </w:pPr>
          </w:p>
        </w:tc>
      </w:tr>
      <w:tr w14:paraId="5E400C63">
        <w:tblPrEx>
          <w:tblCellMar>
            <w:top w:w="0" w:type="dxa"/>
            <w:left w:w="108" w:type="dxa"/>
            <w:bottom w:w="0" w:type="dxa"/>
            <w:right w:w="108" w:type="dxa"/>
          </w:tblCellMar>
        </w:tblPrEx>
        <w:trPr>
          <w:trHeight w:val="1080" w:hRule="atLeast"/>
        </w:trPr>
        <w:tc>
          <w:tcPr>
            <w:tcW w:w="264" w:type="pct"/>
            <w:tcBorders>
              <w:top w:val="nil"/>
              <w:left w:val="single" w:color="000000" w:sz="4" w:space="0"/>
              <w:bottom w:val="single" w:color="000000" w:sz="4" w:space="0"/>
              <w:right w:val="single" w:color="000000" w:sz="4" w:space="0"/>
            </w:tcBorders>
            <w:vAlign w:val="center"/>
          </w:tcPr>
          <w:p w14:paraId="0832B3F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8</w:t>
            </w:r>
          </w:p>
        </w:tc>
        <w:tc>
          <w:tcPr>
            <w:tcW w:w="491" w:type="pct"/>
            <w:tcBorders>
              <w:top w:val="nil"/>
              <w:left w:val="nil"/>
              <w:bottom w:val="single" w:color="000000" w:sz="4" w:space="0"/>
              <w:right w:val="single" w:color="000000" w:sz="4" w:space="0"/>
            </w:tcBorders>
            <w:vAlign w:val="center"/>
          </w:tcPr>
          <w:p w14:paraId="1C2FC608">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0.6米 T8高效节能灯管</w:t>
            </w:r>
          </w:p>
        </w:tc>
        <w:tc>
          <w:tcPr>
            <w:tcW w:w="2033" w:type="pct"/>
            <w:tcBorders>
              <w:top w:val="nil"/>
              <w:left w:val="nil"/>
              <w:bottom w:val="single" w:color="000000" w:sz="4" w:space="0"/>
              <w:right w:val="single" w:color="000000" w:sz="4" w:space="0"/>
            </w:tcBorders>
            <w:vAlign w:val="center"/>
          </w:tcPr>
          <w:p w14:paraId="6FCCED11">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1.功率：6W±5%</w:t>
            </w:r>
            <w:r>
              <w:rPr>
                <w:rFonts w:hint="eastAsia" w:ascii="宋体" w:hAnsi="宋体" w:cs="宋体"/>
                <w:kern w:val="0"/>
                <w:sz w:val="20"/>
                <w:szCs w:val="20"/>
              </w:rPr>
              <w:br w:type="textWrapping"/>
            </w:r>
            <w:r>
              <w:rPr>
                <w:rFonts w:hint="eastAsia" w:ascii="宋体" w:hAnsi="宋体" w:cs="宋体"/>
                <w:kern w:val="0"/>
                <w:sz w:val="20"/>
                <w:szCs w:val="20"/>
              </w:rPr>
              <w:t>2.光通量:1300lm</w:t>
            </w:r>
            <w:r>
              <w:rPr>
                <w:rFonts w:hint="eastAsia" w:ascii="宋体" w:hAnsi="宋体" w:cs="宋体"/>
                <w:kern w:val="0"/>
                <w:sz w:val="20"/>
                <w:szCs w:val="20"/>
              </w:rPr>
              <w:br w:type="textWrapping"/>
            </w:r>
            <w:r>
              <w:rPr>
                <w:rFonts w:hint="eastAsia" w:ascii="宋体" w:hAnsi="宋体" w:cs="宋体"/>
                <w:kern w:val="0"/>
                <w:sz w:val="20"/>
                <w:szCs w:val="20"/>
              </w:rPr>
              <w:t>3.光效：190lm/w</w:t>
            </w:r>
            <w:r>
              <w:rPr>
                <w:rFonts w:hint="eastAsia" w:ascii="宋体" w:hAnsi="宋体" w:cs="宋体"/>
                <w:kern w:val="0"/>
                <w:sz w:val="20"/>
                <w:szCs w:val="20"/>
              </w:rPr>
              <w:br w:type="textWrapping"/>
            </w:r>
            <w:r>
              <w:rPr>
                <w:rFonts w:hint="eastAsia" w:ascii="宋体" w:hAnsi="宋体" w:cs="宋体"/>
                <w:kern w:val="0"/>
                <w:sz w:val="20"/>
                <w:szCs w:val="20"/>
              </w:rPr>
              <w:t>4.色温：6500K</w:t>
            </w:r>
            <w:r>
              <w:rPr>
                <w:rFonts w:hint="eastAsia" w:ascii="宋体" w:hAnsi="宋体" w:cs="宋体"/>
                <w:kern w:val="0"/>
                <w:sz w:val="20"/>
                <w:szCs w:val="20"/>
              </w:rPr>
              <w:br w:type="textWrapping"/>
            </w:r>
            <w:r>
              <w:rPr>
                <w:rFonts w:hint="eastAsia" w:ascii="宋体" w:hAnsi="宋体" w:cs="宋体"/>
                <w:kern w:val="0"/>
                <w:sz w:val="20"/>
                <w:szCs w:val="20"/>
              </w:rPr>
              <w:t>5.显色指数≧80</w:t>
            </w:r>
            <w:r>
              <w:rPr>
                <w:rFonts w:hint="eastAsia" w:ascii="宋体" w:hAnsi="宋体" w:cs="宋体"/>
                <w:kern w:val="0"/>
                <w:sz w:val="20"/>
                <w:szCs w:val="20"/>
              </w:rPr>
              <w:br w:type="textWrapping"/>
            </w:r>
            <w:r>
              <w:rPr>
                <w:rFonts w:hint="eastAsia" w:ascii="宋体" w:hAnsi="宋体" w:cs="宋体"/>
                <w:kern w:val="0"/>
                <w:sz w:val="20"/>
                <w:szCs w:val="20"/>
              </w:rPr>
              <w:t>6.亮灯模式：ON/OFF</w:t>
            </w:r>
            <w:r>
              <w:rPr>
                <w:rFonts w:hint="eastAsia" w:ascii="宋体" w:hAnsi="宋体" w:cs="宋体"/>
                <w:kern w:val="0"/>
                <w:sz w:val="20"/>
                <w:szCs w:val="20"/>
              </w:rPr>
              <w:br w:type="textWrapping"/>
            </w:r>
            <w:r>
              <w:rPr>
                <w:rFonts w:hint="eastAsia" w:ascii="宋体" w:hAnsi="宋体" w:cs="宋体"/>
                <w:kern w:val="0"/>
                <w:sz w:val="20"/>
                <w:szCs w:val="20"/>
              </w:rPr>
              <w:t>7.国产优质光源</w:t>
            </w:r>
            <w:r>
              <w:rPr>
                <w:rFonts w:hint="eastAsia" w:ascii="宋体" w:hAnsi="宋体" w:cs="宋体"/>
                <w:kern w:val="0"/>
                <w:sz w:val="20"/>
                <w:szCs w:val="20"/>
              </w:rPr>
              <w:br w:type="textWrapping"/>
            </w:r>
            <w:r>
              <w:rPr>
                <w:rFonts w:hint="eastAsia" w:ascii="宋体" w:hAnsi="宋体" w:cs="宋体"/>
                <w:kern w:val="0"/>
                <w:sz w:val="20"/>
                <w:szCs w:val="20"/>
              </w:rPr>
              <w:t>8.质保5年</w:t>
            </w:r>
          </w:p>
        </w:tc>
        <w:tc>
          <w:tcPr>
            <w:tcW w:w="233" w:type="pct"/>
            <w:tcBorders>
              <w:top w:val="nil"/>
              <w:left w:val="nil"/>
              <w:bottom w:val="single" w:color="000000" w:sz="4" w:space="0"/>
              <w:right w:val="single" w:color="000000" w:sz="4" w:space="0"/>
            </w:tcBorders>
            <w:vAlign w:val="center"/>
          </w:tcPr>
          <w:p w14:paraId="23AFAAA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323" w:type="pct"/>
            <w:tcBorders>
              <w:top w:val="nil"/>
              <w:left w:val="nil"/>
              <w:bottom w:val="single" w:color="000000" w:sz="4" w:space="0"/>
              <w:right w:val="single" w:color="000000" w:sz="4" w:space="0"/>
            </w:tcBorders>
            <w:vAlign w:val="center"/>
          </w:tcPr>
          <w:p w14:paraId="2532F2D5">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528</w:t>
            </w:r>
          </w:p>
        </w:tc>
        <w:tc>
          <w:tcPr>
            <w:tcW w:w="289" w:type="pct"/>
            <w:tcBorders>
              <w:top w:val="nil"/>
              <w:left w:val="nil"/>
              <w:bottom w:val="single" w:color="000000" w:sz="4" w:space="0"/>
              <w:right w:val="single" w:color="000000" w:sz="4" w:space="0"/>
            </w:tcBorders>
            <w:vAlign w:val="center"/>
          </w:tcPr>
          <w:p w14:paraId="2E9A9C4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5</w:t>
            </w:r>
          </w:p>
        </w:tc>
        <w:tc>
          <w:tcPr>
            <w:tcW w:w="540" w:type="pct"/>
            <w:tcBorders>
              <w:top w:val="nil"/>
              <w:left w:val="nil"/>
              <w:bottom w:val="single" w:color="000000" w:sz="4" w:space="0"/>
              <w:right w:val="single" w:color="000000" w:sz="4" w:space="0"/>
            </w:tcBorders>
            <w:vAlign w:val="center"/>
          </w:tcPr>
          <w:p w14:paraId="7C6989BB">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77D5D180">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60D32464">
            <w:pPr>
              <w:widowControl/>
              <w:spacing w:after="0" w:line="240" w:lineRule="auto"/>
              <w:jc w:val="right"/>
              <w:rPr>
                <w:rFonts w:hint="eastAsia" w:ascii="宋体" w:hAnsi="宋体" w:cs="宋体"/>
                <w:kern w:val="0"/>
                <w:sz w:val="20"/>
                <w:szCs w:val="20"/>
              </w:rPr>
            </w:pPr>
          </w:p>
        </w:tc>
        <w:tc>
          <w:tcPr>
            <w:tcW w:w="78" w:type="pct"/>
            <w:vAlign w:val="center"/>
          </w:tcPr>
          <w:p w14:paraId="1F280B23">
            <w:pPr>
              <w:widowControl/>
              <w:spacing w:after="0" w:line="240" w:lineRule="auto"/>
              <w:jc w:val="left"/>
              <w:rPr>
                <w:rFonts w:eastAsia="Times New Roman"/>
                <w:kern w:val="0"/>
                <w:sz w:val="20"/>
                <w:szCs w:val="20"/>
              </w:rPr>
            </w:pPr>
          </w:p>
        </w:tc>
      </w:tr>
      <w:tr w14:paraId="46CE3079">
        <w:tblPrEx>
          <w:tblCellMar>
            <w:top w:w="0" w:type="dxa"/>
            <w:left w:w="108" w:type="dxa"/>
            <w:bottom w:w="0" w:type="dxa"/>
            <w:right w:w="108" w:type="dxa"/>
          </w:tblCellMar>
        </w:tblPrEx>
        <w:trPr>
          <w:trHeight w:val="840" w:hRule="atLeast"/>
        </w:trPr>
        <w:tc>
          <w:tcPr>
            <w:tcW w:w="264" w:type="pct"/>
            <w:tcBorders>
              <w:top w:val="nil"/>
              <w:left w:val="single" w:color="000000" w:sz="4" w:space="0"/>
              <w:bottom w:val="single" w:color="000000" w:sz="4" w:space="0"/>
              <w:right w:val="single" w:color="000000" w:sz="4" w:space="0"/>
            </w:tcBorders>
            <w:vAlign w:val="center"/>
          </w:tcPr>
          <w:p w14:paraId="5A282787">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9</w:t>
            </w:r>
          </w:p>
        </w:tc>
        <w:tc>
          <w:tcPr>
            <w:tcW w:w="491" w:type="pct"/>
            <w:tcBorders>
              <w:top w:val="nil"/>
              <w:left w:val="nil"/>
              <w:bottom w:val="single" w:color="000000" w:sz="4" w:space="0"/>
              <w:right w:val="single" w:color="000000" w:sz="4" w:space="0"/>
            </w:tcBorders>
            <w:vAlign w:val="center"/>
          </w:tcPr>
          <w:p w14:paraId="51813FA8">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教室中控系统-网络中控</w:t>
            </w:r>
          </w:p>
        </w:tc>
        <w:tc>
          <w:tcPr>
            <w:tcW w:w="2033" w:type="pct"/>
            <w:tcBorders>
              <w:top w:val="single" w:color="auto" w:sz="4" w:space="0"/>
              <w:left w:val="single" w:color="auto" w:sz="4" w:space="0"/>
              <w:bottom w:val="single" w:color="auto" w:sz="4" w:space="0"/>
              <w:right w:val="single" w:color="auto" w:sz="4" w:space="0"/>
            </w:tcBorders>
            <w:vAlign w:val="center"/>
          </w:tcPr>
          <w:p w14:paraId="6673F329">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1、标准1U高度，机身带把手设计，方便讲桌或机柜内安装；自主开发的嵌入式内核集成IIS服务器，可以在WEB界面直接登录设置网络参数；</w:t>
            </w:r>
            <w:r>
              <w:rPr>
                <w:rFonts w:hint="eastAsia" w:ascii="宋体" w:hAnsi="宋体" w:cs="宋体"/>
                <w:kern w:val="0"/>
                <w:sz w:val="20"/>
                <w:szCs w:val="20"/>
              </w:rPr>
              <w:br w:type="textWrapping"/>
            </w:r>
            <w:r>
              <w:rPr>
                <w:rFonts w:hint="eastAsia" w:ascii="宋体" w:hAnsi="宋体" w:cs="宋体"/>
                <w:kern w:val="0"/>
                <w:sz w:val="20"/>
                <w:szCs w:val="20"/>
              </w:rPr>
              <w:t>2、集成6进7出HDMI\VGA\HDBaseT混合高清切换接口（HDMI输入接口5路(1路内置)，VGAI输入接口1路；HDMI输出接口5路，VGA输出接口1路，可扩展HDBaseT接口1路），核心为4*4的无缝切换矩阵，实现高清混合信号的无缝换（切换不闪烁不黑屏）、异步切换、同屏分割对比显示（2或4分割）、画中画、多屏拼接显示等等，HDMI支持4K信号；</w:t>
            </w:r>
            <w:r>
              <w:rPr>
                <w:rFonts w:hint="eastAsia" w:ascii="宋体" w:hAnsi="宋体" w:cs="宋体"/>
                <w:kern w:val="0"/>
                <w:sz w:val="20"/>
                <w:szCs w:val="20"/>
              </w:rPr>
              <w:br w:type="textWrapping"/>
            </w:r>
            <w:r>
              <w:rPr>
                <w:rFonts w:hint="eastAsia" w:ascii="宋体" w:hAnsi="宋体" w:cs="宋体"/>
                <w:kern w:val="0"/>
                <w:sz w:val="20"/>
                <w:szCs w:val="20"/>
              </w:rPr>
              <w:t>3、1路USB控制和数据编程接口，5路独立RS232（其中一个为DB9接口）和1路RS485控制端口，1路红外接口，1路LBUS总线接口，3路检测输入接口，1路电源管理MODBUS总线；</w:t>
            </w:r>
            <w:r>
              <w:rPr>
                <w:rFonts w:hint="eastAsia" w:ascii="宋体" w:hAnsi="宋体" w:cs="宋体"/>
                <w:kern w:val="0"/>
                <w:sz w:val="20"/>
                <w:szCs w:val="20"/>
              </w:rPr>
              <w:br w:type="textWrapping"/>
            </w:r>
            <w:r>
              <w:rPr>
                <w:rFonts w:hint="eastAsia" w:ascii="宋体" w:hAnsi="宋体" w:cs="宋体"/>
                <w:kern w:val="0"/>
                <w:sz w:val="20"/>
                <w:szCs w:val="20"/>
              </w:rPr>
              <w:t>4、3路3.5音频输入，1路3.5音频输出，1路凤凰端子话筒平衡输入接口，带48V幻象供电开关，直接连接吊麦实现远距离拾音；支持对音频通道和吊麦等独立80级数字音量调节，支持对音频输出通道进行静音设置；集成HDMI音频数字解码，HDMI信号无需另外接入音频；</w:t>
            </w:r>
            <w:r>
              <w:rPr>
                <w:rFonts w:hint="eastAsia" w:ascii="宋体" w:hAnsi="宋体" w:cs="宋体"/>
                <w:kern w:val="0"/>
                <w:sz w:val="20"/>
                <w:szCs w:val="20"/>
              </w:rPr>
              <w:br w:type="textWrapping"/>
            </w:r>
            <w:r>
              <w:rPr>
                <w:rFonts w:hint="eastAsia" w:ascii="宋体" w:hAnsi="宋体" w:cs="宋体"/>
                <w:kern w:val="0"/>
                <w:sz w:val="20"/>
                <w:szCs w:val="20"/>
              </w:rPr>
              <w:t>5、4路20A可编程强电电源控制，具备投影幕升降控制；带投影机断电散热保护功能，系统关闭后，投影机灯泡散热继续供电保护；强电控制采用过零触发方式，保护设备上电安全；</w:t>
            </w:r>
            <w:r>
              <w:rPr>
                <w:rFonts w:hint="eastAsia" w:ascii="宋体" w:hAnsi="宋体" w:cs="宋体"/>
                <w:kern w:val="0"/>
                <w:sz w:val="20"/>
                <w:szCs w:val="20"/>
              </w:rPr>
              <w:br w:type="textWrapping"/>
            </w:r>
            <w:r>
              <w:rPr>
                <w:rFonts w:hint="eastAsia" w:ascii="宋体" w:hAnsi="宋体" w:cs="宋体"/>
                <w:kern w:val="0"/>
                <w:sz w:val="20"/>
                <w:szCs w:val="20"/>
              </w:rPr>
              <w:t>6、可集成80W*2数字智能功放，直接接入无源音箱扩声，也可外接功放扩声；</w:t>
            </w:r>
            <w:r>
              <w:rPr>
                <w:rFonts w:hint="eastAsia" w:ascii="宋体" w:hAnsi="宋体" w:cs="宋体"/>
                <w:kern w:val="0"/>
                <w:sz w:val="20"/>
                <w:szCs w:val="20"/>
              </w:rPr>
              <w:br w:type="textWrapping"/>
            </w:r>
            <w:r>
              <w:rPr>
                <w:rFonts w:hint="eastAsia" w:ascii="宋体" w:hAnsi="宋体" w:cs="宋体"/>
                <w:kern w:val="0"/>
                <w:sz w:val="20"/>
                <w:szCs w:val="20"/>
              </w:rPr>
              <w:t>7、集成LBUS总线，搭配智能开关、调光模块、串口模块、控制面板等组成免编程物联控制系统，带256组场景，整个系统可挂63个模块；</w:t>
            </w:r>
            <w:r>
              <w:rPr>
                <w:rFonts w:hint="eastAsia" w:ascii="宋体" w:hAnsi="宋体" w:cs="宋体"/>
                <w:kern w:val="0"/>
                <w:sz w:val="20"/>
                <w:szCs w:val="20"/>
              </w:rPr>
              <w:br w:type="textWrapping"/>
            </w:r>
            <w:r>
              <w:rPr>
                <w:rFonts w:hint="eastAsia" w:ascii="宋体" w:hAnsi="宋体" w:cs="宋体"/>
                <w:kern w:val="0"/>
                <w:sz w:val="20"/>
                <w:szCs w:val="20"/>
              </w:rPr>
              <w:t>8、集成MODBUS总线，可连接32个智能断路器，实现智能用电管理；</w:t>
            </w:r>
            <w:r>
              <w:rPr>
                <w:rFonts w:hint="eastAsia" w:ascii="宋体" w:hAnsi="宋体" w:cs="宋体"/>
                <w:kern w:val="0"/>
                <w:sz w:val="20"/>
                <w:szCs w:val="20"/>
              </w:rPr>
              <w:br w:type="textWrapping"/>
            </w:r>
            <w:r>
              <w:rPr>
                <w:rFonts w:hint="eastAsia" w:ascii="宋体" w:hAnsi="宋体" w:cs="宋体"/>
                <w:kern w:val="0"/>
                <w:sz w:val="20"/>
                <w:szCs w:val="20"/>
              </w:rPr>
              <w:t>9、带自动记忆存储功能，各项功能及参数设置好后，每次开关机，自动恢复至原始设置，防止非管理员误操作；</w:t>
            </w:r>
            <w:r>
              <w:rPr>
                <w:rFonts w:hint="eastAsia" w:ascii="宋体" w:hAnsi="宋体" w:cs="宋体"/>
                <w:kern w:val="0"/>
                <w:sz w:val="20"/>
                <w:szCs w:val="20"/>
              </w:rPr>
              <w:br w:type="textWrapping"/>
            </w:r>
            <w:r>
              <w:rPr>
                <w:rFonts w:hint="eastAsia" w:ascii="宋体" w:hAnsi="宋体" w:cs="宋体"/>
                <w:kern w:val="0"/>
                <w:sz w:val="20"/>
                <w:szCs w:val="20"/>
              </w:rPr>
              <w:t>10、主机内可集成专业DSP音频处理模块，具备AEC（自动回声消除）、AFC（自动反馈抑制）、ANC（自动降噪），提供清晰的授课环境；</w:t>
            </w:r>
            <w:r>
              <w:rPr>
                <w:rFonts w:hint="eastAsia" w:ascii="宋体" w:hAnsi="宋体" w:cs="宋体"/>
                <w:kern w:val="0"/>
                <w:sz w:val="20"/>
                <w:szCs w:val="20"/>
              </w:rPr>
              <w:br w:type="textWrapping"/>
            </w:r>
            <w:r>
              <w:rPr>
                <w:rFonts w:hint="eastAsia" w:ascii="宋体" w:hAnsi="宋体" w:cs="宋体"/>
                <w:kern w:val="0"/>
                <w:sz w:val="20"/>
                <w:szCs w:val="20"/>
              </w:rPr>
              <w:t>11、自主开发的嵌入式内核集成IIS服务器，可以在WEB界面直接登录设置网络参数；</w:t>
            </w:r>
            <w:r>
              <w:rPr>
                <w:rFonts w:hint="eastAsia" w:ascii="宋体" w:hAnsi="宋体" w:cs="宋体"/>
                <w:kern w:val="0"/>
                <w:sz w:val="20"/>
                <w:szCs w:val="20"/>
              </w:rPr>
              <w:br w:type="textWrapping"/>
            </w:r>
            <w:r>
              <w:rPr>
                <w:rFonts w:hint="eastAsia" w:ascii="宋体" w:hAnsi="宋体" w:cs="宋体"/>
                <w:kern w:val="0"/>
                <w:sz w:val="20"/>
                <w:szCs w:val="20"/>
              </w:rPr>
              <w:t>12、集成网络模块：支持远程集中化可视管理、与远程批处理、支持手机APP远程管理，采用DHCP技术自动分配IP地址，节省IP地址空间，不能采用设置固定IP地址方式；</w:t>
            </w:r>
          </w:p>
        </w:tc>
        <w:tc>
          <w:tcPr>
            <w:tcW w:w="233" w:type="pct"/>
            <w:tcBorders>
              <w:top w:val="nil"/>
              <w:left w:val="single" w:color="000000" w:sz="4" w:space="0"/>
              <w:bottom w:val="single" w:color="000000" w:sz="4" w:space="0"/>
              <w:right w:val="single" w:color="000000" w:sz="4" w:space="0"/>
            </w:tcBorders>
            <w:vAlign w:val="center"/>
          </w:tcPr>
          <w:p w14:paraId="094451A7">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323" w:type="pct"/>
            <w:tcBorders>
              <w:top w:val="nil"/>
              <w:left w:val="nil"/>
              <w:bottom w:val="single" w:color="000000" w:sz="4" w:space="0"/>
              <w:right w:val="single" w:color="000000" w:sz="4" w:space="0"/>
            </w:tcBorders>
            <w:vAlign w:val="center"/>
          </w:tcPr>
          <w:p w14:paraId="1CFD1A69">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289" w:type="pct"/>
            <w:tcBorders>
              <w:top w:val="nil"/>
              <w:left w:val="nil"/>
              <w:bottom w:val="single" w:color="000000" w:sz="4" w:space="0"/>
              <w:right w:val="single" w:color="000000" w:sz="4" w:space="0"/>
            </w:tcBorders>
            <w:vAlign w:val="center"/>
          </w:tcPr>
          <w:p w14:paraId="34EADE1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31574883">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7C85A4D9">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2E12222D">
            <w:pPr>
              <w:widowControl/>
              <w:spacing w:after="0" w:line="240" w:lineRule="auto"/>
              <w:jc w:val="right"/>
              <w:rPr>
                <w:rFonts w:hint="eastAsia" w:ascii="宋体" w:hAnsi="宋体" w:cs="宋体"/>
                <w:kern w:val="0"/>
                <w:sz w:val="20"/>
                <w:szCs w:val="20"/>
              </w:rPr>
            </w:pPr>
          </w:p>
        </w:tc>
        <w:tc>
          <w:tcPr>
            <w:tcW w:w="78" w:type="pct"/>
            <w:vAlign w:val="center"/>
          </w:tcPr>
          <w:p w14:paraId="08B5F03E">
            <w:pPr>
              <w:widowControl/>
              <w:spacing w:after="0" w:line="240" w:lineRule="auto"/>
              <w:jc w:val="left"/>
              <w:rPr>
                <w:rFonts w:eastAsia="Times New Roman"/>
                <w:kern w:val="0"/>
                <w:sz w:val="20"/>
                <w:szCs w:val="20"/>
              </w:rPr>
            </w:pPr>
          </w:p>
        </w:tc>
      </w:tr>
      <w:tr w14:paraId="13814353">
        <w:tblPrEx>
          <w:tblCellMar>
            <w:top w:w="0" w:type="dxa"/>
            <w:left w:w="108" w:type="dxa"/>
            <w:bottom w:w="0" w:type="dxa"/>
            <w:right w:w="108" w:type="dxa"/>
          </w:tblCellMar>
        </w:tblPrEx>
        <w:trPr>
          <w:trHeight w:val="840" w:hRule="atLeast"/>
        </w:trPr>
        <w:tc>
          <w:tcPr>
            <w:tcW w:w="264" w:type="pct"/>
            <w:tcBorders>
              <w:top w:val="nil"/>
              <w:left w:val="single" w:color="000000" w:sz="4" w:space="0"/>
              <w:bottom w:val="single" w:color="000000" w:sz="4" w:space="0"/>
              <w:right w:val="single" w:color="000000" w:sz="4" w:space="0"/>
            </w:tcBorders>
            <w:vAlign w:val="center"/>
          </w:tcPr>
          <w:p w14:paraId="6F266367">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10</w:t>
            </w:r>
          </w:p>
        </w:tc>
        <w:tc>
          <w:tcPr>
            <w:tcW w:w="491" w:type="pct"/>
            <w:tcBorders>
              <w:top w:val="nil"/>
              <w:left w:val="nil"/>
              <w:bottom w:val="single" w:color="000000" w:sz="4" w:space="0"/>
              <w:right w:val="single" w:color="000000" w:sz="4" w:space="0"/>
            </w:tcBorders>
            <w:vAlign w:val="center"/>
          </w:tcPr>
          <w:p w14:paraId="2EC05144">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教室中控系统-7寸触摸屏</w:t>
            </w:r>
          </w:p>
        </w:tc>
        <w:tc>
          <w:tcPr>
            <w:tcW w:w="2033" w:type="pct"/>
            <w:tcBorders>
              <w:top w:val="nil"/>
              <w:left w:val="single" w:color="auto" w:sz="4" w:space="0"/>
              <w:bottom w:val="single" w:color="auto" w:sz="4" w:space="0"/>
              <w:right w:val="single" w:color="auto" w:sz="4" w:space="0"/>
            </w:tcBorders>
            <w:vAlign w:val="center"/>
          </w:tcPr>
          <w:p w14:paraId="22FA7872">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1、7寸一体黑的玻璃面板真彩触摸屏，1024*600分辨率，可编程的控制界面及功能；</w:t>
            </w:r>
            <w:r>
              <w:rPr>
                <w:rFonts w:hint="eastAsia" w:ascii="宋体" w:hAnsi="宋体" w:cs="宋体"/>
                <w:kern w:val="0"/>
                <w:sz w:val="20"/>
                <w:szCs w:val="20"/>
              </w:rPr>
              <w:br w:type="textWrapping"/>
            </w:r>
            <w:r>
              <w:rPr>
                <w:rFonts w:hint="eastAsia" w:ascii="宋体" w:hAnsi="宋体" w:cs="宋体"/>
                <w:kern w:val="0"/>
                <w:sz w:val="20"/>
                <w:szCs w:val="20"/>
              </w:rPr>
              <w:t>2、显示教室环境参数和设备状态，实现对教室灯光、空调、交互大屏的控制等；屏幕界面、功能支持可编程；</w:t>
            </w:r>
            <w:r>
              <w:rPr>
                <w:rFonts w:hint="eastAsia" w:ascii="宋体" w:hAnsi="宋体" w:cs="宋体"/>
                <w:kern w:val="0"/>
                <w:sz w:val="20"/>
                <w:szCs w:val="20"/>
              </w:rPr>
              <w:br w:type="textWrapping"/>
            </w:r>
            <w:r>
              <w:rPr>
                <w:rFonts w:hint="eastAsia" w:ascii="宋体" w:hAnsi="宋体" w:cs="宋体"/>
                <w:kern w:val="0"/>
                <w:sz w:val="20"/>
                <w:szCs w:val="20"/>
              </w:rPr>
              <w:t>3、支持单界面或多界面跳转等多种触控及显示方式，支持200个界面转换；</w:t>
            </w:r>
            <w:r>
              <w:rPr>
                <w:rFonts w:hint="eastAsia" w:ascii="宋体" w:hAnsi="宋体" w:cs="宋体"/>
                <w:kern w:val="0"/>
                <w:sz w:val="20"/>
                <w:szCs w:val="20"/>
              </w:rPr>
              <w:br w:type="textWrapping"/>
            </w:r>
            <w:r>
              <w:rPr>
                <w:rFonts w:hint="eastAsia" w:ascii="宋体" w:hAnsi="宋体" w:cs="宋体"/>
                <w:kern w:val="0"/>
                <w:sz w:val="20"/>
                <w:szCs w:val="20"/>
              </w:rPr>
              <w:t>4、内置RTC时钟，支持日期及时间显示；支持亮度调节及屏幕保护，空闲时电子时钟屏保显示模式可编程；</w:t>
            </w:r>
            <w:r>
              <w:rPr>
                <w:rFonts w:hint="eastAsia" w:ascii="宋体" w:hAnsi="宋体" w:cs="宋体"/>
                <w:kern w:val="0"/>
                <w:sz w:val="20"/>
                <w:szCs w:val="20"/>
              </w:rPr>
              <w:br w:type="textWrapping"/>
            </w:r>
            <w:r>
              <w:rPr>
                <w:rFonts w:hint="eastAsia" w:ascii="宋体" w:hAnsi="宋体" w:cs="宋体"/>
                <w:kern w:val="0"/>
                <w:sz w:val="20"/>
                <w:szCs w:val="20"/>
              </w:rPr>
              <w:t>5、触摸屏带可编程的二维码，可通过手机扫码方式进行对授权的教室一键开启功能，学校老师可以无需携带IC卡，只要手机号授权即可实现开启设备；</w:t>
            </w:r>
          </w:p>
        </w:tc>
        <w:tc>
          <w:tcPr>
            <w:tcW w:w="233" w:type="pct"/>
            <w:tcBorders>
              <w:top w:val="nil"/>
              <w:left w:val="single" w:color="000000" w:sz="4" w:space="0"/>
              <w:bottom w:val="single" w:color="000000" w:sz="4" w:space="0"/>
              <w:right w:val="single" w:color="000000" w:sz="4" w:space="0"/>
            </w:tcBorders>
            <w:vAlign w:val="center"/>
          </w:tcPr>
          <w:p w14:paraId="7DEB5F9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323" w:type="pct"/>
            <w:tcBorders>
              <w:top w:val="nil"/>
              <w:left w:val="nil"/>
              <w:bottom w:val="single" w:color="000000" w:sz="4" w:space="0"/>
              <w:right w:val="single" w:color="000000" w:sz="4" w:space="0"/>
            </w:tcBorders>
            <w:vAlign w:val="center"/>
          </w:tcPr>
          <w:p w14:paraId="49BFFEB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289" w:type="pct"/>
            <w:tcBorders>
              <w:top w:val="nil"/>
              <w:left w:val="nil"/>
              <w:bottom w:val="single" w:color="000000" w:sz="4" w:space="0"/>
              <w:right w:val="single" w:color="000000" w:sz="4" w:space="0"/>
            </w:tcBorders>
            <w:vAlign w:val="center"/>
          </w:tcPr>
          <w:p w14:paraId="659AEBD2">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0355CC7B">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0D924176">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3EE5F6E0">
            <w:pPr>
              <w:widowControl/>
              <w:spacing w:after="0" w:line="240" w:lineRule="auto"/>
              <w:jc w:val="right"/>
              <w:rPr>
                <w:rFonts w:hint="eastAsia" w:ascii="宋体" w:hAnsi="宋体" w:cs="宋体"/>
                <w:kern w:val="0"/>
                <w:sz w:val="20"/>
                <w:szCs w:val="20"/>
              </w:rPr>
            </w:pPr>
          </w:p>
        </w:tc>
        <w:tc>
          <w:tcPr>
            <w:tcW w:w="78" w:type="pct"/>
            <w:vAlign w:val="center"/>
          </w:tcPr>
          <w:p w14:paraId="173CD342">
            <w:pPr>
              <w:widowControl/>
              <w:spacing w:after="0" w:line="240" w:lineRule="auto"/>
              <w:jc w:val="left"/>
              <w:rPr>
                <w:rFonts w:eastAsia="Times New Roman"/>
                <w:kern w:val="0"/>
                <w:sz w:val="20"/>
                <w:szCs w:val="20"/>
              </w:rPr>
            </w:pPr>
          </w:p>
        </w:tc>
      </w:tr>
      <w:tr w14:paraId="53F288D1">
        <w:tblPrEx>
          <w:tblCellMar>
            <w:top w:w="0" w:type="dxa"/>
            <w:left w:w="108" w:type="dxa"/>
            <w:bottom w:w="0" w:type="dxa"/>
            <w:right w:w="108" w:type="dxa"/>
          </w:tblCellMar>
        </w:tblPrEx>
        <w:trPr>
          <w:trHeight w:val="1159" w:hRule="atLeast"/>
        </w:trPr>
        <w:tc>
          <w:tcPr>
            <w:tcW w:w="264" w:type="pct"/>
            <w:tcBorders>
              <w:top w:val="nil"/>
              <w:left w:val="single" w:color="000000" w:sz="4" w:space="0"/>
              <w:bottom w:val="single" w:color="000000" w:sz="4" w:space="0"/>
              <w:right w:val="single" w:color="000000" w:sz="4" w:space="0"/>
            </w:tcBorders>
            <w:vAlign w:val="center"/>
          </w:tcPr>
          <w:p w14:paraId="61009168">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11</w:t>
            </w:r>
          </w:p>
        </w:tc>
        <w:tc>
          <w:tcPr>
            <w:tcW w:w="491" w:type="pct"/>
            <w:tcBorders>
              <w:top w:val="nil"/>
              <w:left w:val="nil"/>
              <w:bottom w:val="single" w:color="000000" w:sz="4" w:space="0"/>
              <w:right w:val="single" w:color="000000" w:sz="4" w:space="0"/>
            </w:tcBorders>
            <w:vAlign w:val="center"/>
          </w:tcPr>
          <w:p w14:paraId="6DD71CD8">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教室中控系统-边缘高聚合网关</w:t>
            </w:r>
          </w:p>
        </w:tc>
        <w:tc>
          <w:tcPr>
            <w:tcW w:w="2033" w:type="pct"/>
            <w:tcBorders>
              <w:top w:val="nil"/>
              <w:left w:val="single" w:color="auto" w:sz="4" w:space="0"/>
              <w:bottom w:val="single" w:color="auto" w:sz="4" w:space="0"/>
              <w:right w:val="single" w:color="auto" w:sz="4" w:space="0"/>
            </w:tcBorders>
            <w:vAlign w:val="center"/>
          </w:tcPr>
          <w:p w14:paraId="707A710B">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1、支持远程控制，IP地址可自动获取，无需调试及设置；</w:t>
            </w:r>
            <w:r>
              <w:rPr>
                <w:rFonts w:hint="eastAsia" w:ascii="宋体" w:hAnsi="宋体" w:cs="宋体"/>
                <w:kern w:val="0"/>
                <w:sz w:val="20"/>
                <w:szCs w:val="20"/>
              </w:rPr>
              <w:br w:type="textWrapping"/>
            </w:r>
            <w:r>
              <w:rPr>
                <w:rFonts w:hint="eastAsia" w:ascii="宋体" w:hAnsi="宋体" w:cs="宋体"/>
                <w:kern w:val="0"/>
                <w:sz w:val="20"/>
                <w:szCs w:val="20"/>
              </w:rPr>
              <w:t>2、搭配开关、调光或串口模块和控制面板等组成免编程控制系统，带256组场景，整个系统可挂63个模块；</w:t>
            </w:r>
            <w:r>
              <w:rPr>
                <w:rFonts w:hint="eastAsia" w:ascii="宋体" w:hAnsi="宋体" w:cs="宋体"/>
                <w:kern w:val="0"/>
                <w:sz w:val="20"/>
                <w:szCs w:val="20"/>
              </w:rPr>
              <w:br w:type="textWrapping"/>
            </w:r>
            <w:r>
              <w:rPr>
                <w:rFonts w:hint="eastAsia" w:ascii="宋体" w:hAnsi="宋体" w:cs="宋体"/>
                <w:kern w:val="0"/>
                <w:sz w:val="20"/>
                <w:szCs w:val="20"/>
              </w:rPr>
              <w:t>3、挂墙或桌面安装，集成LBUS总线，配合各种控制器，实现智能灯光、电动窗帘、智能用电用水、空调等的控制；</w:t>
            </w:r>
            <w:r>
              <w:rPr>
                <w:rFonts w:hint="eastAsia" w:ascii="宋体" w:hAnsi="宋体" w:cs="宋体"/>
                <w:kern w:val="0"/>
                <w:sz w:val="20"/>
                <w:szCs w:val="20"/>
              </w:rPr>
              <w:br w:type="textWrapping"/>
            </w:r>
            <w:r>
              <w:rPr>
                <w:rFonts w:hint="eastAsia" w:ascii="宋体" w:hAnsi="宋体" w:cs="宋体"/>
                <w:kern w:val="0"/>
                <w:sz w:val="20"/>
                <w:szCs w:val="20"/>
              </w:rPr>
              <w:t>4、集成1路MODBUS子总线，扩展连接多达32个智能空开；</w:t>
            </w:r>
            <w:r>
              <w:rPr>
                <w:rFonts w:hint="eastAsia" w:ascii="宋体" w:hAnsi="宋体" w:cs="宋体"/>
                <w:kern w:val="0"/>
                <w:sz w:val="20"/>
                <w:szCs w:val="20"/>
              </w:rPr>
              <w:br w:type="textWrapping"/>
            </w:r>
            <w:r>
              <w:rPr>
                <w:rFonts w:hint="eastAsia" w:ascii="宋体" w:hAnsi="宋体" w:cs="宋体"/>
                <w:kern w:val="0"/>
                <w:sz w:val="20"/>
                <w:szCs w:val="20"/>
              </w:rPr>
              <w:t>5、集成1路可编程RS485总线，扩展连接其他协议的物联设备；</w:t>
            </w:r>
            <w:r>
              <w:rPr>
                <w:rFonts w:hint="eastAsia" w:ascii="宋体" w:hAnsi="宋体" w:cs="宋体"/>
                <w:kern w:val="0"/>
                <w:sz w:val="20"/>
                <w:szCs w:val="20"/>
              </w:rPr>
              <w:br w:type="textWrapping"/>
            </w:r>
            <w:r>
              <w:rPr>
                <w:rFonts w:hint="eastAsia" w:ascii="宋体" w:hAnsi="宋体" w:cs="宋体"/>
                <w:kern w:val="0"/>
                <w:sz w:val="20"/>
                <w:szCs w:val="20"/>
              </w:rPr>
              <w:t>6、集成1路RS232输入总线，扩展连接其他控制面板等；</w:t>
            </w:r>
            <w:r>
              <w:rPr>
                <w:rFonts w:hint="eastAsia" w:ascii="宋体" w:hAnsi="宋体" w:cs="宋体"/>
                <w:kern w:val="0"/>
                <w:sz w:val="20"/>
                <w:szCs w:val="20"/>
              </w:rPr>
              <w:br w:type="textWrapping"/>
            </w:r>
            <w:r>
              <w:rPr>
                <w:rFonts w:hint="eastAsia" w:ascii="宋体" w:hAnsi="宋体" w:cs="宋体"/>
                <w:kern w:val="0"/>
                <w:sz w:val="20"/>
                <w:szCs w:val="20"/>
              </w:rPr>
              <w:t>7、采用SUBGHZ低功耗无线联网，无线设备自动搜索自动加入；</w:t>
            </w:r>
            <w:r>
              <w:rPr>
                <w:rFonts w:hint="eastAsia" w:ascii="宋体" w:hAnsi="宋体" w:cs="宋体"/>
                <w:kern w:val="0"/>
                <w:sz w:val="20"/>
                <w:szCs w:val="20"/>
              </w:rPr>
              <w:br w:type="textWrapping"/>
            </w:r>
            <w:r>
              <w:rPr>
                <w:rFonts w:hint="eastAsia" w:ascii="宋体" w:hAnsi="宋体" w:cs="宋体"/>
                <w:kern w:val="0"/>
                <w:sz w:val="20"/>
                <w:szCs w:val="20"/>
              </w:rPr>
              <w:t>8、可配置多达64个物联设备，兼容有线LPBUS协议，根据教室环境灵活部署；</w:t>
            </w:r>
          </w:p>
        </w:tc>
        <w:tc>
          <w:tcPr>
            <w:tcW w:w="233" w:type="pct"/>
            <w:tcBorders>
              <w:top w:val="nil"/>
              <w:left w:val="single" w:color="000000" w:sz="4" w:space="0"/>
              <w:bottom w:val="single" w:color="000000" w:sz="4" w:space="0"/>
              <w:right w:val="single" w:color="000000" w:sz="4" w:space="0"/>
            </w:tcBorders>
            <w:vAlign w:val="center"/>
          </w:tcPr>
          <w:p w14:paraId="244FA67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323" w:type="pct"/>
            <w:tcBorders>
              <w:top w:val="nil"/>
              <w:left w:val="nil"/>
              <w:bottom w:val="single" w:color="000000" w:sz="4" w:space="0"/>
              <w:right w:val="single" w:color="000000" w:sz="4" w:space="0"/>
            </w:tcBorders>
            <w:vAlign w:val="center"/>
          </w:tcPr>
          <w:p w14:paraId="1EB1D34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289" w:type="pct"/>
            <w:tcBorders>
              <w:top w:val="nil"/>
              <w:left w:val="nil"/>
              <w:bottom w:val="single" w:color="000000" w:sz="4" w:space="0"/>
              <w:right w:val="single" w:color="000000" w:sz="4" w:space="0"/>
            </w:tcBorders>
            <w:vAlign w:val="center"/>
          </w:tcPr>
          <w:p w14:paraId="2702756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245DBB05">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3ADC6BCF">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3520B87F">
            <w:pPr>
              <w:widowControl/>
              <w:spacing w:after="0" w:line="240" w:lineRule="auto"/>
              <w:jc w:val="right"/>
              <w:rPr>
                <w:rFonts w:hint="eastAsia" w:ascii="宋体" w:hAnsi="宋体" w:cs="宋体"/>
                <w:kern w:val="0"/>
                <w:sz w:val="20"/>
                <w:szCs w:val="20"/>
              </w:rPr>
            </w:pPr>
          </w:p>
        </w:tc>
        <w:tc>
          <w:tcPr>
            <w:tcW w:w="78" w:type="pct"/>
            <w:vAlign w:val="center"/>
          </w:tcPr>
          <w:p w14:paraId="4352A0E0">
            <w:pPr>
              <w:widowControl/>
              <w:spacing w:after="0" w:line="240" w:lineRule="auto"/>
              <w:jc w:val="left"/>
              <w:rPr>
                <w:rFonts w:eastAsia="Times New Roman"/>
                <w:kern w:val="0"/>
                <w:sz w:val="20"/>
                <w:szCs w:val="20"/>
              </w:rPr>
            </w:pPr>
          </w:p>
        </w:tc>
      </w:tr>
      <w:tr w14:paraId="13B66D26">
        <w:tblPrEx>
          <w:tblCellMar>
            <w:top w:w="0" w:type="dxa"/>
            <w:left w:w="108" w:type="dxa"/>
            <w:bottom w:w="0" w:type="dxa"/>
            <w:right w:w="108" w:type="dxa"/>
          </w:tblCellMar>
        </w:tblPrEx>
        <w:trPr>
          <w:trHeight w:val="2340" w:hRule="atLeast"/>
        </w:trPr>
        <w:tc>
          <w:tcPr>
            <w:tcW w:w="264" w:type="pct"/>
            <w:tcBorders>
              <w:top w:val="nil"/>
              <w:left w:val="single" w:color="000000" w:sz="4" w:space="0"/>
              <w:bottom w:val="single" w:color="000000" w:sz="4" w:space="0"/>
              <w:right w:val="single" w:color="000000" w:sz="4" w:space="0"/>
            </w:tcBorders>
            <w:vAlign w:val="center"/>
          </w:tcPr>
          <w:p w14:paraId="1A7792C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12</w:t>
            </w:r>
          </w:p>
        </w:tc>
        <w:tc>
          <w:tcPr>
            <w:tcW w:w="491" w:type="pct"/>
            <w:tcBorders>
              <w:top w:val="nil"/>
              <w:left w:val="nil"/>
              <w:bottom w:val="single" w:color="000000" w:sz="4" w:space="0"/>
              <w:right w:val="single" w:color="000000" w:sz="4" w:space="0"/>
            </w:tcBorders>
            <w:vAlign w:val="center"/>
          </w:tcPr>
          <w:p w14:paraId="7847398E">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教室中控系统-智能断路器</w:t>
            </w:r>
          </w:p>
        </w:tc>
        <w:tc>
          <w:tcPr>
            <w:tcW w:w="2033" w:type="pct"/>
            <w:tcBorders>
              <w:top w:val="nil"/>
              <w:left w:val="single" w:color="auto" w:sz="4" w:space="0"/>
              <w:bottom w:val="single" w:color="auto" w:sz="4" w:space="0"/>
              <w:right w:val="single" w:color="auto" w:sz="4" w:space="0"/>
            </w:tcBorders>
            <w:vAlign w:val="center"/>
          </w:tcPr>
          <w:p w14:paraId="5F77E52F">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1、具备MODBUS子总线，连接中控或通讯终端实现智能用电管理；</w:t>
            </w:r>
            <w:r>
              <w:rPr>
                <w:rFonts w:hint="eastAsia" w:ascii="宋体" w:hAnsi="宋体" w:cs="宋体"/>
                <w:kern w:val="0"/>
                <w:sz w:val="20"/>
                <w:szCs w:val="20"/>
              </w:rPr>
              <w:br w:type="textWrapping"/>
            </w:r>
            <w:r>
              <w:rPr>
                <w:rFonts w:hint="eastAsia" w:ascii="宋体" w:hAnsi="宋体" w:cs="宋体"/>
                <w:kern w:val="0"/>
                <w:sz w:val="20"/>
                <w:szCs w:val="20"/>
              </w:rPr>
              <w:t>2、32A大功率磁保持开关，强电控制采用过零触发方式，保护设备上电安全；</w:t>
            </w:r>
            <w:r>
              <w:rPr>
                <w:rFonts w:hint="eastAsia" w:ascii="宋体" w:hAnsi="宋体" w:cs="宋体"/>
                <w:kern w:val="0"/>
                <w:sz w:val="20"/>
                <w:szCs w:val="20"/>
              </w:rPr>
              <w:br w:type="textWrapping"/>
            </w:r>
            <w:r>
              <w:rPr>
                <w:rFonts w:hint="eastAsia" w:ascii="宋体" w:hAnsi="宋体" w:cs="宋体"/>
                <w:kern w:val="0"/>
                <w:sz w:val="20"/>
                <w:szCs w:val="20"/>
              </w:rPr>
              <w:t>3、三个智能断路器可组合配置同一ID，控制380V空调三相电源的通断；</w:t>
            </w:r>
            <w:r>
              <w:rPr>
                <w:rFonts w:hint="eastAsia" w:ascii="宋体" w:hAnsi="宋体" w:cs="宋体"/>
                <w:kern w:val="0"/>
                <w:sz w:val="20"/>
                <w:szCs w:val="20"/>
              </w:rPr>
              <w:br w:type="textWrapping"/>
            </w:r>
            <w:r>
              <w:rPr>
                <w:rFonts w:hint="eastAsia" w:ascii="宋体" w:hAnsi="宋体" w:cs="宋体"/>
                <w:kern w:val="0"/>
                <w:sz w:val="20"/>
                <w:szCs w:val="20"/>
              </w:rPr>
              <w:t>4、智能断路器不能有手动开关或按键，避免人为打开设备电源；</w:t>
            </w:r>
          </w:p>
        </w:tc>
        <w:tc>
          <w:tcPr>
            <w:tcW w:w="233" w:type="pct"/>
            <w:tcBorders>
              <w:top w:val="nil"/>
              <w:left w:val="single" w:color="000000" w:sz="4" w:space="0"/>
              <w:bottom w:val="single" w:color="000000" w:sz="4" w:space="0"/>
              <w:right w:val="single" w:color="000000" w:sz="4" w:space="0"/>
            </w:tcBorders>
            <w:vAlign w:val="center"/>
          </w:tcPr>
          <w:p w14:paraId="15A02BCC">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个</w:t>
            </w:r>
          </w:p>
        </w:tc>
        <w:tc>
          <w:tcPr>
            <w:tcW w:w="323" w:type="pct"/>
            <w:tcBorders>
              <w:top w:val="nil"/>
              <w:left w:val="nil"/>
              <w:bottom w:val="single" w:color="000000" w:sz="4" w:space="0"/>
              <w:right w:val="single" w:color="000000" w:sz="4" w:space="0"/>
            </w:tcBorders>
            <w:vAlign w:val="center"/>
          </w:tcPr>
          <w:p w14:paraId="3CBCDDE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289" w:type="pct"/>
            <w:tcBorders>
              <w:top w:val="nil"/>
              <w:left w:val="nil"/>
              <w:bottom w:val="single" w:color="000000" w:sz="4" w:space="0"/>
              <w:right w:val="single" w:color="000000" w:sz="4" w:space="0"/>
            </w:tcBorders>
            <w:vAlign w:val="center"/>
          </w:tcPr>
          <w:p w14:paraId="349A4BA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1E55F461">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628D007B">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56586751">
            <w:pPr>
              <w:widowControl/>
              <w:spacing w:after="0" w:line="240" w:lineRule="auto"/>
              <w:jc w:val="right"/>
              <w:rPr>
                <w:rFonts w:hint="eastAsia" w:ascii="宋体" w:hAnsi="宋体" w:cs="宋体"/>
                <w:kern w:val="0"/>
                <w:sz w:val="20"/>
                <w:szCs w:val="20"/>
              </w:rPr>
            </w:pPr>
          </w:p>
        </w:tc>
        <w:tc>
          <w:tcPr>
            <w:tcW w:w="78" w:type="pct"/>
            <w:vAlign w:val="center"/>
          </w:tcPr>
          <w:p w14:paraId="18807934">
            <w:pPr>
              <w:widowControl/>
              <w:spacing w:after="0" w:line="240" w:lineRule="auto"/>
              <w:jc w:val="left"/>
              <w:rPr>
                <w:rFonts w:eastAsia="Times New Roman"/>
                <w:kern w:val="0"/>
                <w:sz w:val="20"/>
                <w:szCs w:val="20"/>
              </w:rPr>
            </w:pPr>
          </w:p>
        </w:tc>
      </w:tr>
      <w:tr w14:paraId="0BB97CC2">
        <w:tblPrEx>
          <w:tblCellMar>
            <w:top w:w="0" w:type="dxa"/>
            <w:left w:w="108" w:type="dxa"/>
            <w:bottom w:w="0" w:type="dxa"/>
            <w:right w:w="108" w:type="dxa"/>
          </w:tblCellMar>
        </w:tblPrEx>
        <w:trPr>
          <w:trHeight w:val="942" w:hRule="atLeast"/>
        </w:trPr>
        <w:tc>
          <w:tcPr>
            <w:tcW w:w="264" w:type="pct"/>
            <w:tcBorders>
              <w:top w:val="nil"/>
              <w:left w:val="single" w:color="000000" w:sz="4" w:space="0"/>
              <w:bottom w:val="single" w:color="000000" w:sz="4" w:space="0"/>
              <w:right w:val="single" w:color="000000" w:sz="4" w:space="0"/>
            </w:tcBorders>
            <w:vAlign w:val="center"/>
          </w:tcPr>
          <w:p w14:paraId="5886198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13</w:t>
            </w:r>
          </w:p>
        </w:tc>
        <w:tc>
          <w:tcPr>
            <w:tcW w:w="491" w:type="pct"/>
            <w:tcBorders>
              <w:top w:val="nil"/>
              <w:left w:val="nil"/>
              <w:bottom w:val="single" w:color="000000" w:sz="4" w:space="0"/>
              <w:right w:val="single" w:color="000000" w:sz="4" w:space="0"/>
            </w:tcBorders>
            <w:vAlign w:val="center"/>
          </w:tcPr>
          <w:p w14:paraId="2B8F32C1">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教室中控系统-智能灯光开关</w:t>
            </w:r>
          </w:p>
        </w:tc>
        <w:tc>
          <w:tcPr>
            <w:tcW w:w="2033" w:type="pct"/>
            <w:tcBorders>
              <w:top w:val="nil"/>
              <w:left w:val="single" w:color="auto" w:sz="4" w:space="0"/>
              <w:bottom w:val="nil"/>
              <w:right w:val="single" w:color="auto" w:sz="4" w:space="0"/>
            </w:tcBorders>
            <w:vAlign w:val="center"/>
          </w:tcPr>
          <w:p w14:paraId="2F9AEB9C">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1、3个16A回路，微动按键控制，可通过自发电开关、遥控器、手机、IPAD或集控平台进行灯光及其它负载设备的控制；</w:t>
            </w:r>
            <w:r>
              <w:rPr>
                <w:rFonts w:hint="eastAsia" w:ascii="宋体" w:hAnsi="宋体" w:cs="宋体"/>
                <w:kern w:val="0"/>
                <w:sz w:val="20"/>
                <w:szCs w:val="20"/>
              </w:rPr>
              <w:br w:type="textWrapping"/>
            </w:r>
            <w:r>
              <w:rPr>
                <w:rFonts w:hint="eastAsia" w:ascii="宋体" w:hAnsi="宋体" w:cs="宋体"/>
                <w:kern w:val="0"/>
                <w:sz w:val="20"/>
                <w:szCs w:val="20"/>
              </w:rPr>
              <w:t>2、SUBGHZ协议无线连接智慧教室网关，可实现单开、联动开启、自定义场景模式等多种开启方式；</w:t>
            </w:r>
            <w:r>
              <w:rPr>
                <w:rFonts w:hint="eastAsia" w:ascii="宋体" w:hAnsi="宋体" w:cs="宋体"/>
                <w:kern w:val="0"/>
                <w:sz w:val="20"/>
                <w:szCs w:val="20"/>
              </w:rPr>
              <w:br w:type="textWrapping"/>
            </w:r>
            <w:r>
              <w:rPr>
                <w:rFonts w:hint="eastAsia" w:ascii="宋体" w:hAnsi="宋体" w:cs="宋体"/>
                <w:kern w:val="0"/>
                <w:sz w:val="20"/>
                <w:szCs w:val="20"/>
              </w:rPr>
              <w:t>3、16A大电流继电器，强电控制采用过零触发方式，保护设备上电安全；</w:t>
            </w:r>
            <w:r>
              <w:rPr>
                <w:rFonts w:hint="eastAsia" w:ascii="宋体" w:hAnsi="宋体" w:cs="宋体"/>
                <w:kern w:val="0"/>
                <w:sz w:val="20"/>
                <w:szCs w:val="20"/>
              </w:rPr>
              <w:br w:type="textWrapping"/>
            </w:r>
            <w:r>
              <w:rPr>
                <w:rFonts w:hint="eastAsia" w:ascii="宋体" w:hAnsi="宋体" w:cs="宋体"/>
                <w:kern w:val="0"/>
                <w:sz w:val="20"/>
                <w:szCs w:val="20"/>
              </w:rPr>
              <w:t>4、32路无线自发电开关对接，无线距离：室外100m，室内30m；</w:t>
            </w:r>
            <w:r>
              <w:rPr>
                <w:rFonts w:hint="eastAsia" w:ascii="宋体" w:hAnsi="宋体" w:cs="宋体"/>
                <w:kern w:val="0"/>
                <w:sz w:val="20"/>
                <w:szCs w:val="20"/>
              </w:rPr>
              <w:br w:type="textWrapping"/>
            </w:r>
            <w:r>
              <w:rPr>
                <w:rFonts w:hint="eastAsia" w:ascii="宋体" w:hAnsi="宋体" w:cs="宋体"/>
                <w:kern w:val="0"/>
                <w:sz w:val="20"/>
                <w:szCs w:val="20"/>
              </w:rPr>
              <w:t>5、工作电压：AC 220V，待机功耗小于1W；</w:t>
            </w:r>
            <w:r>
              <w:rPr>
                <w:rFonts w:hint="eastAsia" w:ascii="宋体" w:hAnsi="宋体" w:cs="宋体"/>
                <w:kern w:val="0"/>
                <w:sz w:val="20"/>
                <w:szCs w:val="20"/>
              </w:rPr>
              <w:br w:type="textWrapping"/>
            </w:r>
            <w:r>
              <w:rPr>
                <w:rFonts w:hint="eastAsia" w:ascii="宋体" w:hAnsi="宋体" w:cs="宋体"/>
                <w:kern w:val="0"/>
                <w:sz w:val="20"/>
                <w:szCs w:val="20"/>
              </w:rPr>
              <w:t>6、工作类型：86型自复位，可以安装在墙壁86底盒上；</w:t>
            </w:r>
          </w:p>
        </w:tc>
        <w:tc>
          <w:tcPr>
            <w:tcW w:w="233" w:type="pct"/>
            <w:tcBorders>
              <w:top w:val="nil"/>
              <w:left w:val="single" w:color="000000" w:sz="4" w:space="0"/>
              <w:bottom w:val="single" w:color="000000" w:sz="4" w:space="0"/>
              <w:right w:val="single" w:color="000000" w:sz="4" w:space="0"/>
            </w:tcBorders>
            <w:vAlign w:val="center"/>
          </w:tcPr>
          <w:p w14:paraId="654D7CD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323" w:type="pct"/>
            <w:tcBorders>
              <w:top w:val="nil"/>
              <w:left w:val="nil"/>
              <w:bottom w:val="single" w:color="000000" w:sz="4" w:space="0"/>
              <w:right w:val="single" w:color="000000" w:sz="4" w:space="0"/>
            </w:tcBorders>
            <w:vAlign w:val="center"/>
          </w:tcPr>
          <w:p w14:paraId="68BA19C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289" w:type="pct"/>
            <w:tcBorders>
              <w:top w:val="nil"/>
              <w:left w:val="nil"/>
              <w:bottom w:val="single" w:color="000000" w:sz="4" w:space="0"/>
              <w:right w:val="single" w:color="000000" w:sz="4" w:space="0"/>
            </w:tcBorders>
            <w:vAlign w:val="center"/>
          </w:tcPr>
          <w:p w14:paraId="467C5F9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2C6C9580">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5CB02152">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6BFB2E1D">
            <w:pPr>
              <w:widowControl/>
              <w:spacing w:after="0" w:line="240" w:lineRule="auto"/>
              <w:jc w:val="right"/>
              <w:rPr>
                <w:rFonts w:hint="eastAsia" w:ascii="宋体" w:hAnsi="宋体" w:cs="宋体"/>
                <w:kern w:val="0"/>
                <w:sz w:val="20"/>
                <w:szCs w:val="20"/>
              </w:rPr>
            </w:pPr>
          </w:p>
        </w:tc>
        <w:tc>
          <w:tcPr>
            <w:tcW w:w="78" w:type="pct"/>
            <w:vAlign w:val="center"/>
          </w:tcPr>
          <w:p w14:paraId="1E24FAE2">
            <w:pPr>
              <w:widowControl/>
              <w:spacing w:after="0" w:line="240" w:lineRule="auto"/>
              <w:jc w:val="left"/>
              <w:rPr>
                <w:rFonts w:eastAsia="Times New Roman"/>
                <w:kern w:val="0"/>
                <w:sz w:val="20"/>
                <w:szCs w:val="20"/>
              </w:rPr>
            </w:pPr>
          </w:p>
        </w:tc>
      </w:tr>
      <w:tr w14:paraId="7527AE6A">
        <w:tblPrEx>
          <w:tblCellMar>
            <w:top w:w="0" w:type="dxa"/>
            <w:left w:w="108" w:type="dxa"/>
            <w:bottom w:w="0" w:type="dxa"/>
            <w:right w:w="108" w:type="dxa"/>
          </w:tblCellMar>
        </w:tblPrEx>
        <w:trPr>
          <w:trHeight w:val="942" w:hRule="atLeast"/>
        </w:trPr>
        <w:tc>
          <w:tcPr>
            <w:tcW w:w="264" w:type="pct"/>
            <w:tcBorders>
              <w:top w:val="nil"/>
              <w:left w:val="single" w:color="000000" w:sz="4" w:space="0"/>
              <w:bottom w:val="single" w:color="000000" w:sz="4" w:space="0"/>
              <w:right w:val="single" w:color="000000" w:sz="4" w:space="0"/>
            </w:tcBorders>
            <w:vAlign w:val="center"/>
          </w:tcPr>
          <w:p w14:paraId="65F3CAF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14</w:t>
            </w:r>
          </w:p>
        </w:tc>
        <w:tc>
          <w:tcPr>
            <w:tcW w:w="491" w:type="pct"/>
            <w:tcBorders>
              <w:top w:val="nil"/>
              <w:left w:val="nil"/>
              <w:bottom w:val="single" w:color="000000" w:sz="4" w:space="0"/>
              <w:right w:val="single" w:color="000000" w:sz="4" w:space="0"/>
            </w:tcBorders>
            <w:vAlign w:val="center"/>
          </w:tcPr>
          <w:p w14:paraId="54BEFB57">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教室中控系统-21.5寸电子班牌</w:t>
            </w:r>
          </w:p>
        </w:tc>
        <w:tc>
          <w:tcPr>
            <w:tcW w:w="2033" w:type="pct"/>
            <w:tcBorders>
              <w:top w:val="single" w:color="auto" w:sz="4" w:space="0"/>
              <w:left w:val="single" w:color="auto" w:sz="4" w:space="0"/>
              <w:bottom w:val="single" w:color="auto" w:sz="4" w:space="0"/>
              <w:right w:val="single" w:color="auto" w:sz="4" w:space="0"/>
            </w:tcBorders>
            <w:shd w:val="clear" w:color="000000" w:fill="FFFFFF"/>
            <w:vAlign w:val="center"/>
          </w:tcPr>
          <w:p w14:paraId="3DBD119F">
            <w:pPr>
              <w:widowControl/>
              <w:spacing w:after="0" w:line="240" w:lineRule="auto"/>
              <w:rPr>
                <w:rFonts w:hint="eastAsia" w:ascii="宋体" w:hAnsi="宋体" w:cs="宋体"/>
                <w:kern w:val="0"/>
                <w:sz w:val="20"/>
                <w:szCs w:val="20"/>
              </w:rPr>
            </w:pPr>
            <w:r>
              <w:rPr>
                <w:rFonts w:hint="eastAsia" w:ascii="宋体" w:hAnsi="宋体" w:cs="宋体"/>
                <w:kern w:val="0"/>
                <w:sz w:val="20"/>
                <w:szCs w:val="20"/>
              </w:rPr>
              <w:t>1、屏幕尺寸：21.5英寸，分辨率：1920*1080，10点触控，16:9高清触摸屏，横竖版可选，屏幕亮度350cd/㎡；设置刷卡模块支持非接触刷卡；前置200万高清摄像头可在刷卡同时抓拍图像；</w:t>
            </w:r>
            <w:r>
              <w:rPr>
                <w:rFonts w:hint="eastAsia" w:ascii="宋体" w:hAnsi="宋体" w:cs="宋体"/>
                <w:kern w:val="0"/>
                <w:sz w:val="20"/>
                <w:szCs w:val="20"/>
              </w:rPr>
              <w:br w:type="textWrapping"/>
            </w:r>
            <w:r>
              <w:rPr>
                <w:rFonts w:hint="eastAsia" w:ascii="宋体" w:hAnsi="宋体" w:cs="宋体"/>
                <w:kern w:val="0"/>
                <w:sz w:val="20"/>
                <w:szCs w:val="20"/>
              </w:rPr>
              <w:t>2、采用4核高速处CPU理器，运行内存2GB DDR3，存储容量16GB，高性能运行配置；</w:t>
            </w:r>
            <w:r>
              <w:rPr>
                <w:rFonts w:hint="eastAsia" w:ascii="宋体" w:hAnsi="宋体" w:cs="宋体"/>
                <w:kern w:val="0"/>
                <w:sz w:val="20"/>
                <w:szCs w:val="20"/>
              </w:rPr>
              <w:br w:type="textWrapping"/>
            </w:r>
            <w:r>
              <w:rPr>
                <w:rFonts w:hint="eastAsia" w:ascii="宋体" w:hAnsi="宋体" w:cs="宋体"/>
                <w:kern w:val="0"/>
                <w:sz w:val="20"/>
                <w:szCs w:val="20"/>
              </w:rPr>
              <w:t>3、超薄壁挂设计，一体化成型外壳，钢化玻璃保护；采用高级电容触摸技术，多点触摸，无需激活力；</w:t>
            </w:r>
            <w:r>
              <w:rPr>
                <w:rFonts w:hint="eastAsia" w:ascii="宋体" w:hAnsi="宋体" w:cs="宋体"/>
                <w:kern w:val="0"/>
                <w:sz w:val="20"/>
                <w:szCs w:val="20"/>
              </w:rPr>
              <w:br w:type="textWrapping"/>
            </w:r>
            <w:r>
              <w:rPr>
                <w:rFonts w:hint="eastAsia" w:ascii="宋体" w:hAnsi="宋体" w:cs="宋体"/>
                <w:kern w:val="0"/>
                <w:sz w:val="20"/>
                <w:szCs w:val="20"/>
              </w:rPr>
              <w:t>4、电子班牌屏幕表面保护，硬度莫氏7级；屏保触摸激活功能；零维护设计，班牌面板防水防尘防护级别IP65。</w:t>
            </w:r>
            <w:r>
              <w:rPr>
                <w:rFonts w:hint="eastAsia" w:ascii="宋体" w:hAnsi="宋体" w:cs="宋体"/>
                <w:kern w:val="0"/>
                <w:sz w:val="20"/>
                <w:szCs w:val="20"/>
              </w:rPr>
              <w:br w:type="textWrapping"/>
            </w:r>
            <w:r>
              <w:rPr>
                <w:rFonts w:hint="eastAsia" w:ascii="宋体" w:hAnsi="宋体" w:cs="宋体"/>
                <w:kern w:val="0"/>
                <w:sz w:val="20"/>
                <w:szCs w:val="20"/>
              </w:rPr>
              <w:t>5、定时开关机、在线设备可以远程重启、音量要在设备端调节；</w:t>
            </w:r>
            <w:r>
              <w:rPr>
                <w:rFonts w:hint="eastAsia" w:ascii="宋体" w:hAnsi="宋体" w:cs="宋体"/>
                <w:kern w:val="0"/>
                <w:sz w:val="20"/>
                <w:szCs w:val="20"/>
              </w:rPr>
              <w:br w:type="textWrapping"/>
            </w:r>
            <w:r>
              <w:rPr>
                <w:rFonts w:hint="eastAsia" w:ascii="宋体" w:hAnsi="宋体" w:cs="宋体"/>
                <w:kern w:val="0"/>
                <w:sz w:val="20"/>
                <w:szCs w:val="20"/>
              </w:rPr>
              <w:t>6、可完美支持PPT、WORD、EXCEL等OFFICE文件的导入播放；兼容多种多媒体格式，支持 MPEG1、MPEG2、MPEG4、 H.263、H.264等视频格式；支持 MP3等音频格式；支持 JPG、JPEG、BMP、PNG、GIF 等图片格式。</w:t>
            </w:r>
            <w:r>
              <w:rPr>
                <w:rFonts w:hint="eastAsia" w:ascii="宋体" w:hAnsi="宋体" w:cs="宋体"/>
                <w:kern w:val="0"/>
                <w:sz w:val="20"/>
                <w:szCs w:val="20"/>
              </w:rPr>
              <w:br w:type="textWrapping"/>
            </w:r>
            <w:r>
              <w:rPr>
                <w:rFonts w:hint="eastAsia" w:ascii="宋体" w:hAnsi="宋体" w:cs="宋体"/>
                <w:kern w:val="0"/>
                <w:sz w:val="20"/>
                <w:szCs w:val="20"/>
              </w:rPr>
              <w:t xml:space="preserve">7、主要功能模块：班级文化、班级信息介绍、班级荣誉、班级相册、智慧呈现、班级德育、班级考勤、请假放行、学生个人中心、教学交互、课表显示、作业管理、德育管理、考场管理及考试签到、问卷调查、一卡通自助挂失/解绑、系统后台设置等； </w:t>
            </w:r>
            <w:r>
              <w:rPr>
                <w:rFonts w:hint="eastAsia" w:ascii="宋体" w:hAnsi="宋体" w:cs="宋体"/>
                <w:kern w:val="0"/>
                <w:sz w:val="20"/>
                <w:szCs w:val="20"/>
              </w:rPr>
              <w:br w:type="textWrapping"/>
            </w:r>
            <w:r>
              <w:rPr>
                <w:rFonts w:hint="eastAsia" w:ascii="宋体" w:hAnsi="宋体" w:cs="宋体"/>
                <w:kern w:val="0"/>
                <w:sz w:val="20"/>
                <w:szCs w:val="20"/>
              </w:rPr>
              <w:t>8、内置继电器和电磁锁，实现门禁功能，认证通过自动开锁功能，或远程开锁。</w:t>
            </w:r>
            <w:r>
              <w:rPr>
                <w:rFonts w:hint="eastAsia" w:ascii="宋体" w:hAnsi="宋体" w:cs="宋体"/>
                <w:kern w:val="0"/>
                <w:sz w:val="20"/>
                <w:szCs w:val="20"/>
              </w:rPr>
              <w:br w:type="textWrapping"/>
            </w:r>
            <w:r>
              <w:rPr>
                <w:rFonts w:hint="eastAsia" w:ascii="宋体" w:hAnsi="宋体" w:cs="宋体"/>
                <w:kern w:val="0"/>
                <w:sz w:val="20"/>
                <w:szCs w:val="20"/>
              </w:rPr>
              <w:t>9、显示当前教室任课教师、班级信、天气、时间信息，信息；</w:t>
            </w:r>
            <w:r>
              <w:rPr>
                <w:rFonts w:hint="eastAsia" w:ascii="宋体" w:hAnsi="宋体" w:cs="宋体"/>
                <w:kern w:val="0"/>
                <w:sz w:val="20"/>
                <w:szCs w:val="20"/>
              </w:rPr>
              <w:br w:type="textWrapping"/>
            </w:r>
            <w:r>
              <w:rPr>
                <w:rFonts w:hint="eastAsia" w:ascii="宋体" w:hAnsi="宋体" w:cs="宋体"/>
                <w:kern w:val="0"/>
                <w:sz w:val="20"/>
                <w:szCs w:val="20"/>
              </w:rPr>
              <w:t>10、显示当日课程表，可查看本周课程和考勤统计；</w:t>
            </w:r>
            <w:r>
              <w:rPr>
                <w:rFonts w:hint="eastAsia" w:ascii="宋体" w:hAnsi="宋体" w:cs="宋体"/>
                <w:kern w:val="0"/>
                <w:sz w:val="20"/>
                <w:szCs w:val="20"/>
              </w:rPr>
              <w:br w:type="textWrapping"/>
            </w:r>
            <w:r>
              <w:rPr>
                <w:rFonts w:hint="eastAsia" w:ascii="宋体" w:hAnsi="宋体" w:cs="宋体"/>
                <w:kern w:val="0"/>
                <w:sz w:val="20"/>
                <w:szCs w:val="20"/>
              </w:rPr>
              <w:t>11、根据后台设定时间，自动切换页面全屏轮播，如学校动态、班级动态、通知公告等，后台时间设定规则可自定义。</w:t>
            </w:r>
            <w:r>
              <w:rPr>
                <w:rFonts w:hint="eastAsia" w:ascii="宋体" w:hAnsi="宋体" w:cs="宋体"/>
                <w:kern w:val="0"/>
                <w:sz w:val="20"/>
                <w:szCs w:val="20"/>
              </w:rPr>
              <w:br w:type="textWrapping"/>
            </w:r>
            <w:r>
              <w:rPr>
                <w:rFonts w:hint="eastAsia" w:ascii="宋体" w:hAnsi="宋体" w:cs="宋体"/>
                <w:kern w:val="0"/>
                <w:sz w:val="20"/>
                <w:szCs w:val="20"/>
              </w:rPr>
              <w:t>12、平台可根据实际需求自定义各模块管理规则，对接教务系统，实现数据互通。</w:t>
            </w:r>
            <w:r>
              <w:rPr>
                <w:rFonts w:hint="eastAsia" w:ascii="宋体" w:hAnsi="宋体" w:cs="宋体"/>
                <w:kern w:val="0"/>
                <w:sz w:val="20"/>
                <w:szCs w:val="20"/>
              </w:rPr>
              <w:br w:type="textWrapping"/>
            </w:r>
            <w:r>
              <w:rPr>
                <w:rFonts w:hint="eastAsia" w:ascii="宋体" w:hAnsi="宋体" w:cs="宋体"/>
                <w:kern w:val="0"/>
                <w:sz w:val="20"/>
                <w:szCs w:val="20"/>
              </w:rPr>
              <w:t>13、对接教务课表展示在班牌端，学生进行课堂考勤。</w:t>
            </w:r>
          </w:p>
        </w:tc>
        <w:tc>
          <w:tcPr>
            <w:tcW w:w="233" w:type="pct"/>
            <w:tcBorders>
              <w:top w:val="nil"/>
              <w:left w:val="single" w:color="000000" w:sz="4" w:space="0"/>
              <w:bottom w:val="single" w:color="000000" w:sz="4" w:space="0"/>
              <w:right w:val="single" w:color="000000" w:sz="4" w:space="0"/>
            </w:tcBorders>
            <w:vAlign w:val="center"/>
          </w:tcPr>
          <w:p w14:paraId="1959D28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台</w:t>
            </w:r>
          </w:p>
        </w:tc>
        <w:tc>
          <w:tcPr>
            <w:tcW w:w="323" w:type="pct"/>
            <w:tcBorders>
              <w:top w:val="nil"/>
              <w:left w:val="nil"/>
              <w:bottom w:val="single" w:color="000000" w:sz="4" w:space="0"/>
              <w:right w:val="single" w:color="000000" w:sz="4" w:space="0"/>
            </w:tcBorders>
            <w:vAlign w:val="center"/>
          </w:tcPr>
          <w:p w14:paraId="25EDA59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155</w:t>
            </w:r>
          </w:p>
        </w:tc>
        <w:tc>
          <w:tcPr>
            <w:tcW w:w="289" w:type="pct"/>
            <w:tcBorders>
              <w:top w:val="nil"/>
              <w:left w:val="nil"/>
              <w:bottom w:val="single" w:color="000000" w:sz="4" w:space="0"/>
              <w:right w:val="single" w:color="000000" w:sz="4" w:space="0"/>
            </w:tcBorders>
            <w:vAlign w:val="center"/>
          </w:tcPr>
          <w:p w14:paraId="28F63599">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0872FAB7">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3E08E093">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759C33AD">
            <w:pPr>
              <w:widowControl/>
              <w:spacing w:after="0" w:line="240" w:lineRule="auto"/>
              <w:jc w:val="right"/>
              <w:rPr>
                <w:rFonts w:hint="eastAsia" w:ascii="宋体" w:hAnsi="宋体" w:cs="宋体"/>
                <w:kern w:val="0"/>
                <w:sz w:val="20"/>
                <w:szCs w:val="20"/>
              </w:rPr>
            </w:pPr>
          </w:p>
        </w:tc>
        <w:tc>
          <w:tcPr>
            <w:tcW w:w="78" w:type="pct"/>
            <w:vAlign w:val="center"/>
          </w:tcPr>
          <w:p w14:paraId="0477709B">
            <w:pPr>
              <w:widowControl/>
              <w:spacing w:after="0" w:line="240" w:lineRule="auto"/>
              <w:jc w:val="left"/>
              <w:rPr>
                <w:rFonts w:eastAsia="Times New Roman"/>
                <w:kern w:val="0"/>
                <w:sz w:val="20"/>
                <w:szCs w:val="20"/>
              </w:rPr>
            </w:pPr>
          </w:p>
        </w:tc>
      </w:tr>
      <w:tr w14:paraId="3F94D834">
        <w:tblPrEx>
          <w:tblCellMar>
            <w:top w:w="0" w:type="dxa"/>
            <w:left w:w="108" w:type="dxa"/>
            <w:bottom w:w="0" w:type="dxa"/>
            <w:right w:w="108" w:type="dxa"/>
          </w:tblCellMar>
        </w:tblPrEx>
        <w:trPr>
          <w:trHeight w:val="2059" w:hRule="atLeast"/>
        </w:trPr>
        <w:tc>
          <w:tcPr>
            <w:tcW w:w="264" w:type="pct"/>
            <w:tcBorders>
              <w:top w:val="nil"/>
              <w:left w:val="single" w:color="000000" w:sz="4" w:space="0"/>
              <w:bottom w:val="single" w:color="000000" w:sz="4" w:space="0"/>
              <w:right w:val="single" w:color="000000" w:sz="4" w:space="0"/>
            </w:tcBorders>
            <w:vAlign w:val="center"/>
          </w:tcPr>
          <w:p w14:paraId="0E5B1CFC">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15</w:t>
            </w:r>
          </w:p>
        </w:tc>
        <w:tc>
          <w:tcPr>
            <w:tcW w:w="491" w:type="pct"/>
            <w:tcBorders>
              <w:top w:val="nil"/>
              <w:left w:val="nil"/>
              <w:bottom w:val="single" w:color="000000" w:sz="4" w:space="0"/>
              <w:right w:val="single" w:color="000000" w:sz="4" w:space="0"/>
            </w:tcBorders>
            <w:vAlign w:val="center"/>
          </w:tcPr>
          <w:p w14:paraId="5873A86B">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直饮水机电源控制器</w:t>
            </w:r>
          </w:p>
        </w:tc>
        <w:tc>
          <w:tcPr>
            <w:tcW w:w="2033" w:type="pct"/>
            <w:tcBorders>
              <w:top w:val="single" w:color="000000" w:sz="4" w:space="0"/>
              <w:left w:val="nil"/>
              <w:bottom w:val="single" w:color="000000" w:sz="4" w:space="0"/>
              <w:right w:val="single" w:color="000000" w:sz="4" w:space="0"/>
            </w:tcBorders>
            <w:vAlign w:val="center"/>
          </w:tcPr>
          <w:p w14:paraId="6810E58A">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1.用电量计量</w:t>
            </w:r>
            <w:r>
              <w:rPr>
                <w:rFonts w:hint="eastAsia" w:ascii="宋体" w:hAnsi="宋体" w:cs="宋体"/>
                <w:kern w:val="0"/>
                <w:sz w:val="20"/>
                <w:szCs w:val="20"/>
              </w:rPr>
              <w:br w:type="textWrapping"/>
            </w:r>
            <w:r>
              <w:rPr>
                <w:rFonts w:hint="eastAsia" w:ascii="宋体" w:hAnsi="宋体" w:cs="宋体"/>
                <w:kern w:val="0"/>
                <w:sz w:val="20"/>
                <w:szCs w:val="20"/>
              </w:rPr>
              <w:t>2.定时控制管理</w:t>
            </w:r>
            <w:r>
              <w:rPr>
                <w:rFonts w:hint="eastAsia" w:ascii="宋体" w:hAnsi="宋体" w:cs="宋体"/>
                <w:kern w:val="0"/>
                <w:sz w:val="20"/>
                <w:szCs w:val="20"/>
              </w:rPr>
              <w:br w:type="textWrapping"/>
            </w:r>
            <w:r>
              <w:rPr>
                <w:rFonts w:hint="eastAsia" w:ascii="宋体" w:hAnsi="宋体" w:cs="宋体"/>
                <w:kern w:val="0"/>
                <w:sz w:val="20"/>
                <w:szCs w:val="20"/>
              </w:rPr>
              <w:t>3.蓝牙无线配置功能</w:t>
            </w:r>
            <w:r>
              <w:rPr>
                <w:rFonts w:hint="eastAsia" w:ascii="宋体" w:hAnsi="宋体" w:cs="宋体"/>
                <w:kern w:val="0"/>
                <w:sz w:val="20"/>
                <w:szCs w:val="20"/>
              </w:rPr>
              <w:br w:type="textWrapping"/>
            </w:r>
            <w:r>
              <w:rPr>
                <w:rFonts w:hint="eastAsia" w:ascii="宋体" w:hAnsi="宋体" w:cs="宋体"/>
                <w:kern w:val="0"/>
                <w:sz w:val="20"/>
                <w:szCs w:val="20"/>
              </w:rPr>
              <w:t>4.过载保护，自动断电</w:t>
            </w:r>
            <w:r>
              <w:rPr>
                <w:rFonts w:hint="eastAsia" w:ascii="宋体" w:hAnsi="宋体" w:cs="宋体"/>
                <w:kern w:val="0"/>
                <w:sz w:val="20"/>
                <w:szCs w:val="20"/>
              </w:rPr>
              <w:br w:type="textWrapping"/>
            </w:r>
            <w:r>
              <w:rPr>
                <w:rFonts w:hint="eastAsia" w:ascii="宋体" w:hAnsi="宋体" w:cs="宋体"/>
                <w:kern w:val="0"/>
                <w:sz w:val="20"/>
                <w:szCs w:val="20"/>
              </w:rPr>
              <w:t>5.4G无线通讯功能</w:t>
            </w:r>
            <w:r>
              <w:rPr>
                <w:rFonts w:hint="eastAsia" w:ascii="宋体" w:hAnsi="宋体" w:cs="宋体"/>
                <w:kern w:val="0"/>
                <w:sz w:val="20"/>
                <w:szCs w:val="20"/>
              </w:rPr>
              <w:br w:type="textWrapping"/>
            </w:r>
            <w:r>
              <w:rPr>
                <w:rFonts w:hint="eastAsia" w:ascii="宋体" w:hAnsi="宋体" w:cs="宋体"/>
                <w:kern w:val="0"/>
                <w:sz w:val="20"/>
                <w:szCs w:val="20"/>
              </w:rPr>
              <w:t>6.防火材质</w:t>
            </w:r>
            <w:r>
              <w:rPr>
                <w:rFonts w:hint="eastAsia" w:ascii="宋体" w:hAnsi="宋体" w:cs="宋体"/>
                <w:kern w:val="0"/>
                <w:sz w:val="20"/>
                <w:szCs w:val="20"/>
              </w:rPr>
              <w:br w:type="textWrapping"/>
            </w:r>
            <w:r>
              <w:rPr>
                <w:rFonts w:hint="eastAsia" w:ascii="宋体" w:hAnsi="宋体" w:cs="宋体"/>
                <w:kern w:val="0"/>
                <w:sz w:val="20"/>
                <w:szCs w:val="20"/>
              </w:rPr>
              <w:t>7.自带控制系统，可远程控制。</w:t>
            </w:r>
          </w:p>
        </w:tc>
        <w:tc>
          <w:tcPr>
            <w:tcW w:w="233" w:type="pct"/>
            <w:tcBorders>
              <w:top w:val="nil"/>
              <w:left w:val="nil"/>
              <w:bottom w:val="single" w:color="000000" w:sz="4" w:space="0"/>
              <w:right w:val="single" w:color="000000" w:sz="4" w:space="0"/>
            </w:tcBorders>
            <w:vAlign w:val="center"/>
          </w:tcPr>
          <w:p w14:paraId="6B42C2B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个</w:t>
            </w:r>
          </w:p>
        </w:tc>
        <w:tc>
          <w:tcPr>
            <w:tcW w:w="323" w:type="pct"/>
            <w:tcBorders>
              <w:top w:val="nil"/>
              <w:left w:val="nil"/>
              <w:bottom w:val="single" w:color="000000" w:sz="4" w:space="0"/>
              <w:right w:val="single" w:color="000000" w:sz="4" w:space="0"/>
            </w:tcBorders>
            <w:vAlign w:val="center"/>
          </w:tcPr>
          <w:p w14:paraId="7B34A95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80</w:t>
            </w:r>
          </w:p>
        </w:tc>
        <w:tc>
          <w:tcPr>
            <w:tcW w:w="289" w:type="pct"/>
            <w:tcBorders>
              <w:top w:val="nil"/>
              <w:left w:val="nil"/>
              <w:bottom w:val="single" w:color="000000" w:sz="4" w:space="0"/>
              <w:right w:val="single" w:color="000000" w:sz="4" w:space="0"/>
            </w:tcBorders>
            <w:vAlign w:val="center"/>
          </w:tcPr>
          <w:p w14:paraId="2E50632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5CF91AE6">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5B89BED2">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4E6A7340">
            <w:pPr>
              <w:widowControl/>
              <w:spacing w:after="0" w:line="240" w:lineRule="auto"/>
              <w:jc w:val="right"/>
              <w:rPr>
                <w:rFonts w:hint="eastAsia" w:ascii="宋体" w:hAnsi="宋体" w:cs="宋体"/>
                <w:kern w:val="0"/>
                <w:sz w:val="20"/>
                <w:szCs w:val="20"/>
              </w:rPr>
            </w:pPr>
          </w:p>
        </w:tc>
        <w:tc>
          <w:tcPr>
            <w:tcW w:w="78" w:type="pct"/>
            <w:vAlign w:val="center"/>
          </w:tcPr>
          <w:p w14:paraId="64D44CD8">
            <w:pPr>
              <w:widowControl/>
              <w:spacing w:after="0" w:line="240" w:lineRule="auto"/>
              <w:jc w:val="left"/>
              <w:rPr>
                <w:rFonts w:eastAsia="Times New Roman"/>
                <w:kern w:val="0"/>
                <w:sz w:val="20"/>
                <w:szCs w:val="20"/>
              </w:rPr>
            </w:pPr>
          </w:p>
        </w:tc>
      </w:tr>
      <w:tr w14:paraId="6469F444">
        <w:tblPrEx>
          <w:tblCellMar>
            <w:top w:w="0" w:type="dxa"/>
            <w:left w:w="108" w:type="dxa"/>
            <w:bottom w:w="0" w:type="dxa"/>
            <w:right w:w="108" w:type="dxa"/>
          </w:tblCellMar>
        </w:tblPrEx>
        <w:trPr>
          <w:trHeight w:val="619" w:hRule="atLeast"/>
        </w:trPr>
        <w:tc>
          <w:tcPr>
            <w:tcW w:w="264" w:type="pct"/>
            <w:tcBorders>
              <w:top w:val="nil"/>
              <w:left w:val="single" w:color="000000" w:sz="4" w:space="0"/>
              <w:bottom w:val="single" w:color="000000" w:sz="4" w:space="0"/>
              <w:right w:val="single" w:color="000000" w:sz="4" w:space="0"/>
            </w:tcBorders>
            <w:vAlign w:val="center"/>
          </w:tcPr>
          <w:p w14:paraId="4C3725A5">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16</w:t>
            </w:r>
          </w:p>
        </w:tc>
        <w:tc>
          <w:tcPr>
            <w:tcW w:w="491" w:type="pct"/>
            <w:tcBorders>
              <w:top w:val="nil"/>
              <w:left w:val="nil"/>
              <w:bottom w:val="single" w:color="000000" w:sz="4" w:space="0"/>
              <w:right w:val="single" w:color="000000" w:sz="4" w:space="0"/>
            </w:tcBorders>
            <w:vAlign w:val="center"/>
          </w:tcPr>
          <w:p w14:paraId="7AAC1436">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灯控开关增加零线</w:t>
            </w:r>
          </w:p>
        </w:tc>
        <w:tc>
          <w:tcPr>
            <w:tcW w:w="2033" w:type="pct"/>
            <w:tcBorders>
              <w:top w:val="nil"/>
              <w:left w:val="nil"/>
              <w:bottom w:val="single" w:color="000000" w:sz="4" w:space="0"/>
              <w:right w:val="single" w:color="000000" w:sz="4" w:space="0"/>
            </w:tcBorders>
            <w:vAlign w:val="center"/>
          </w:tcPr>
          <w:p w14:paraId="369063B0">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 xml:space="preserve">1.铜芯电力电缆敷设 电缆(截面mm2以下) </w:t>
            </w:r>
            <w:r>
              <w:rPr>
                <w:rFonts w:hint="eastAsia" w:ascii="宋体" w:hAnsi="宋体" w:cs="宋体"/>
                <w:kern w:val="0"/>
                <w:sz w:val="20"/>
                <w:szCs w:val="20"/>
              </w:rPr>
              <w:br w:type="textWrapping"/>
            </w:r>
            <w:r>
              <w:rPr>
                <w:rFonts w:hint="eastAsia" w:ascii="宋体" w:hAnsi="宋体" w:cs="宋体"/>
                <w:kern w:val="0"/>
                <w:sz w:val="20"/>
                <w:szCs w:val="20"/>
              </w:rPr>
              <w:t>BVR-1*2.5mm2</w:t>
            </w:r>
          </w:p>
        </w:tc>
        <w:tc>
          <w:tcPr>
            <w:tcW w:w="233" w:type="pct"/>
            <w:tcBorders>
              <w:top w:val="nil"/>
              <w:left w:val="nil"/>
              <w:bottom w:val="single" w:color="000000" w:sz="4" w:space="0"/>
              <w:right w:val="single" w:color="000000" w:sz="4" w:space="0"/>
            </w:tcBorders>
            <w:vAlign w:val="center"/>
          </w:tcPr>
          <w:p w14:paraId="5C4D2B61">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m</w:t>
            </w:r>
          </w:p>
        </w:tc>
        <w:tc>
          <w:tcPr>
            <w:tcW w:w="323" w:type="pct"/>
            <w:tcBorders>
              <w:top w:val="nil"/>
              <w:left w:val="nil"/>
              <w:bottom w:val="single" w:color="000000" w:sz="4" w:space="0"/>
              <w:right w:val="single" w:color="000000" w:sz="4" w:space="0"/>
            </w:tcBorders>
            <w:vAlign w:val="center"/>
          </w:tcPr>
          <w:p w14:paraId="17861D47">
            <w:pPr>
              <w:widowControl/>
              <w:spacing w:after="0" w:line="240" w:lineRule="auto"/>
              <w:jc w:val="center"/>
              <w:rPr>
                <w:rFonts w:hint="eastAsia" w:ascii="宋体" w:hAnsi="宋体" w:cs="宋体"/>
                <w:kern w:val="0"/>
                <w:sz w:val="20"/>
                <w:szCs w:val="20"/>
              </w:rPr>
            </w:pPr>
            <w:r>
              <w:rPr>
                <w:rFonts w:hint="eastAsia" w:ascii="宋体" w:hAnsi="宋体" w:cs="宋体"/>
                <w:color w:val="FF0000"/>
                <w:kern w:val="0"/>
                <w:sz w:val="20"/>
                <w:szCs w:val="20"/>
              </w:rPr>
              <w:t>3100</w:t>
            </w:r>
          </w:p>
        </w:tc>
        <w:tc>
          <w:tcPr>
            <w:tcW w:w="289" w:type="pct"/>
            <w:tcBorders>
              <w:top w:val="nil"/>
              <w:left w:val="nil"/>
              <w:bottom w:val="single" w:color="000000" w:sz="4" w:space="0"/>
              <w:right w:val="single" w:color="000000" w:sz="4" w:space="0"/>
            </w:tcBorders>
            <w:vAlign w:val="center"/>
          </w:tcPr>
          <w:p w14:paraId="0F1DFBFF">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0C5918E4">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511C9F98">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52236FF8">
            <w:pPr>
              <w:widowControl/>
              <w:spacing w:after="0" w:line="240" w:lineRule="auto"/>
              <w:jc w:val="right"/>
              <w:rPr>
                <w:rFonts w:hint="eastAsia" w:ascii="宋体" w:hAnsi="宋体" w:cs="宋体"/>
                <w:kern w:val="0"/>
                <w:sz w:val="20"/>
                <w:szCs w:val="20"/>
              </w:rPr>
            </w:pPr>
          </w:p>
        </w:tc>
        <w:tc>
          <w:tcPr>
            <w:tcW w:w="78" w:type="pct"/>
            <w:vAlign w:val="center"/>
          </w:tcPr>
          <w:p w14:paraId="348B708F">
            <w:pPr>
              <w:widowControl/>
              <w:spacing w:after="0" w:line="240" w:lineRule="auto"/>
              <w:jc w:val="left"/>
              <w:rPr>
                <w:rFonts w:eastAsia="Times New Roman"/>
                <w:kern w:val="0"/>
                <w:sz w:val="20"/>
                <w:szCs w:val="20"/>
              </w:rPr>
            </w:pPr>
          </w:p>
        </w:tc>
      </w:tr>
      <w:tr w14:paraId="4589008F">
        <w:tblPrEx>
          <w:tblCellMar>
            <w:top w:w="0" w:type="dxa"/>
            <w:left w:w="108" w:type="dxa"/>
            <w:bottom w:w="0" w:type="dxa"/>
            <w:right w:w="108" w:type="dxa"/>
          </w:tblCellMar>
        </w:tblPrEx>
        <w:trPr>
          <w:trHeight w:val="619" w:hRule="atLeast"/>
        </w:trPr>
        <w:tc>
          <w:tcPr>
            <w:tcW w:w="264" w:type="pct"/>
            <w:tcBorders>
              <w:top w:val="nil"/>
              <w:left w:val="single" w:color="000000" w:sz="4" w:space="0"/>
              <w:bottom w:val="single" w:color="000000" w:sz="4" w:space="0"/>
              <w:right w:val="single" w:color="000000" w:sz="4" w:space="0"/>
            </w:tcBorders>
            <w:vAlign w:val="center"/>
          </w:tcPr>
          <w:p w14:paraId="4FCCB822">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17</w:t>
            </w:r>
          </w:p>
        </w:tc>
        <w:tc>
          <w:tcPr>
            <w:tcW w:w="491" w:type="pct"/>
            <w:tcBorders>
              <w:top w:val="nil"/>
              <w:left w:val="nil"/>
              <w:bottom w:val="single" w:color="000000" w:sz="4" w:space="0"/>
              <w:right w:val="single" w:color="000000" w:sz="4" w:space="0"/>
            </w:tcBorders>
            <w:vAlign w:val="center"/>
          </w:tcPr>
          <w:p w14:paraId="7BC0CB9C">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通讯线</w:t>
            </w:r>
          </w:p>
        </w:tc>
        <w:tc>
          <w:tcPr>
            <w:tcW w:w="2033" w:type="pct"/>
            <w:tcBorders>
              <w:top w:val="nil"/>
              <w:left w:val="nil"/>
              <w:bottom w:val="single" w:color="000000" w:sz="4" w:space="0"/>
              <w:right w:val="single" w:color="000000" w:sz="4" w:space="0"/>
            </w:tcBorders>
            <w:vAlign w:val="center"/>
          </w:tcPr>
          <w:p w14:paraId="2E502904">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 xml:space="preserve">1.铜芯电力电缆敷设 电缆(截面mm2以下) </w:t>
            </w:r>
            <w:r>
              <w:rPr>
                <w:rFonts w:hint="eastAsia" w:ascii="宋体" w:hAnsi="宋体" w:cs="宋体"/>
                <w:kern w:val="0"/>
                <w:sz w:val="20"/>
                <w:szCs w:val="20"/>
              </w:rPr>
              <w:br w:type="textWrapping"/>
            </w:r>
            <w:r>
              <w:rPr>
                <w:rFonts w:hint="eastAsia" w:ascii="宋体" w:hAnsi="宋体" w:cs="宋体"/>
                <w:kern w:val="0"/>
                <w:sz w:val="20"/>
                <w:szCs w:val="20"/>
              </w:rPr>
              <w:t>RVVSP2*1.0mm2</w:t>
            </w:r>
          </w:p>
        </w:tc>
        <w:tc>
          <w:tcPr>
            <w:tcW w:w="233" w:type="pct"/>
            <w:tcBorders>
              <w:top w:val="nil"/>
              <w:left w:val="nil"/>
              <w:bottom w:val="single" w:color="000000" w:sz="4" w:space="0"/>
              <w:right w:val="single" w:color="000000" w:sz="4" w:space="0"/>
            </w:tcBorders>
            <w:vAlign w:val="center"/>
          </w:tcPr>
          <w:p w14:paraId="54425658">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m</w:t>
            </w:r>
          </w:p>
        </w:tc>
        <w:tc>
          <w:tcPr>
            <w:tcW w:w="323" w:type="pct"/>
            <w:tcBorders>
              <w:top w:val="nil"/>
              <w:left w:val="nil"/>
              <w:bottom w:val="single" w:color="000000" w:sz="4" w:space="0"/>
              <w:right w:val="single" w:color="000000" w:sz="4" w:space="0"/>
            </w:tcBorders>
            <w:vAlign w:val="center"/>
          </w:tcPr>
          <w:p w14:paraId="0FF74A49">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6200</w:t>
            </w:r>
          </w:p>
        </w:tc>
        <w:tc>
          <w:tcPr>
            <w:tcW w:w="289" w:type="pct"/>
            <w:tcBorders>
              <w:top w:val="nil"/>
              <w:left w:val="nil"/>
              <w:bottom w:val="single" w:color="000000" w:sz="4" w:space="0"/>
              <w:right w:val="single" w:color="000000" w:sz="4" w:space="0"/>
            </w:tcBorders>
            <w:vAlign w:val="center"/>
          </w:tcPr>
          <w:p w14:paraId="1CE97D9B">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448467CB">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268EB156">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4B35FADF">
            <w:pPr>
              <w:widowControl/>
              <w:spacing w:after="0" w:line="240" w:lineRule="auto"/>
              <w:jc w:val="right"/>
              <w:rPr>
                <w:rFonts w:hint="eastAsia" w:ascii="宋体" w:hAnsi="宋体" w:cs="宋体"/>
                <w:kern w:val="0"/>
                <w:sz w:val="20"/>
                <w:szCs w:val="20"/>
              </w:rPr>
            </w:pPr>
          </w:p>
        </w:tc>
        <w:tc>
          <w:tcPr>
            <w:tcW w:w="78" w:type="pct"/>
            <w:vAlign w:val="center"/>
          </w:tcPr>
          <w:p w14:paraId="70E6138D">
            <w:pPr>
              <w:widowControl/>
              <w:spacing w:after="0" w:line="240" w:lineRule="auto"/>
              <w:jc w:val="left"/>
              <w:rPr>
                <w:rFonts w:eastAsia="Times New Roman"/>
                <w:kern w:val="0"/>
                <w:sz w:val="20"/>
                <w:szCs w:val="20"/>
              </w:rPr>
            </w:pPr>
          </w:p>
        </w:tc>
      </w:tr>
      <w:tr w14:paraId="28B27558">
        <w:tblPrEx>
          <w:tblCellMar>
            <w:top w:w="0" w:type="dxa"/>
            <w:left w:w="108" w:type="dxa"/>
            <w:bottom w:w="0" w:type="dxa"/>
            <w:right w:w="108" w:type="dxa"/>
          </w:tblCellMar>
        </w:tblPrEx>
        <w:trPr>
          <w:trHeight w:val="642" w:hRule="atLeast"/>
        </w:trPr>
        <w:tc>
          <w:tcPr>
            <w:tcW w:w="264" w:type="pct"/>
            <w:tcBorders>
              <w:top w:val="nil"/>
              <w:left w:val="single" w:color="000000" w:sz="4" w:space="0"/>
              <w:bottom w:val="single" w:color="000000" w:sz="4" w:space="0"/>
              <w:right w:val="single" w:color="000000" w:sz="4" w:space="0"/>
            </w:tcBorders>
            <w:vAlign w:val="center"/>
          </w:tcPr>
          <w:p w14:paraId="33E73D00">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18</w:t>
            </w:r>
          </w:p>
        </w:tc>
        <w:tc>
          <w:tcPr>
            <w:tcW w:w="491" w:type="pct"/>
            <w:tcBorders>
              <w:top w:val="nil"/>
              <w:left w:val="nil"/>
              <w:bottom w:val="single" w:color="000000" w:sz="4" w:space="0"/>
              <w:right w:val="single" w:color="000000" w:sz="4" w:space="0"/>
            </w:tcBorders>
            <w:vAlign w:val="center"/>
          </w:tcPr>
          <w:p w14:paraId="491BF4AD">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电源线</w:t>
            </w:r>
          </w:p>
        </w:tc>
        <w:tc>
          <w:tcPr>
            <w:tcW w:w="2033" w:type="pct"/>
            <w:tcBorders>
              <w:top w:val="nil"/>
              <w:left w:val="nil"/>
              <w:bottom w:val="single" w:color="000000" w:sz="4" w:space="0"/>
              <w:right w:val="single" w:color="000000" w:sz="4" w:space="0"/>
            </w:tcBorders>
            <w:vAlign w:val="center"/>
          </w:tcPr>
          <w:p w14:paraId="50867C38">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 xml:space="preserve">1.铜芯电力电缆敷设 电缆(截面mm2以下) </w:t>
            </w:r>
            <w:r>
              <w:rPr>
                <w:rFonts w:hint="eastAsia" w:ascii="宋体" w:hAnsi="宋体" w:cs="宋体"/>
                <w:kern w:val="0"/>
                <w:sz w:val="20"/>
                <w:szCs w:val="20"/>
              </w:rPr>
              <w:br w:type="textWrapping"/>
            </w:r>
            <w:r>
              <w:rPr>
                <w:rFonts w:hint="eastAsia" w:ascii="宋体" w:hAnsi="宋体" w:cs="宋体"/>
                <w:kern w:val="0"/>
                <w:sz w:val="20"/>
                <w:szCs w:val="20"/>
              </w:rPr>
              <w:t>BVR-3*2.5mm2</w:t>
            </w:r>
          </w:p>
        </w:tc>
        <w:tc>
          <w:tcPr>
            <w:tcW w:w="233" w:type="pct"/>
            <w:tcBorders>
              <w:top w:val="nil"/>
              <w:left w:val="nil"/>
              <w:bottom w:val="single" w:color="000000" w:sz="4" w:space="0"/>
              <w:right w:val="single" w:color="000000" w:sz="4" w:space="0"/>
            </w:tcBorders>
            <w:vAlign w:val="center"/>
          </w:tcPr>
          <w:p w14:paraId="52585559">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m</w:t>
            </w:r>
          </w:p>
        </w:tc>
        <w:tc>
          <w:tcPr>
            <w:tcW w:w="323" w:type="pct"/>
            <w:tcBorders>
              <w:top w:val="nil"/>
              <w:left w:val="nil"/>
              <w:bottom w:val="single" w:color="000000" w:sz="4" w:space="0"/>
              <w:right w:val="single" w:color="000000" w:sz="4" w:space="0"/>
            </w:tcBorders>
            <w:vAlign w:val="center"/>
          </w:tcPr>
          <w:p w14:paraId="21CF0B7B">
            <w:pPr>
              <w:widowControl/>
              <w:spacing w:after="0" w:line="240" w:lineRule="auto"/>
              <w:jc w:val="center"/>
              <w:rPr>
                <w:rFonts w:hint="eastAsia" w:ascii="宋体" w:hAnsi="宋体" w:cs="宋体"/>
                <w:kern w:val="0"/>
                <w:sz w:val="20"/>
                <w:szCs w:val="20"/>
              </w:rPr>
            </w:pPr>
            <w:r>
              <w:rPr>
                <w:rFonts w:hint="eastAsia" w:ascii="宋体" w:hAnsi="宋体" w:cs="宋体"/>
                <w:color w:val="FF0000"/>
                <w:kern w:val="0"/>
                <w:sz w:val="20"/>
                <w:szCs w:val="20"/>
              </w:rPr>
              <w:t>3875</w:t>
            </w:r>
          </w:p>
        </w:tc>
        <w:tc>
          <w:tcPr>
            <w:tcW w:w="289" w:type="pct"/>
            <w:tcBorders>
              <w:top w:val="nil"/>
              <w:left w:val="nil"/>
              <w:bottom w:val="single" w:color="000000" w:sz="4" w:space="0"/>
              <w:right w:val="single" w:color="000000" w:sz="4" w:space="0"/>
            </w:tcBorders>
            <w:vAlign w:val="center"/>
          </w:tcPr>
          <w:p w14:paraId="1EF8207D">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300314BB">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013F220E">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6E0A1793">
            <w:pPr>
              <w:widowControl/>
              <w:spacing w:after="0" w:line="240" w:lineRule="auto"/>
              <w:jc w:val="right"/>
              <w:rPr>
                <w:rFonts w:hint="eastAsia" w:ascii="宋体" w:hAnsi="宋体" w:cs="宋体"/>
                <w:kern w:val="0"/>
                <w:sz w:val="20"/>
                <w:szCs w:val="20"/>
              </w:rPr>
            </w:pPr>
          </w:p>
        </w:tc>
        <w:tc>
          <w:tcPr>
            <w:tcW w:w="78" w:type="pct"/>
            <w:vAlign w:val="center"/>
          </w:tcPr>
          <w:p w14:paraId="14374DDB">
            <w:pPr>
              <w:widowControl/>
              <w:spacing w:after="0" w:line="240" w:lineRule="auto"/>
              <w:jc w:val="left"/>
              <w:rPr>
                <w:rFonts w:eastAsia="Times New Roman"/>
                <w:kern w:val="0"/>
                <w:sz w:val="20"/>
                <w:szCs w:val="20"/>
              </w:rPr>
            </w:pPr>
          </w:p>
        </w:tc>
      </w:tr>
      <w:tr w14:paraId="1CA30C98">
        <w:tblPrEx>
          <w:tblCellMar>
            <w:top w:w="0" w:type="dxa"/>
            <w:left w:w="108" w:type="dxa"/>
            <w:bottom w:w="0" w:type="dxa"/>
            <w:right w:w="108" w:type="dxa"/>
          </w:tblCellMar>
        </w:tblPrEx>
        <w:trPr>
          <w:trHeight w:val="840" w:hRule="atLeast"/>
        </w:trPr>
        <w:tc>
          <w:tcPr>
            <w:tcW w:w="264" w:type="pct"/>
            <w:tcBorders>
              <w:top w:val="nil"/>
              <w:left w:val="single" w:color="000000" w:sz="4" w:space="0"/>
              <w:bottom w:val="single" w:color="000000" w:sz="4" w:space="0"/>
              <w:right w:val="single" w:color="000000" w:sz="4" w:space="0"/>
            </w:tcBorders>
            <w:vAlign w:val="center"/>
          </w:tcPr>
          <w:p w14:paraId="614C7FF1">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19</w:t>
            </w:r>
          </w:p>
        </w:tc>
        <w:tc>
          <w:tcPr>
            <w:tcW w:w="491" w:type="pct"/>
            <w:tcBorders>
              <w:top w:val="nil"/>
              <w:left w:val="nil"/>
              <w:bottom w:val="single" w:color="000000" w:sz="4" w:space="0"/>
              <w:right w:val="single" w:color="000000" w:sz="4" w:space="0"/>
            </w:tcBorders>
            <w:vAlign w:val="center"/>
          </w:tcPr>
          <w:p w14:paraId="4ED52B9F">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PVC管线槽</w:t>
            </w:r>
          </w:p>
        </w:tc>
        <w:tc>
          <w:tcPr>
            <w:tcW w:w="2033" w:type="pct"/>
            <w:tcBorders>
              <w:top w:val="nil"/>
              <w:left w:val="nil"/>
              <w:bottom w:val="single" w:color="000000" w:sz="4" w:space="0"/>
              <w:right w:val="single" w:color="000000" w:sz="4" w:space="0"/>
            </w:tcBorders>
            <w:vAlign w:val="center"/>
          </w:tcPr>
          <w:p w14:paraId="62F76241">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1.刚性难燃线管砖、混凝土结构明配 40*20(mm以内)</w:t>
            </w:r>
          </w:p>
        </w:tc>
        <w:tc>
          <w:tcPr>
            <w:tcW w:w="233" w:type="pct"/>
            <w:tcBorders>
              <w:top w:val="nil"/>
              <w:left w:val="nil"/>
              <w:bottom w:val="single" w:color="000000" w:sz="4" w:space="0"/>
              <w:right w:val="single" w:color="000000" w:sz="4" w:space="0"/>
            </w:tcBorders>
            <w:vAlign w:val="center"/>
          </w:tcPr>
          <w:p w14:paraId="47813C3E">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m</w:t>
            </w:r>
          </w:p>
        </w:tc>
        <w:tc>
          <w:tcPr>
            <w:tcW w:w="323" w:type="pct"/>
            <w:tcBorders>
              <w:top w:val="nil"/>
              <w:left w:val="nil"/>
              <w:bottom w:val="single" w:color="000000" w:sz="4" w:space="0"/>
              <w:right w:val="single" w:color="000000" w:sz="4" w:space="0"/>
            </w:tcBorders>
            <w:vAlign w:val="center"/>
          </w:tcPr>
          <w:p w14:paraId="43F0EE31">
            <w:pPr>
              <w:widowControl/>
              <w:spacing w:after="0" w:line="240" w:lineRule="auto"/>
              <w:jc w:val="center"/>
              <w:rPr>
                <w:rFonts w:hint="eastAsia" w:ascii="宋体" w:hAnsi="宋体" w:cs="宋体"/>
                <w:kern w:val="0"/>
                <w:sz w:val="20"/>
                <w:szCs w:val="20"/>
              </w:rPr>
            </w:pPr>
            <w:r>
              <w:rPr>
                <w:rFonts w:hint="eastAsia" w:ascii="宋体" w:hAnsi="宋体" w:cs="宋体"/>
                <w:color w:val="FF0000"/>
                <w:kern w:val="0"/>
                <w:sz w:val="20"/>
                <w:szCs w:val="20"/>
              </w:rPr>
              <w:t>10540</w:t>
            </w:r>
          </w:p>
        </w:tc>
        <w:tc>
          <w:tcPr>
            <w:tcW w:w="289" w:type="pct"/>
            <w:tcBorders>
              <w:top w:val="nil"/>
              <w:left w:val="nil"/>
              <w:bottom w:val="single" w:color="000000" w:sz="4" w:space="0"/>
              <w:right w:val="single" w:color="000000" w:sz="4" w:space="0"/>
            </w:tcBorders>
            <w:vAlign w:val="center"/>
          </w:tcPr>
          <w:p w14:paraId="0CEE953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single" w:color="000000" w:sz="4" w:space="0"/>
              <w:right w:val="single" w:color="000000" w:sz="4" w:space="0"/>
            </w:tcBorders>
            <w:vAlign w:val="center"/>
          </w:tcPr>
          <w:p w14:paraId="37DEF011">
            <w:pPr>
              <w:widowControl/>
              <w:spacing w:after="0" w:line="240" w:lineRule="auto"/>
              <w:jc w:val="center"/>
              <w:rPr>
                <w:rFonts w:hint="eastAsia" w:ascii="宋体" w:hAnsi="宋体" w:cs="宋体"/>
                <w:kern w:val="0"/>
                <w:sz w:val="20"/>
                <w:szCs w:val="20"/>
              </w:rPr>
            </w:pPr>
          </w:p>
        </w:tc>
        <w:tc>
          <w:tcPr>
            <w:tcW w:w="374" w:type="pct"/>
            <w:tcBorders>
              <w:top w:val="nil"/>
              <w:left w:val="nil"/>
              <w:bottom w:val="single" w:color="000000" w:sz="4" w:space="0"/>
              <w:right w:val="single" w:color="000000" w:sz="4" w:space="0"/>
            </w:tcBorders>
            <w:vAlign w:val="center"/>
          </w:tcPr>
          <w:p w14:paraId="7EAC7F88">
            <w:pPr>
              <w:widowControl/>
              <w:spacing w:after="0" w:line="240" w:lineRule="auto"/>
              <w:jc w:val="right"/>
              <w:rPr>
                <w:rFonts w:hint="eastAsia" w:ascii="宋体" w:hAnsi="宋体" w:cs="宋体"/>
                <w:kern w:val="0"/>
                <w:sz w:val="20"/>
                <w:szCs w:val="20"/>
              </w:rPr>
            </w:pPr>
          </w:p>
        </w:tc>
        <w:tc>
          <w:tcPr>
            <w:tcW w:w="375" w:type="pct"/>
            <w:tcBorders>
              <w:top w:val="nil"/>
              <w:left w:val="nil"/>
              <w:bottom w:val="single" w:color="000000" w:sz="4" w:space="0"/>
              <w:right w:val="single" w:color="000000" w:sz="4" w:space="0"/>
            </w:tcBorders>
            <w:vAlign w:val="center"/>
          </w:tcPr>
          <w:p w14:paraId="3AA58FEC">
            <w:pPr>
              <w:widowControl/>
              <w:spacing w:after="0" w:line="240" w:lineRule="auto"/>
              <w:jc w:val="right"/>
              <w:rPr>
                <w:rFonts w:hint="eastAsia" w:ascii="宋体" w:hAnsi="宋体" w:cs="宋体"/>
                <w:kern w:val="0"/>
                <w:sz w:val="20"/>
                <w:szCs w:val="20"/>
              </w:rPr>
            </w:pPr>
          </w:p>
        </w:tc>
        <w:tc>
          <w:tcPr>
            <w:tcW w:w="78" w:type="pct"/>
            <w:vAlign w:val="center"/>
          </w:tcPr>
          <w:p w14:paraId="7C8F32F6">
            <w:pPr>
              <w:widowControl/>
              <w:spacing w:after="0" w:line="240" w:lineRule="auto"/>
              <w:jc w:val="left"/>
              <w:rPr>
                <w:rFonts w:eastAsia="Times New Roman"/>
                <w:kern w:val="0"/>
                <w:sz w:val="20"/>
                <w:szCs w:val="20"/>
              </w:rPr>
            </w:pPr>
          </w:p>
        </w:tc>
      </w:tr>
      <w:tr w14:paraId="1B55ABED">
        <w:tblPrEx>
          <w:tblCellMar>
            <w:top w:w="0" w:type="dxa"/>
            <w:left w:w="108" w:type="dxa"/>
            <w:bottom w:w="0" w:type="dxa"/>
            <w:right w:w="108" w:type="dxa"/>
          </w:tblCellMar>
        </w:tblPrEx>
        <w:trPr>
          <w:trHeight w:val="739" w:hRule="atLeast"/>
        </w:trPr>
        <w:tc>
          <w:tcPr>
            <w:tcW w:w="264" w:type="pct"/>
            <w:tcBorders>
              <w:top w:val="nil"/>
              <w:left w:val="single" w:color="000000" w:sz="4" w:space="0"/>
              <w:bottom w:val="nil"/>
              <w:right w:val="single" w:color="000000" w:sz="4" w:space="0"/>
            </w:tcBorders>
            <w:vAlign w:val="center"/>
          </w:tcPr>
          <w:p w14:paraId="3626D532">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20</w:t>
            </w:r>
          </w:p>
        </w:tc>
        <w:tc>
          <w:tcPr>
            <w:tcW w:w="491" w:type="pct"/>
            <w:tcBorders>
              <w:top w:val="nil"/>
              <w:left w:val="nil"/>
              <w:bottom w:val="nil"/>
              <w:right w:val="single" w:color="000000" w:sz="4" w:space="0"/>
            </w:tcBorders>
            <w:vAlign w:val="center"/>
          </w:tcPr>
          <w:p w14:paraId="0ACDBEED">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安装辅材</w:t>
            </w:r>
          </w:p>
        </w:tc>
        <w:tc>
          <w:tcPr>
            <w:tcW w:w="2033" w:type="pct"/>
            <w:tcBorders>
              <w:top w:val="nil"/>
              <w:left w:val="nil"/>
              <w:bottom w:val="nil"/>
              <w:right w:val="single" w:color="000000" w:sz="4" w:space="0"/>
            </w:tcBorders>
            <w:vAlign w:val="center"/>
          </w:tcPr>
          <w:p w14:paraId="122242D2">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电工胶布、膨胀螺栓、接头、端子等安装材料</w:t>
            </w:r>
          </w:p>
        </w:tc>
        <w:tc>
          <w:tcPr>
            <w:tcW w:w="233" w:type="pct"/>
            <w:tcBorders>
              <w:top w:val="nil"/>
              <w:left w:val="nil"/>
              <w:bottom w:val="nil"/>
              <w:right w:val="single" w:color="000000" w:sz="4" w:space="0"/>
            </w:tcBorders>
            <w:vAlign w:val="center"/>
          </w:tcPr>
          <w:p w14:paraId="476A3905">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项</w:t>
            </w:r>
          </w:p>
        </w:tc>
        <w:tc>
          <w:tcPr>
            <w:tcW w:w="323" w:type="pct"/>
            <w:tcBorders>
              <w:top w:val="nil"/>
              <w:left w:val="nil"/>
              <w:bottom w:val="nil"/>
              <w:right w:val="single" w:color="000000" w:sz="4" w:space="0"/>
            </w:tcBorders>
            <w:vAlign w:val="center"/>
          </w:tcPr>
          <w:p w14:paraId="511A60A3">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289" w:type="pct"/>
            <w:tcBorders>
              <w:top w:val="nil"/>
              <w:left w:val="nil"/>
              <w:bottom w:val="nil"/>
              <w:right w:val="single" w:color="000000" w:sz="4" w:space="0"/>
            </w:tcBorders>
            <w:vAlign w:val="center"/>
          </w:tcPr>
          <w:p w14:paraId="7BFA35A9">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nil"/>
              <w:left w:val="nil"/>
              <w:bottom w:val="nil"/>
              <w:right w:val="single" w:color="000000" w:sz="4" w:space="0"/>
            </w:tcBorders>
            <w:vAlign w:val="center"/>
          </w:tcPr>
          <w:p w14:paraId="48E99C8A">
            <w:pPr>
              <w:widowControl/>
              <w:spacing w:after="0" w:line="240" w:lineRule="auto"/>
              <w:jc w:val="center"/>
              <w:rPr>
                <w:rFonts w:hint="eastAsia" w:ascii="宋体" w:hAnsi="宋体" w:cs="宋体"/>
                <w:kern w:val="0"/>
                <w:sz w:val="20"/>
                <w:szCs w:val="20"/>
              </w:rPr>
            </w:pPr>
          </w:p>
        </w:tc>
        <w:tc>
          <w:tcPr>
            <w:tcW w:w="374" w:type="pct"/>
            <w:tcBorders>
              <w:top w:val="nil"/>
              <w:left w:val="nil"/>
              <w:bottom w:val="nil"/>
              <w:right w:val="single" w:color="000000" w:sz="4" w:space="0"/>
            </w:tcBorders>
            <w:vAlign w:val="center"/>
          </w:tcPr>
          <w:p w14:paraId="4527359F">
            <w:pPr>
              <w:widowControl/>
              <w:spacing w:after="0" w:line="240" w:lineRule="auto"/>
              <w:jc w:val="right"/>
              <w:rPr>
                <w:rFonts w:hint="eastAsia" w:ascii="宋体" w:hAnsi="宋体" w:cs="宋体"/>
                <w:kern w:val="0"/>
                <w:sz w:val="20"/>
                <w:szCs w:val="20"/>
              </w:rPr>
            </w:pPr>
          </w:p>
        </w:tc>
        <w:tc>
          <w:tcPr>
            <w:tcW w:w="375" w:type="pct"/>
            <w:tcBorders>
              <w:top w:val="nil"/>
              <w:left w:val="nil"/>
              <w:bottom w:val="nil"/>
              <w:right w:val="single" w:color="000000" w:sz="4" w:space="0"/>
            </w:tcBorders>
            <w:vAlign w:val="center"/>
          </w:tcPr>
          <w:p w14:paraId="0C40E64A">
            <w:pPr>
              <w:widowControl/>
              <w:spacing w:after="0" w:line="240" w:lineRule="auto"/>
              <w:jc w:val="right"/>
              <w:rPr>
                <w:rFonts w:hint="eastAsia" w:ascii="宋体" w:hAnsi="宋体" w:cs="宋体"/>
                <w:kern w:val="0"/>
                <w:sz w:val="20"/>
                <w:szCs w:val="20"/>
              </w:rPr>
            </w:pPr>
          </w:p>
        </w:tc>
        <w:tc>
          <w:tcPr>
            <w:tcW w:w="78" w:type="pct"/>
            <w:vAlign w:val="center"/>
          </w:tcPr>
          <w:p w14:paraId="30CF49F9">
            <w:pPr>
              <w:widowControl/>
              <w:spacing w:after="0" w:line="240" w:lineRule="auto"/>
              <w:jc w:val="left"/>
              <w:rPr>
                <w:rFonts w:eastAsia="Times New Roman"/>
                <w:kern w:val="0"/>
                <w:sz w:val="20"/>
                <w:szCs w:val="20"/>
              </w:rPr>
            </w:pPr>
          </w:p>
        </w:tc>
      </w:tr>
      <w:tr w14:paraId="27ACB4CC">
        <w:tblPrEx>
          <w:tblCellMar>
            <w:top w:w="0" w:type="dxa"/>
            <w:left w:w="108" w:type="dxa"/>
            <w:bottom w:w="0" w:type="dxa"/>
            <w:right w:w="108" w:type="dxa"/>
          </w:tblCellMar>
        </w:tblPrEx>
        <w:trPr>
          <w:trHeight w:val="5502" w:hRule="atLeast"/>
        </w:trPr>
        <w:tc>
          <w:tcPr>
            <w:tcW w:w="264" w:type="pct"/>
            <w:tcBorders>
              <w:top w:val="single" w:color="auto" w:sz="4" w:space="0"/>
              <w:left w:val="single" w:color="auto" w:sz="4" w:space="0"/>
              <w:bottom w:val="single" w:color="auto" w:sz="4" w:space="0"/>
              <w:right w:val="single" w:color="auto" w:sz="4" w:space="0"/>
            </w:tcBorders>
            <w:vAlign w:val="center"/>
          </w:tcPr>
          <w:p w14:paraId="40B16E1A">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21</w:t>
            </w:r>
          </w:p>
        </w:tc>
        <w:tc>
          <w:tcPr>
            <w:tcW w:w="491" w:type="pct"/>
            <w:tcBorders>
              <w:top w:val="single" w:color="auto" w:sz="4" w:space="0"/>
              <w:left w:val="nil"/>
              <w:bottom w:val="single" w:color="auto" w:sz="4" w:space="0"/>
              <w:right w:val="single" w:color="auto" w:sz="4" w:space="0"/>
            </w:tcBorders>
            <w:vAlign w:val="center"/>
          </w:tcPr>
          <w:p w14:paraId="71D9AE77">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教室中控系统及开发（班牌+管理系统）</w:t>
            </w:r>
          </w:p>
        </w:tc>
        <w:tc>
          <w:tcPr>
            <w:tcW w:w="2033" w:type="pct"/>
            <w:tcBorders>
              <w:top w:val="single" w:color="auto" w:sz="4" w:space="0"/>
              <w:left w:val="nil"/>
              <w:bottom w:val="single" w:color="auto" w:sz="4" w:space="0"/>
              <w:right w:val="single" w:color="auto" w:sz="4" w:space="0"/>
            </w:tcBorders>
            <w:vAlign w:val="center"/>
          </w:tcPr>
          <w:p w14:paraId="4706EEF6">
            <w:pPr>
              <w:widowControl/>
              <w:spacing w:after="0" w:line="240" w:lineRule="auto"/>
              <w:jc w:val="left"/>
              <w:rPr>
                <w:rFonts w:hint="eastAsia" w:ascii="宋体" w:hAnsi="宋体" w:cs="宋体"/>
                <w:kern w:val="0"/>
                <w:sz w:val="20"/>
                <w:szCs w:val="20"/>
              </w:rPr>
            </w:pPr>
            <w:r>
              <w:rPr>
                <w:rFonts w:hint="eastAsia" w:ascii="宋体" w:hAnsi="宋体" w:cs="宋体"/>
                <w:kern w:val="0"/>
                <w:sz w:val="20"/>
                <w:szCs w:val="20"/>
              </w:rPr>
              <w:t>管理系统：</w:t>
            </w:r>
            <w:r>
              <w:rPr>
                <w:rFonts w:hint="eastAsia" w:ascii="宋体" w:hAnsi="宋体" w:cs="宋体"/>
                <w:kern w:val="0"/>
                <w:sz w:val="20"/>
                <w:szCs w:val="20"/>
              </w:rPr>
              <w:br w:type="textWrapping"/>
            </w:r>
            <w:r>
              <w:rPr>
                <w:rFonts w:hint="eastAsia" w:ascii="宋体" w:hAnsi="宋体" w:cs="宋体"/>
                <w:kern w:val="0"/>
                <w:sz w:val="20"/>
                <w:szCs w:val="20"/>
              </w:rPr>
              <w:t>一、系统基本功能</w:t>
            </w:r>
            <w:r>
              <w:rPr>
                <w:rFonts w:hint="eastAsia" w:ascii="宋体" w:hAnsi="宋体" w:cs="宋体"/>
                <w:kern w:val="0"/>
                <w:sz w:val="20"/>
                <w:szCs w:val="20"/>
              </w:rPr>
              <w:br w:type="textWrapping"/>
            </w:r>
            <w:r>
              <w:rPr>
                <w:rFonts w:hint="eastAsia" w:ascii="宋体" w:hAnsi="宋体" w:cs="宋体"/>
                <w:kern w:val="0"/>
                <w:sz w:val="20"/>
                <w:szCs w:val="20"/>
              </w:rPr>
              <w:t>1)通过校园综合服务器可远程和本地互动式管理，远程开启、开/关智慧教室终端、投影机、电脑、灯光、空调等设备，一键控制和管理定时任务，通过WEB可远程配置及升级固件系统。</w:t>
            </w:r>
            <w:r>
              <w:rPr>
                <w:rFonts w:hint="eastAsia" w:ascii="宋体" w:hAnsi="宋体" w:cs="宋体"/>
                <w:kern w:val="0"/>
                <w:sz w:val="20"/>
                <w:szCs w:val="20"/>
              </w:rPr>
              <w:br w:type="textWrapping"/>
            </w:r>
            <w:r>
              <w:rPr>
                <w:rFonts w:hint="eastAsia" w:ascii="宋体" w:hAnsi="宋体" w:cs="宋体"/>
                <w:kern w:val="0"/>
                <w:sz w:val="20"/>
                <w:szCs w:val="20"/>
              </w:rPr>
              <w:t>2)支持WEB服务端的所有设备管理和数字广播的智能播出及高清视频的推送等业务。</w:t>
            </w:r>
            <w:r>
              <w:rPr>
                <w:rFonts w:hint="eastAsia" w:ascii="宋体" w:hAnsi="宋体" w:cs="宋体"/>
                <w:kern w:val="0"/>
                <w:sz w:val="20"/>
                <w:szCs w:val="20"/>
              </w:rPr>
              <w:br w:type="textWrapping"/>
            </w:r>
            <w:r>
              <w:rPr>
                <w:rFonts w:hint="eastAsia" w:ascii="宋体" w:hAnsi="宋体" w:cs="宋体"/>
                <w:kern w:val="0"/>
                <w:sz w:val="20"/>
                <w:szCs w:val="20"/>
              </w:rPr>
              <w:t>3)通过校园网可以登录并控制服务器的各项管理和任务，在校园网内支持有线和无线连接，系统支持云端管理，采用微信小程序，无需安装APP，可以让控制和管理实现授权的远程操作，校外操作等。</w:t>
            </w:r>
            <w:r>
              <w:rPr>
                <w:rFonts w:hint="eastAsia" w:ascii="宋体" w:hAnsi="宋体" w:cs="宋体"/>
                <w:kern w:val="0"/>
                <w:sz w:val="20"/>
                <w:szCs w:val="20"/>
              </w:rPr>
              <w:br w:type="textWrapping"/>
            </w:r>
            <w:r>
              <w:rPr>
                <w:rFonts w:hint="eastAsia" w:ascii="宋体" w:hAnsi="宋体" w:cs="宋体"/>
                <w:kern w:val="0"/>
                <w:sz w:val="20"/>
                <w:szCs w:val="20"/>
              </w:rPr>
              <w:t>4)具备数字音频广播功能，以实现校园信号播放（上下课铃声）、英语考试语音播放、背景音乐、应急广播、集中通知等音频广播功能，有定时、手动、实时播放等操作功能。</w:t>
            </w:r>
            <w:r>
              <w:rPr>
                <w:rFonts w:hint="eastAsia" w:ascii="宋体" w:hAnsi="宋体" w:cs="宋体"/>
                <w:kern w:val="0"/>
                <w:sz w:val="20"/>
                <w:szCs w:val="20"/>
              </w:rPr>
              <w:br w:type="textWrapping"/>
            </w:r>
            <w:r>
              <w:rPr>
                <w:rFonts w:hint="eastAsia" w:ascii="宋体" w:hAnsi="宋体" w:cs="宋体"/>
                <w:kern w:val="0"/>
                <w:sz w:val="20"/>
                <w:szCs w:val="20"/>
              </w:rPr>
              <w:t>5)数字广播支持高清图像输出，支持超高清图像直播转播。</w:t>
            </w:r>
            <w:r>
              <w:rPr>
                <w:rFonts w:hint="eastAsia" w:ascii="宋体" w:hAnsi="宋体" w:cs="宋体"/>
                <w:kern w:val="0"/>
                <w:sz w:val="20"/>
                <w:szCs w:val="20"/>
              </w:rPr>
              <w:br w:type="textWrapping"/>
            </w:r>
            <w:r>
              <w:rPr>
                <w:rFonts w:hint="eastAsia" w:ascii="宋体" w:hAnsi="宋体" w:cs="宋体"/>
                <w:kern w:val="0"/>
                <w:sz w:val="20"/>
                <w:szCs w:val="20"/>
              </w:rPr>
              <w:t>6)系统具备一定的诊断能力，可以实现设备在线检查，对于一些故障进行上报处理，系统生成日志文件。</w:t>
            </w:r>
            <w:r>
              <w:rPr>
                <w:rFonts w:hint="eastAsia" w:ascii="宋体" w:hAnsi="宋体" w:cs="宋体"/>
                <w:kern w:val="0"/>
                <w:sz w:val="20"/>
                <w:szCs w:val="20"/>
              </w:rPr>
              <w:br w:type="textWrapping"/>
            </w:r>
            <w:r>
              <w:rPr>
                <w:rFonts w:hint="eastAsia" w:ascii="宋体" w:hAnsi="宋体" w:cs="宋体"/>
                <w:kern w:val="0"/>
                <w:sz w:val="20"/>
                <w:szCs w:val="20"/>
              </w:rPr>
              <w:t>7)系统采集设备使用记录，使用状态，并对电量统计进行分析，系统可以以各种图标的方式展示给管理人员。</w:t>
            </w:r>
            <w:r>
              <w:rPr>
                <w:rFonts w:hint="eastAsia" w:ascii="宋体" w:hAnsi="宋体" w:cs="宋体"/>
                <w:kern w:val="0"/>
                <w:sz w:val="20"/>
                <w:szCs w:val="20"/>
              </w:rPr>
              <w:br w:type="textWrapping"/>
            </w:r>
            <w:r>
              <w:rPr>
                <w:rFonts w:hint="eastAsia" w:ascii="宋体" w:hAnsi="宋体" w:cs="宋体"/>
                <w:kern w:val="0"/>
                <w:sz w:val="20"/>
                <w:szCs w:val="20"/>
              </w:rPr>
              <w:t>二、软件基础系统</w:t>
            </w:r>
            <w:r>
              <w:rPr>
                <w:rFonts w:hint="eastAsia" w:ascii="宋体" w:hAnsi="宋体" w:cs="宋体"/>
                <w:kern w:val="0"/>
                <w:sz w:val="20"/>
                <w:szCs w:val="20"/>
              </w:rPr>
              <w:br w:type="textWrapping"/>
            </w:r>
            <w:r>
              <w:rPr>
                <w:rFonts w:hint="eastAsia" w:ascii="宋体" w:hAnsi="宋体" w:cs="宋体"/>
                <w:kern w:val="0"/>
                <w:sz w:val="20"/>
                <w:szCs w:val="20"/>
              </w:rPr>
              <w:t>8)基于定制的Linux，集成MSQL数据库，提供对海量数据和文件的存储管理、日志管理、用户管理以及安全性管理。数据库支持校园信息发布系统和电子班牌管理系统功能。</w:t>
            </w:r>
            <w:r>
              <w:rPr>
                <w:rFonts w:hint="eastAsia" w:ascii="宋体" w:hAnsi="宋体" w:cs="宋体"/>
                <w:kern w:val="0"/>
                <w:sz w:val="20"/>
                <w:szCs w:val="20"/>
              </w:rPr>
              <w:br w:type="textWrapping"/>
            </w:r>
            <w:r>
              <w:rPr>
                <w:rFonts w:hint="eastAsia" w:ascii="宋体" w:hAnsi="宋体" w:cs="宋体"/>
                <w:kern w:val="0"/>
                <w:sz w:val="20"/>
                <w:szCs w:val="20"/>
              </w:rPr>
              <w:t>9)系统支持跨网段直播，方便校园网管理。同时可以建立多个视频流播放，在系统带宽支持下可以实现多达200多个音视频流同时播放。</w:t>
            </w:r>
            <w:r>
              <w:rPr>
                <w:rFonts w:hint="eastAsia" w:ascii="宋体" w:hAnsi="宋体" w:cs="宋体"/>
                <w:kern w:val="0"/>
                <w:sz w:val="20"/>
                <w:szCs w:val="20"/>
              </w:rPr>
              <w:br w:type="textWrapping"/>
            </w:r>
            <w:r>
              <w:rPr>
                <w:rFonts w:hint="eastAsia" w:ascii="宋体" w:hAnsi="宋体" w:cs="宋体"/>
                <w:kern w:val="0"/>
                <w:sz w:val="20"/>
                <w:szCs w:val="20"/>
              </w:rPr>
              <w:t>10)通过校园卡信息与课表导入实现课程与进行绑定，设定对应的控制方式和流程，可以设置不同的管理权限，可以分权限控制不同的设备包括投影机、电脑、灯光、风扇、空调等的，通过微信小程序可以实现远程管理。</w:t>
            </w:r>
            <w:r>
              <w:rPr>
                <w:rFonts w:hint="eastAsia" w:ascii="宋体" w:hAnsi="宋体" w:cs="宋体"/>
                <w:kern w:val="0"/>
                <w:sz w:val="20"/>
                <w:szCs w:val="20"/>
              </w:rPr>
              <w:br w:type="textWrapping"/>
            </w:r>
            <w:r>
              <w:rPr>
                <w:rFonts w:hint="eastAsia" w:ascii="宋体" w:hAnsi="宋体" w:cs="宋体"/>
                <w:kern w:val="0"/>
                <w:sz w:val="20"/>
                <w:szCs w:val="20"/>
              </w:rPr>
              <w:t>11)系统采用深度定制化的Linux系统，稳定可靠，配合服务器管理进行数据备份处理，服务器断电断网情况下教室设备可以正常使用，断电不会破坏服务器内部数据和任务。</w:t>
            </w:r>
            <w:r>
              <w:rPr>
                <w:rFonts w:hint="eastAsia" w:ascii="宋体" w:hAnsi="宋体" w:cs="宋体"/>
                <w:kern w:val="0"/>
                <w:sz w:val="20"/>
                <w:szCs w:val="20"/>
              </w:rPr>
              <w:br w:type="textWrapping"/>
            </w:r>
            <w:r>
              <w:rPr>
                <w:rFonts w:hint="eastAsia" w:ascii="宋体" w:hAnsi="宋体" w:cs="宋体"/>
                <w:kern w:val="0"/>
                <w:sz w:val="20"/>
                <w:szCs w:val="20"/>
              </w:rPr>
              <w:t>三、设备集控管理</w:t>
            </w:r>
            <w:r>
              <w:rPr>
                <w:rFonts w:hint="eastAsia" w:ascii="宋体" w:hAnsi="宋体" w:cs="宋体"/>
                <w:kern w:val="0"/>
                <w:sz w:val="20"/>
                <w:szCs w:val="20"/>
              </w:rPr>
              <w:br w:type="textWrapping"/>
            </w:r>
            <w:r>
              <w:rPr>
                <w:rFonts w:hint="eastAsia" w:ascii="宋体" w:hAnsi="宋体" w:cs="宋体"/>
                <w:kern w:val="0"/>
                <w:sz w:val="20"/>
                <w:szCs w:val="20"/>
              </w:rPr>
              <w:t>12)手机用户无需安装APP，通过微信小程序实现远程操作控制；对教室（包括灯光、空调、投影机、电脑）进行控制、查询等等，与智慧教室终端本地控制完美无缝结合。</w:t>
            </w:r>
            <w:r>
              <w:rPr>
                <w:rFonts w:hint="eastAsia" w:ascii="宋体" w:hAnsi="宋体" w:cs="宋体"/>
                <w:kern w:val="0"/>
                <w:sz w:val="20"/>
                <w:szCs w:val="20"/>
              </w:rPr>
              <w:br w:type="textWrapping"/>
            </w:r>
            <w:r>
              <w:rPr>
                <w:rFonts w:hint="eastAsia" w:ascii="宋体" w:hAnsi="宋体" w:cs="宋体"/>
                <w:kern w:val="0"/>
                <w:sz w:val="20"/>
                <w:szCs w:val="20"/>
              </w:rPr>
              <w:t>13)支持WEB服务端的所有设备管理和数字广播的智能播出及高清视频的推送等业务，支持任务设置，提前设置任务，并实现通过手机远程控制。</w:t>
            </w:r>
            <w:r>
              <w:rPr>
                <w:rFonts w:hint="eastAsia" w:ascii="宋体" w:hAnsi="宋体" w:cs="宋体"/>
                <w:kern w:val="0"/>
                <w:sz w:val="20"/>
                <w:szCs w:val="20"/>
              </w:rPr>
              <w:br w:type="textWrapping"/>
            </w:r>
            <w:r>
              <w:rPr>
                <w:rFonts w:hint="eastAsia" w:ascii="宋体" w:hAnsi="宋体" w:cs="宋体"/>
                <w:kern w:val="0"/>
                <w:sz w:val="20"/>
                <w:szCs w:val="20"/>
              </w:rPr>
              <w:t>14)系统的设置管理员可以通过手机微信小程序进行远程设置，包括服务器的一些基本信息。设置系统参数，修改参数，重启设备。</w:t>
            </w:r>
            <w:r>
              <w:rPr>
                <w:rFonts w:hint="eastAsia" w:ascii="宋体" w:hAnsi="宋体" w:cs="宋体"/>
                <w:kern w:val="0"/>
                <w:sz w:val="20"/>
                <w:szCs w:val="20"/>
              </w:rPr>
              <w:br w:type="textWrapping"/>
            </w:r>
            <w:r>
              <w:rPr>
                <w:rFonts w:hint="eastAsia" w:ascii="宋体" w:hAnsi="宋体" w:cs="宋体"/>
                <w:kern w:val="0"/>
                <w:sz w:val="20"/>
                <w:szCs w:val="20"/>
              </w:rPr>
              <w:t>15)支持巡课系统，智慧终端可以通过后台设置，播放任何校园系统内部的视频源，包括监控摄像头、电视台、广播站、支持互动教学。</w:t>
            </w:r>
            <w:r>
              <w:rPr>
                <w:rFonts w:hint="eastAsia" w:ascii="宋体" w:hAnsi="宋体" w:cs="宋体"/>
                <w:kern w:val="0"/>
                <w:sz w:val="20"/>
                <w:szCs w:val="20"/>
              </w:rPr>
              <w:br w:type="textWrapping"/>
            </w:r>
            <w:r>
              <w:rPr>
                <w:rFonts w:hint="eastAsia" w:ascii="宋体" w:hAnsi="宋体" w:cs="宋体"/>
                <w:kern w:val="0"/>
                <w:sz w:val="20"/>
                <w:szCs w:val="20"/>
              </w:rPr>
              <w:t>四、数字广播与管理</w:t>
            </w:r>
            <w:r>
              <w:rPr>
                <w:rFonts w:hint="eastAsia" w:ascii="宋体" w:hAnsi="宋体" w:cs="宋体"/>
                <w:kern w:val="0"/>
                <w:sz w:val="20"/>
                <w:szCs w:val="20"/>
              </w:rPr>
              <w:br w:type="textWrapping"/>
            </w:r>
            <w:r>
              <w:rPr>
                <w:rFonts w:hint="eastAsia" w:ascii="宋体" w:hAnsi="宋体" w:cs="宋体"/>
                <w:kern w:val="0"/>
                <w:sz w:val="20"/>
                <w:szCs w:val="20"/>
              </w:rPr>
              <w:t>16)音频和视频文件混合广播播放，全区、分区广播支持音频视频文件广播。管理节目库资源，为所有终端提供定时播放和实时点播媒体服务，响应各终端的节目播放请求，为各音频工作站提供数据接口服务；</w:t>
            </w:r>
            <w:r>
              <w:rPr>
                <w:rFonts w:hint="eastAsia" w:ascii="宋体" w:hAnsi="宋体" w:cs="宋体"/>
                <w:kern w:val="0"/>
                <w:sz w:val="20"/>
                <w:szCs w:val="20"/>
              </w:rPr>
              <w:br w:type="textWrapping"/>
            </w:r>
            <w:r>
              <w:rPr>
                <w:rFonts w:hint="eastAsia" w:ascii="宋体" w:hAnsi="宋体" w:cs="宋体"/>
                <w:kern w:val="0"/>
                <w:sz w:val="20"/>
                <w:szCs w:val="20"/>
              </w:rPr>
              <w:t>17)提供全双工、单向、双向音视频480p-1080P分辨率高清可视通话，响应各对讲终端的呼叫和通话请求，支持一键呼叫、一键对讲、一键求助、一键报警等通话模式，支持自动接听、手动接听，支持自定义接听提示音；支持多种呼叫策略，包括呼叫等待、呼叫转移，支持时间策略和转移策略自定义设置；</w:t>
            </w:r>
            <w:r>
              <w:rPr>
                <w:rFonts w:hint="eastAsia" w:ascii="宋体" w:hAnsi="宋体" w:cs="宋体"/>
                <w:kern w:val="0"/>
                <w:sz w:val="20"/>
                <w:szCs w:val="20"/>
              </w:rPr>
              <w:br w:type="textWrapping"/>
            </w:r>
            <w:r>
              <w:rPr>
                <w:rFonts w:hint="eastAsia" w:ascii="宋体" w:hAnsi="宋体" w:cs="宋体"/>
                <w:kern w:val="0"/>
                <w:sz w:val="20"/>
                <w:szCs w:val="20"/>
              </w:rPr>
              <w:t>18)全平台采用高可靠可用设计，多服务负载均衡，子服务坏点自动修正，用户无感知，7*24小时运行不影响业务，数据主从备份、定时备份，确保用户数据安全；</w:t>
            </w:r>
            <w:r>
              <w:rPr>
                <w:rFonts w:hint="eastAsia" w:ascii="宋体" w:hAnsi="宋体" w:cs="宋体"/>
                <w:kern w:val="0"/>
                <w:sz w:val="20"/>
                <w:szCs w:val="20"/>
              </w:rPr>
              <w:br w:type="textWrapping"/>
            </w:r>
            <w:r>
              <w:rPr>
                <w:rFonts w:hint="eastAsia" w:ascii="宋体" w:hAnsi="宋体" w:cs="宋体"/>
                <w:kern w:val="0"/>
                <w:sz w:val="20"/>
                <w:szCs w:val="20"/>
              </w:rPr>
              <w:t>19)平台对外接口支持HTTP/HTTPS，兼容主流开发语言接入；音视频数据支持H264、AAC，PCM标准，支持遵从SIP协议数据传输标准的音视频对讲；广播、直播、点播支持RTMP、RTSP、H5传输标准；</w:t>
            </w:r>
            <w:r>
              <w:rPr>
                <w:rFonts w:hint="eastAsia" w:ascii="宋体" w:hAnsi="宋体" w:cs="宋体"/>
                <w:kern w:val="0"/>
                <w:sz w:val="20"/>
                <w:szCs w:val="20"/>
              </w:rPr>
              <w:br w:type="textWrapping"/>
            </w:r>
            <w:r>
              <w:rPr>
                <w:rFonts w:hint="eastAsia" w:ascii="宋体" w:hAnsi="宋体" w:cs="宋体"/>
                <w:kern w:val="0"/>
                <w:sz w:val="20"/>
                <w:szCs w:val="20"/>
              </w:rPr>
              <w:t>20)媒体文件支持MP3、WAV、AAC、MP4、AVI、flac等文件格式；支持8K-48K采样率，最大码率不小于320K，保证播放音质清晰；需采用相关技术抑制噪声，系统对语音编码安全性要有所考虑；</w:t>
            </w:r>
            <w:r>
              <w:rPr>
                <w:rFonts w:hint="eastAsia" w:ascii="宋体" w:hAnsi="宋体" w:cs="宋体"/>
                <w:kern w:val="0"/>
                <w:sz w:val="20"/>
                <w:szCs w:val="20"/>
              </w:rPr>
              <w:br w:type="textWrapping"/>
            </w:r>
            <w:r>
              <w:rPr>
                <w:rFonts w:hint="eastAsia" w:ascii="宋体" w:hAnsi="宋体" w:cs="宋体"/>
                <w:kern w:val="0"/>
                <w:sz w:val="20"/>
                <w:szCs w:val="20"/>
              </w:rPr>
              <w:t>21)系统内广播终端、信息发布终端、对讲终端和服务器支持标准SIP协议和Onvif协议；</w:t>
            </w:r>
            <w:r>
              <w:rPr>
                <w:rFonts w:hint="eastAsia" w:ascii="宋体" w:hAnsi="宋体" w:cs="宋体"/>
                <w:kern w:val="0"/>
                <w:sz w:val="20"/>
                <w:szCs w:val="20"/>
              </w:rPr>
              <w:br w:type="textWrapping"/>
            </w:r>
            <w:r>
              <w:rPr>
                <w:rFonts w:hint="eastAsia" w:ascii="宋体" w:hAnsi="宋体" w:cs="宋体"/>
                <w:kern w:val="0"/>
                <w:sz w:val="20"/>
                <w:szCs w:val="20"/>
              </w:rPr>
              <w:t>22)系统需提供多级管理模式，包含用户级别、操作权限的授予、分配与管理；为确保系统稳定运行，需提供单点故障防备措施与技术方案；设备的注册与管理可在远程进行，保证方便、快捷；</w:t>
            </w:r>
            <w:r>
              <w:rPr>
                <w:rFonts w:hint="eastAsia" w:ascii="宋体" w:hAnsi="宋体" w:cs="宋体"/>
                <w:kern w:val="0"/>
                <w:sz w:val="20"/>
                <w:szCs w:val="20"/>
              </w:rPr>
              <w:br w:type="textWrapping"/>
            </w:r>
            <w:r>
              <w:rPr>
                <w:rFonts w:hint="eastAsia" w:ascii="宋体" w:hAnsi="宋体" w:cs="宋体"/>
                <w:kern w:val="0"/>
                <w:sz w:val="20"/>
                <w:szCs w:val="20"/>
              </w:rPr>
              <w:t xml:space="preserve">23)支持64方视频会议及会议录制；多方视频会议：支持64方融屏视频会议，可根据人数据自动改变画面布局全面展示所有参会人员的实时画面，并实现多画面组合切换。支持会议录制：会议过程中可手动点击会议录制把整个会议过程全程记录下来，并存储至服务器中方便随时回放查看。支持会议旁观模式：会议过程中能抛出一个RTMP流地址分享给其他人旁看会议。支持添加主流厂家监控摄像头画面：会议过程中可拉取主流厂家摄像头画面，并分享到会议画面中； </w:t>
            </w:r>
            <w:r>
              <w:rPr>
                <w:rFonts w:hint="eastAsia" w:ascii="宋体" w:hAnsi="宋体" w:cs="宋体"/>
                <w:kern w:val="0"/>
                <w:sz w:val="20"/>
                <w:szCs w:val="20"/>
              </w:rPr>
              <w:br w:type="textWrapping"/>
            </w:r>
            <w:r>
              <w:rPr>
                <w:rFonts w:hint="eastAsia" w:ascii="宋体" w:hAnsi="宋体" w:cs="宋体"/>
                <w:kern w:val="0"/>
                <w:sz w:val="20"/>
                <w:szCs w:val="20"/>
              </w:rPr>
              <w:t>24)支持所有教室终端、对讲终端支持本地存储与网络存储，支持单独接入主流厂家NVR存储功能，可与现有的监控系统兼容,可将终端音视频数据直接存储在主流厂家NVR中；</w:t>
            </w:r>
            <w:r>
              <w:rPr>
                <w:rFonts w:hint="eastAsia" w:ascii="宋体" w:hAnsi="宋体" w:cs="宋体"/>
                <w:kern w:val="0"/>
                <w:sz w:val="20"/>
                <w:szCs w:val="20"/>
              </w:rPr>
              <w:br w:type="textWrapping"/>
            </w:r>
            <w:r>
              <w:rPr>
                <w:rFonts w:hint="eastAsia" w:ascii="宋体" w:hAnsi="宋体" w:cs="宋体"/>
                <w:kern w:val="0"/>
                <w:sz w:val="20"/>
                <w:szCs w:val="20"/>
              </w:rPr>
              <w:t>25)支持JAVA、C++、C#、安卓、NODE.JS、GO等主流语言接入，提供KAFKA，Redis，MQTT，TCP的数据接收与转发方式；</w:t>
            </w:r>
            <w:r>
              <w:rPr>
                <w:rFonts w:hint="eastAsia" w:ascii="宋体" w:hAnsi="宋体" w:cs="宋体"/>
                <w:kern w:val="0"/>
                <w:sz w:val="20"/>
                <w:szCs w:val="20"/>
              </w:rPr>
              <w:br w:type="textWrapping"/>
            </w:r>
            <w:r>
              <w:rPr>
                <w:rFonts w:hint="eastAsia" w:ascii="宋体" w:hAnsi="宋体" w:cs="宋体"/>
                <w:kern w:val="0"/>
                <w:sz w:val="20"/>
                <w:szCs w:val="20"/>
              </w:rPr>
              <w:t>26)网络广播需支持UDP、TCP、RTP、组播四种广播传输协议，能针对不同场景设置不同的广播传输方式。支持多种广播应用，具体要求包含：全区广播：可对音视频源文件、喊话、外接音源在整个辖区范围内广播；分区广播：可对音视频源文件、喊话在分区内进行广播；定时广播：根据系统设置广播时间，自动播放；</w:t>
            </w:r>
            <w:r>
              <w:rPr>
                <w:rFonts w:hint="eastAsia" w:ascii="宋体" w:hAnsi="宋体" w:cs="宋体"/>
                <w:kern w:val="0"/>
                <w:sz w:val="20"/>
                <w:szCs w:val="20"/>
              </w:rPr>
              <w:br w:type="textWrapping"/>
            </w:r>
            <w:r>
              <w:rPr>
                <w:rFonts w:hint="eastAsia" w:ascii="宋体" w:hAnsi="宋体" w:cs="宋体"/>
                <w:kern w:val="0"/>
                <w:sz w:val="20"/>
                <w:szCs w:val="20"/>
              </w:rPr>
              <w:t>27)系统能根据不同的任务定义优先级别，满足实际使用的需求，如在通话呼叫时，应停止当前的广播任务，直到通话处理完毕，继续原来的广播，要满足实用性；</w:t>
            </w:r>
            <w:r>
              <w:rPr>
                <w:rFonts w:hint="eastAsia" w:ascii="宋体" w:hAnsi="宋体" w:cs="宋体"/>
                <w:kern w:val="0"/>
                <w:sz w:val="20"/>
                <w:szCs w:val="20"/>
              </w:rPr>
              <w:br w:type="textWrapping"/>
            </w:r>
            <w:r>
              <w:rPr>
                <w:rFonts w:hint="eastAsia" w:ascii="宋体" w:hAnsi="宋体" w:cs="宋体"/>
                <w:kern w:val="0"/>
                <w:sz w:val="20"/>
                <w:szCs w:val="20"/>
              </w:rPr>
              <w:t>28)支持日志管理，包括设备日志，对讲日志，定时任务日志，设备升级日志；便于用户更好维护系统；</w:t>
            </w:r>
            <w:r>
              <w:rPr>
                <w:rFonts w:hint="eastAsia" w:ascii="宋体" w:hAnsi="宋体" w:cs="宋体"/>
                <w:kern w:val="0"/>
                <w:sz w:val="20"/>
                <w:szCs w:val="20"/>
              </w:rPr>
              <w:br w:type="textWrapping"/>
            </w:r>
            <w:r>
              <w:rPr>
                <w:rFonts w:hint="eastAsia" w:ascii="宋体" w:hAnsi="宋体" w:cs="宋体"/>
                <w:kern w:val="0"/>
                <w:sz w:val="20"/>
                <w:szCs w:val="20"/>
              </w:rPr>
              <w:t>29)支持对讲记录存储并回放，提供录音文件下载；</w:t>
            </w:r>
            <w:r>
              <w:rPr>
                <w:rFonts w:hint="eastAsia" w:ascii="宋体" w:hAnsi="宋体" w:cs="宋体"/>
                <w:kern w:val="0"/>
                <w:sz w:val="20"/>
                <w:szCs w:val="20"/>
              </w:rPr>
              <w:br w:type="textWrapping"/>
            </w:r>
            <w:r>
              <w:rPr>
                <w:rFonts w:hint="eastAsia" w:ascii="宋体" w:hAnsi="宋体" w:cs="宋体"/>
                <w:kern w:val="0"/>
                <w:sz w:val="20"/>
                <w:szCs w:val="20"/>
              </w:rPr>
              <w:t>五、高清视频播出与管理</w:t>
            </w:r>
            <w:r>
              <w:rPr>
                <w:rFonts w:hint="eastAsia" w:ascii="宋体" w:hAnsi="宋体" w:cs="宋体"/>
                <w:kern w:val="0"/>
                <w:sz w:val="20"/>
                <w:szCs w:val="20"/>
              </w:rPr>
              <w:br w:type="textWrapping"/>
            </w:r>
            <w:r>
              <w:rPr>
                <w:rFonts w:hint="eastAsia" w:ascii="宋体" w:hAnsi="宋体" w:cs="宋体"/>
                <w:kern w:val="0"/>
                <w:sz w:val="20"/>
                <w:szCs w:val="20"/>
              </w:rPr>
              <w:t xml:space="preserve">30)两种广播方式，包括智慧终端广播与文件广播，终端广播就是通过一个智慧终端的输入图像，例如电脑、电视、HDMI输入等，并将这个图像广播到其他教室，文件广播则是将要广播的文件上传至服务器并实现定时及手动播放。 </w:t>
            </w:r>
            <w:r>
              <w:rPr>
                <w:rFonts w:hint="eastAsia" w:ascii="宋体" w:hAnsi="宋体" w:cs="宋体"/>
                <w:kern w:val="0"/>
                <w:sz w:val="20"/>
                <w:szCs w:val="20"/>
              </w:rPr>
              <w:br w:type="textWrapping"/>
            </w:r>
            <w:r>
              <w:rPr>
                <w:rFonts w:hint="eastAsia" w:ascii="宋体" w:hAnsi="宋体" w:cs="宋体"/>
                <w:kern w:val="0"/>
                <w:sz w:val="20"/>
                <w:szCs w:val="20"/>
              </w:rPr>
              <w:t>31)播放可以建立不同的任务，每一个任务都可以设定不同的接收教室，实现多对多的组播功能。根据广播任务的设置内容，可以实现接收终端的输入口切换以及一些电源管理。</w:t>
            </w:r>
            <w:r>
              <w:rPr>
                <w:rFonts w:hint="eastAsia" w:ascii="宋体" w:hAnsi="宋体" w:cs="宋体"/>
                <w:kern w:val="0"/>
                <w:sz w:val="20"/>
                <w:szCs w:val="20"/>
              </w:rPr>
              <w:br w:type="textWrapping"/>
            </w:r>
            <w:r>
              <w:rPr>
                <w:rFonts w:hint="eastAsia" w:ascii="宋体" w:hAnsi="宋体" w:cs="宋体"/>
                <w:kern w:val="0"/>
                <w:sz w:val="20"/>
                <w:szCs w:val="20"/>
              </w:rPr>
              <w:t>32)广播支持多画面播放，每个教室可以在一个终端上实现同时播放超过2路视频源，通过web后台，可以设置接收多路画面的布局，多达9种画面组合方式。</w:t>
            </w:r>
            <w:r>
              <w:rPr>
                <w:rFonts w:hint="eastAsia" w:ascii="宋体" w:hAnsi="宋体" w:cs="宋体"/>
                <w:kern w:val="0"/>
                <w:sz w:val="20"/>
                <w:szCs w:val="20"/>
              </w:rPr>
              <w:br w:type="textWrapping"/>
            </w:r>
            <w:r>
              <w:rPr>
                <w:rFonts w:hint="eastAsia" w:ascii="宋体" w:hAnsi="宋体" w:cs="宋体"/>
                <w:kern w:val="0"/>
                <w:sz w:val="20"/>
                <w:szCs w:val="20"/>
              </w:rPr>
              <w:t>33)校园广播可以实现高清输出，自适应广播分辨率，支持最高1920x1080分辨率的图像输出。</w:t>
            </w:r>
            <w:r>
              <w:rPr>
                <w:rFonts w:hint="eastAsia" w:ascii="宋体" w:hAnsi="宋体" w:cs="宋体"/>
                <w:kern w:val="0"/>
                <w:sz w:val="20"/>
                <w:szCs w:val="20"/>
              </w:rPr>
              <w:br w:type="textWrapping"/>
            </w:r>
            <w:r>
              <w:rPr>
                <w:rFonts w:hint="eastAsia" w:ascii="宋体" w:hAnsi="宋体" w:cs="宋体"/>
                <w:kern w:val="0"/>
                <w:sz w:val="20"/>
                <w:szCs w:val="20"/>
              </w:rPr>
              <w:t>34)校园电视台与普通教室采用同样设备，任意教室可以瞬间转换为校园电视台，为其他教室进行直播和广播。</w:t>
            </w:r>
            <w:r>
              <w:rPr>
                <w:rFonts w:hint="eastAsia" w:ascii="宋体" w:hAnsi="宋体" w:cs="宋体"/>
                <w:kern w:val="0"/>
                <w:sz w:val="20"/>
                <w:szCs w:val="20"/>
              </w:rPr>
              <w:br w:type="textWrapping"/>
            </w:r>
            <w:r>
              <w:rPr>
                <w:rFonts w:hint="eastAsia" w:ascii="宋体" w:hAnsi="宋体" w:cs="宋体"/>
                <w:kern w:val="0"/>
                <w:sz w:val="20"/>
                <w:szCs w:val="20"/>
              </w:rPr>
              <w:t>六、媒体库管理：</w:t>
            </w:r>
            <w:r>
              <w:rPr>
                <w:rFonts w:hint="eastAsia" w:ascii="宋体" w:hAnsi="宋体" w:cs="宋体"/>
                <w:kern w:val="0"/>
                <w:sz w:val="20"/>
                <w:szCs w:val="20"/>
              </w:rPr>
              <w:br w:type="textWrapping"/>
            </w:r>
            <w:r>
              <w:rPr>
                <w:rFonts w:hint="eastAsia" w:ascii="宋体" w:hAnsi="宋体" w:cs="宋体"/>
                <w:kern w:val="0"/>
                <w:sz w:val="20"/>
                <w:szCs w:val="20"/>
              </w:rPr>
              <w:t>35)可以通过web进行文件上传，和文件管理。</w:t>
            </w:r>
            <w:r>
              <w:rPr>
                <w:rFonts w:hint="eastAsia" w:ascii="宋体" w:hAnsi="宋体" w:cs="宋体"/>
                <w:kern w:val="0"/>
                <w:sz w:val="20"/>
                <w:szCs w:val="20"/>
              </w:rPr>
              <w:br w:type="textWrapping"/>
            </w:r>
            <w:r>
              <w:rPr>
                <w:rFonts w:hint="eastAsia" w:ascii="宋体" w:hAnsi="宋体" w:cs="宋体"/>
                <w:kern w:val="0"/>
                <w:sz w:val="20"/>
                <w:szCs w:val="20"/>
              </w:rPr>
              <w:t>36)对于上传的音视频进行统一的编码和转码处理，优化文件实现统一的格式方便播放和管理。</w:t>
            </w:r>
            <w:r>
              <w:rPr>
                <w:rFonts w:hint="eastAsia" w:ascii="宋体" w:hAnsi="宋体" w:cs="宋体"/>
                <w:kern w:val="0"/>
                <w:sz w:val="20"/>
                <w:szCs w:val="20"/>
              </w:rPr>
              <w:br w:type="textWrapping"/>
            </w:r>
            <w:r>
              <w:rPr>
                <w:rFonts w:hint="eastAsia" w:ascii="宋体" w:hAnsi="宋体" w:cs="宋体"/>
                <w:kern w:val="0"/>
                <w:sz w:val="20"/>
                <w:szCs w:val="20"/>
              </w:rPr>
              <w:t>37)厂家针对此项目的售后服务书、提供智能系统云服务器平台软件著作权证书；</w:t>
            </w:r>
            <w:r>
              <w:rPr>
                <w:rFonts w:hint="eastAsia" w:ascii="宋体" w:hAnsi="宋体" w:cs="宋体"/>
                <w:kern w:val="0"/>
                <w:sz w:val="20"/>
                <w:szCs w:val="20"/>
              </w:rPr>
              <w:br w:type="textWrapping"/>
            </w:r>
            <w:r>
              <w:rPr>
                <w:rFonts w:hint="eastAsia" w:ascii="宋体" w:hAnsi="宋体" w:cs="宋体"/>
                <w:kern w:val="0"/>
                <w:sz w:val="20"/>
                <w:szCs w:val="20"/>
              </w:rPr>
              <w:t>班牌系统：</w:t>
            </w:r>
            <w:r>
              <w:rPr>
                <w:rFonts w:hint="eastAsia" w:ascii="宋体" w:hAnsi="宋体" w:cs="宋体"/>
                <w:kern w:val="0"/>
                <w:sz w:val="20"/>
                <w:szCs w:val="20"/>
              </w:rPr>
              <w:br w:type="textWrapping"/>
            </w:r>
            <w:r>
              <w:rPr>
                <w:rFonts w:hint="eastAsia" w:ascii="宋体" w:hAnsi="宋体" w:cs="宋体"/>
                <w:kern w:val="0"/>
                <w:sz w:val="20"/>
                <w:szCs w:val="20"/>
              </w:rPr>
              <w:t>1. 总账户（内部管理人员操作）设定，可全局数据信息查看，以及全局功能授权和指定数据授权，有最高的审批权限</w:t>
            </w:r>
            <w:r>
              <w:rPr>
                <w:rFonts w:hint="eastAsia" w:ascii="宋体" w:hAnsi="宋体" w:cs="宋体"/>
                <w:kern w:val="0"/>
                <w:sz w:val="20"/>
                <w:szCs w:val="20"/>
              </w:rPr>
              <w:br w:type="textWrapping"/>
            </w:r>
            <w:r>
              <w:rPr>
                <w:rFonts w:hint="eastAsia" w:ascii="宋体" w:hAnsi="宋体" w:cs="宋体"/>
                <w:kern w:val="0"/>
                <w:sz w:val="20"/>
                <w:szCs w:val="20"/>
              </w:rPr>
              <w:t>2. 学校信发信息管理功能版块</w:t>
            </w:r>
            <w:r>
              <w:rPr>
                <w:rFonts w:hint="eastAsia" w:ascii="宋体" w:hAnsi="宋体" w:cs="宋体"/>
                <w:kern w:val="0"/>
                <w:sz w:val="20"/>
                <w:szCs w:val="20"/>
              </w:rPr>
              <w:br w:type="textWrapping"/>
            </w:r>
            <w:r>
              <w:rPr>
                <w:rFonts w:hint="eastAsia" w:ascii="宋体" w:hAnsi="宋体" w:cs="宋体"/>
                <w:kern w:val="0"/>
                <w:sz w:val="20"/>
                <w:szCs w:val="20"/>
              </w:rPr>
              <w:t>1) 校园基本信息：设备密码设置、迎宾模式标语设置、课程考勤规则设置</w:t>
            </w:r>
            <w:r>
              <w:rPr>
                <w:rFonts w:hint="eastAsia" w:ascii="宋体" w:hAnsi="宋体" w:cs="宋体"/>
                <w:kern w:val="0"/>
                <w:sz w:val="20"/>
                <w:szCs w:val="20"/>
              </w:rPr>
              <w:br w:type="textWrapping"/>
            </w:r>
            <w:r>
              <w:rPr>
                <w:rFonts w:hint="eastAsia" w:ascii="宋体" w:hAnsi="宋体" w:cs="宋体"/>
                <w:kern w:val="0"/>
                <w:sz w:val="20"/>
                <w:szCs w:val="20"/>
              </w:rPr>
              <w:t>2) 教职工管理：上传教职工基本信息（姓名、性别、手机号、状态以及职务）</w:t>
            </w:r>
            <w:r>
              <w:rPr>
                <w:rFonts w:hint="eastAsia" w:ascii="宋体" w:hAnsi="宋体" w:cs="宋体"/>
                <w:kern w:val="0"/>
                <w:sz w:val="20"/>
                <w:szCs w:val="20"/>
              </w:rPr>
              <w:br w:type="textWrapping"/>
            </w:r>
            <w:r>
              <w:rPr>
                <w:rFonts w:hint="eastAsia" w:ascii="宋体" w:hAnsi="宋体" w:cs="宋体"/>
                <w:kern w:val="0"/>
                <w:sz w:val="20"/>
                <w:szCs w:val="20"/>
              </w:rPr>
              <w:t>3) 学校场地区域管理：可添加修改对应场地区域信息。特殊场地信息绑定后显示对应场地的页面，如：实训室、实验室、音乐教室等等</w:t>
            </w:r>
            <w:r>
              <w:rPr>
                <w:rFonts w:hint="eastAsia" w:ascii="宋体" w:hAnsi="宋体" w:cs="宋体"/>
                <w:kern w:val="0"/>
                <w:sz w:val="20"/>
                <w:szCs w:val="20"/>
              </w:rPr>
              <w:br w:type="textWrapping"/>
            </w:r>
            <w:r>
              <w:rPr>
                <w:rFonts w:hint="eastAsia" w:ascii="宋体" w:hAnsi="宋体" w:cs="宋体"/>
                <w:kern w:val="0"/>
                <w:sz w:val="20"/>
                <w:szCs w:val="20"/>
              </w:rPr>
              <w:t>4) 学校院系管理：可添加编辑院系信息</w:t>
            </w:r>
            <w:r>
              <w:rPr>
                <w:rFonts w:hint="eastAsia" w:ascii="宋体" w:hAnsi="宋体" w:cs="宋体"/>
                <w:kern w:val="0"/>
                <w:sz w:val="20"/>
                <w:szCs w:val="20"/>
              </w:rPr>
              <w:br w:type="textWrapping"/>
            </w:r>
            <w:r>
              <w:rPr>
                <w:rFonts w:hint="eastAsia" w:ascii="宋体" w:hAnsi="宋体" w:cs="宋体"/>
                <w:kern w:val="0"/>
                <w:sz w:val="20"/>
                <w:szCs w:val="20"/>
              </w:rPr>
              <w:t>5) 学校年级管理：可添加学校年级信息</w:t>
            </w:r>
            <w:r>
              <w:rPr>
                <w:rFonts w:hint="eastAsia" w:ascii="宋体" w:hAnsi="宋体" w:cs="宋体"/>
                <w:kern w:val="0"/>
                <w:sz w:val="20"/>
                <w:szCs w:val="20"/>
              </w:rPr>
              <w:br w:type="textWrapping"/>
            </w:r>
            <w:r>
              <w:rPr>
                <w:rFonts w:hint="eastAsia" w:ascii="宋体" w:hAnsi="宋体" w:cs="宋体"/>
                <w:kern w:val="0"/>
                <w:sz w:val="20"/>
                <w:szCs w:val="20"/>
              </w:rPr>
              <w:t>6) 学校班级管理：可添加学校班级信息</w:t>
            </w:r>
            <w:r>
              <w:rPr>
                <w:rFonts w:hint="eastAsia" w:ascii="宋体" w:hAnsi="宋体" w:cs="宋体"/>
                <w:kern w:val="0"/>
                <w:sz w:val="20"/>
                <w:szCs w:val="20"/>
              </w:rPr>
              <w:br w:type="textWrapping"/>
            </w:r>
            <w:r>
              <w:rPr>
                <w:rFonts w:hint="eastAsia" w:ascii="宋体" w:hAnsi="宋体" w:cs="宋体"/>
                <w:kern w:val="0"/>
                <w:sz w:val="20"/>
                <w:szCs w:val="20"/>
              </w:rPr>
              <w:t>7) 学生管理：上传学生基本信息（姓名、性别、学籍号、状态），可添加捆绑对应家长，可捆绑多个家长，可录入家长基本信息</w:t>
            </w:r>
            <w:r>
              <w:rPr>
                <w:rFonts w:hint="eastAsia" w:ascii="宋体" w:hAnsi="宋体" w:cs="宋体"/>
                <w:kern w:val="0"/>
                <w:sz w:val="20"/>
                <w:szCs w:val="20"/>
              </w:rPr>
              <w:br w:type="textWrapping"/>
            </w:r>
            <w:r>
              <w:rPr>
                <w:rFonts w:hint="eastAsia" w:ascii="宋体" w:hAnsi="宋体" w:cs="宋体"/>
                <w:kern w:val="0"/>
                <w:sz w:val="20"/>
                <w:szCs w:val="20"/>
              </w:rPr>
              <w:t>8) 职务管理：进行编辑、添加职务以及职务职能</w:t>
            </w:r>
            <w:r>
              <w:rPr>
                <w:rFonts w:hint="eastAsia" w:ascii="宋体" w:hAnsi="宋体" w:cs="宋体"/>
                <w:kern w:val="0"/>
                <w:sz w:val="20"/>
                <w:szCs w:val="20"/>
              </w:rPr>
              <w:br w:type="textWrapping"/>
            </w:r>
            <w:r>
              <w:rPr>
                <w:rFonts w:hint="eastAsia" w:ascii="宋体" w:hAnsi="宋体" w:cs="宋体"/>
                <w:kern w:val="0"/>
                <w:sz w:val="20"/>
                <w:szCs w:val="20"/>
              </w:rPr>
              <w:t>9) 一卡通管理：上传教职工以及学生的一卡通信息</w:t>
            </w:r>
            <w:r>
              <w:rPr>
                <w:rFonts w:hint="eastAsia" w:ascii="宋体" w:hAnsi="宋体" w:cs="宋体"/>
                <w:kern w:val="0"/>
                <w:sz w:val="20"/>
                <w:szCs w:val="20"/>
              </w:rPr>
              <w:br w:type="textWrapping"/>
            </w:r>
            <w:r>
              <w:rPr>
                <w:rFonts w:hint="eastAsia" w:ascii="宋体" w:hAnsi="宋体" w:cs="宋体"/>
                <w:kern w:val="0"/>
                <w:sz w:val="20"/>
                <w:szCs w:val="20"/>
              </w:rPr>
              <w:t>10) 人员人脸库管理：上传教职工以及学生的人脸数据</w:t>
            </w:r>
            <w:r>
              <w:rPr>
                <w:rFonts w:hint="eastAsia" w:ascii="宋体" w:hAnsi="宋体" w:cs="宋体"/>
                <w:kern w:val="0"/>
                <w:sz w:val="20"/>
                <w:szCs w:val="20"/>
              </w:rPr>
              <w:br w:type="textWrapping"/>
            </w:r>
            <w:r>
              <w:rPr>
                <w:rFonts w:hint="eastAsia" w:ascii="宋体" w:hAnsi="宋体" w:cs="宋体"/>
                <w:kern w:val="0"/>
                <w:sz w:val="20"/>
                <w:szCs w:val="20"/>
              </w:rPr>
              <w:t>3. 信息发布管理版块</w:t>
            </w:r>
            <w:r>
              <w:rPr>
                <w:rFonts w:hint="eastAsia" w:ascii="宋体" w:hAnsi="宋体" w:cs="宋体"/>
                <w:kern w:val="0"/>
                <w:sz w:val="20"/>
                <w:szCs w:val="20"/>
              </w:rPr>
              <w:br w:type="textWrapping"/>
            </w:r>
            <w:r>
              <w:rPr>
                <w:rFonts w:hint="eastAsia" w:ascii="宋体" w:hAnsi="宋体" w:cs="宋体"/>
                <w:kern w:val="0"/>
                <w:sz w:val="20"/>
                <w:szCs w:val="20"/>
              </w:rPr>
              <w:t>1) 校园风采：发布图片及视频，可编辑文字内容</w:t>
            </w:r>
            <w:r>
              <w:rPr>
                <w:rFonts w:hint="eastAsia" w:ascii="宋体" w:hAnsi="宋体" w:cs="宋体"/>
                <w:kern w:val="0"/>
                <w:sz w:val="20"/>
                <w:szCs w:val="20"/>
              </w:rPr>
              <w:br w:type="textWrapping"/>
            </w:r>
            <w:r>
              <w:rPr>
                <w:rFonts w:hint="eastAsia" w:ascii="宋体" w:hAnsi="宋体" w:cs="宋体"/>
                <w:kern w:val="0"/>
                <w:sz w:val="20"/>
                <w:szCs w:val="20"/>
              </w:rPr>
              <w:t>2) 班级风采：发布图片及视频，可编辑文字内容</w:t>
            </w:r>
            <w:r>
              <w:rPr>
                <w:rFonts w:hint="eastAsia" w:ascii="宋体" w:hAnsi="宋体" w:cs="宋体"/>
                <w:kern w:val="0"/>
                <w:sz w:val="20"/>
                <w:szCs w:val="20"/>
              </w:rPr>
              <w:br w:type="textWrapping"/>
            </w:r>
            <w:r>
              <w:rPr>
                <w:rFonts w:hint="eastAsia" w:ascii="宋体" w:hAnsi="宋体" w:cs="宋体"/>
                <w:kern w:val="0"/>
                <w:sz w:val="20"/>
                <w:szCs w:val="20"/>
              </w:rPr>
              <w:t>3) 公告通知：发布公告，编辑录入，只有文本信息，可设定发布计划，开始时间及结束时间</w:t>
            </w:r>
            <w:r>
              <w:rPr>
                <w:rFonts w:hint="eastAsia" w:ascii="宋体" w:hAnsi="宋体" w:cs="宋体"/>
                <w:kern w:val="0"/>
                <w:sz w:val="20"/>
                <w:szCs w:val="20"/>
              </w:rPr>
              <w:br w:type="textWrapping"/>
            </w:r>
            <w:r>
              <w:rPr>
                <w:rFonts w:hint="eastAsia" w:ascii="宋体" w:hAnsi="宋体" w:cs="宋体"/>
                <w:kern w:val="0"/>
                <w:sz w:val="20"/>
                <w:szCs w:val="20"/>
              </w:rPr>
              <w:t>4) 最新活动：发布校园活动资讯，可发布图片及文字内容，可设定发布计划，开始时间及结束时间</w:t>
            </w:r>
            <w:r>
              <w:rPr>
                <w:rFonts w:hint="eastAsia" w:ascii="宋体" w:hAnsi="宋体" w:cs="宋体"/>
                <w:kern w:val="0"/>
                <w:sz w:val="20"/>
                <w:szCs w:val="20"/>
              </w:rPr>
              <w:br w:type="textWrapping"/>
            </w:r>
            <w:r>
              <w:rPr>
                <w:rFonts w:hint="eastAsia" w:ascii="宋体" w:hAnsi="宋体" w:cs="宋体"/>
                <w:kern w:val="0"/>
                <w:sz w:val="20"/>
                <w:szCs w:val="20"/>
              </w:rPr>
              <w:t>4. 考勤管理功能版块</w:t>
            </w:r>
            <w:r>
              <w:rPr>
                <w:rFonts w:hint="eastAsia" w:ascii="宋体" w:hAnsi="宋体" w:cs="宋体"/>
                <w:kern w:val="0"/>
                <w:sz w:val="20"/>
                <w:szCs w:val="20"/>
              </w:rPr>
              <w:br w:type="textWrapping"/>
            </w:r>
            <w:r>
              <w:rPr>
                <w:rFonts w:hint="eastAsia" w:ascii="宋体" w:hAnsi="宋体" w:cs="宋体"/>
                <w:kern w:val="0"/>
                <w:sz w:val="20"/>
                <w:szCs w:val="20"/>
              </w:rPr>
              <w:t>1) 事件考勤规则设定：增删查改，可设定多个规则，适用于多个事件</w:t>
            </w:r>
            <w:r>
              <w:rPr>
                <w:rFonts w:hint="eastAsia" w:ascii="宋体" w:hAnsi="宋体" w:cs="宋体"/>
                <w:kern w:val="0"/>
                <w:sz w:val="20"/>
                <w:szCs w:val="20"/>
              </w:rPr>
              <w:br w:type="textWrapping"/>
            </w:r>
            <w:r>
              <w:rPr>
                <w:rFonts w:hint="eastAsia" w:ascii="宋体" w:hAnsi="宋体" w:cs="宋体"/>
                <w:kern w:val="0"/>
                <w:sz w:val="20"/>
                <w:szCs w:val="20"/>
              </w:rPr>
              <w:t>2) 事件考勤记录，筛选获取对应班级考勤统计，可获取对应班级考勤详细记录</w:t>
            </w:r>
            <w:r>
              <w:rPr>
                <w:rFonts w:hint="eastAsia" w:ascii="宋体" w:hAnsi="宋体" w:cs="宋体"/>
                <w:kern w:val="0"/>
                <w:sz w:val="20"/>
                <w:szCs w:val="20"/>
              </w:rPr>
              <w:br w:type="textWrapping"/>
            </w:r>
            <w:r>
              <w:rPr>
                <w:rFonts w:hint="eastAsia" w:ascii="宋体" w:hAnsi="宋体" w:cs="宋体"/>
                <w:kern w:val="0"/>
                <w:sz w:val="20"/>
                <w:szCs w:val="20"/>
              </w:rPr>
              <w:t>3) 课程考勤记录，筛选获取对应班级考勤统计，可获取对应班级考勤详细记录</w:t>
            </w:r>
            <w:r>
              <w:rPr>
                <w:rFonts w:hint="eastAsia" w:ascii="宋体" w:hAnsi="宋体" w:cs="宋体"/>
                <w:kern w:val="0"/>
                <w:sz w:val="20"/>
                <w:szCs w:val="20"/>
              </w:rPr>
              <w:br w:type="textWrapping"/>
            </w:r>
            <w:r>
              <w:rPr>
                <w:rFonts w:hint="eastAsia" w:ascii="宋体" w:hAnsi="宋体" w:cs="宋体"/>
                <w:kern w:val="0"/>
                <w:sz w:val="20"/>
                <w:szCs w:val="20"/>
              </w:rPr>
              <w:t>4）学生考勤记录：筛选获取对应学生考勤统计，可获取对应学生考勤详细记录，并按照学校要求提供数据统计</w:t>
            </w:r>
            <w:r>
              <w:rPr>
                <w:rFonts w:hint="eastAsia" w:ascii="宋体" w:hAnsi="宋体" w:cs="宋体"/>
                <w:kern w:val="0"/>
                <w:sz w:val="20"/>
                <w:szCs w:val="20"/>
              </w:rPr>
              <w:br w:type="textWrapping"/>
            </w:r>
            <w:r>
              <w:rPr>
                <w:rFonts w:hint="eastAsia" w:ascii="宋体" w:hAnsi="宋体" w:cs="宋体"/>
                <w:kern w:val="0"/>
                <w:sz w:val="20"/>
                <w:szCs w:val="20"/>
              </w:rPr>
              <w:t>5. 课程管理</w:t>
            </w:r>
            <w:r>
              <w:rPr>
                <w:rFonts w:hint="eastAsia" w:ascii="宋体" w:hAnsi="宋体" w:cs="宋体"/>
                <w:kern w:val="0"/>
                <w:sz w:val="20"/>
                <w:szCs w:val="20"/>
              </w:rPr>
              <w:br w:type="textWrapping"/>
            </w:r>
            <w:r>
              <w:rPr>
                <w:rFonts w:hint="eastAsia" w:ascii="宋体" w:hAnsi="宋体" w:cs="宋体"/>
                <w:kern w:val="0"/>
                <w:sz w:val="20"/>
                <w:szCs w:val="20"/>
              </w:rPr>
              <w:t>1) 课程库：添加课程名称及对应属性（行政/走班），编辑对应的任教老师姓名</w:t>
            </w:r>
            <w:r>
              <w:rPr>
                <w:rFonts w:hint="eastAsia" w:ascii="宋体" w:hAnsi="宋体" w:cs="宋体"/>
                <w:kern w:val="0"/>
                <w:sz w:val="20"/>
                <w:szCs w:val="20"/>
              </w:rPr>
              <w:br w:type="textWrapping"/>
            </w:r>
            <w:r>
              <w:rPr>
                <w:rFonts w:hint="eastAsia" w:ascii="宋体" w:hAnsi="宋体" w:cs="宋体"/>
                <w:kern w:val="0"/>
                <w:sz w:val="20"/>
                <w:szCs w:val="20"/>
              </w:rPr>
              <w:t>2) 课程模板：设置每周上课时间，每天的课程作息时间，每节课时的时间安排，并可针对不同教室不同班级生成对应不同的课程作息模板</w:t>
            </w:r>
            <w:r>
              <w:rPr>
                <w:rFonts w:hint="eastAsia" w:ascii="宋体" w:hAnsi="宋体" w:cs="宋体"/>
                <w:kern w:val="0"/>
                <w:sz w:val="20"/>
                <w:szCs w:val="20"/>
              </w:rPr>
              <w:br w:type="textWrapping"/>
            </w:r>
            <w:r>
              <w:rPr>
                <w:rFonts w:hint="eastAsia" w:ascii="宋体" w:hAnsi="宋体" w:cs="宋体"/>
                <w:kern w:val="0"/>
                <w:sz w:val="20"/>
                <w:szCs w:val="20"/>
              </w:rPr>
              <w:t>3) 课程表：可查看各个场地、班级的课程表，可整体全校进行批量导入，也可与其他平台系统进行对接</w:t>
            </w:r>
            <w:r>
              <w:rPr>
                <w:rFonts w:hint="eastAsia" w:ascii="宋体" w:hAnsi="宋体" w:cs="宋体"/>
                <w:kern w:val="0"/>
                <w:sz w:val="20"/>
                <w:szCs w:val="20"/>
              </w:rPr>
              <w:br w:type="textWrapping"/>
            </w:r>
            <w:r>
              <w:rPr>
                <w:rFonts w:hint="eastAsia" w:ascii="宋体" w:hAnsi="宋体" w:cs="宋体"/>
                <w:kern w:val="0"/>
                <w:sz w:val="20"/>
                <w:szCs w:val="20"/>
              </w:rPr>
              <w:t>6. 考试计划（考场模式）</w:t>
            </w:r>
            <w:r>
              <w:rPr>
                <w:rFonts w:hint="eastAsia" w:ascii="宋体" w:hAnsi="宋体" w:cs="宋体"/>
                <w:kern w:val="0"/>
                <w:sz w:val="20"/>
                <w:szCs w:val="20"/>
              </w:rPr>
              <w:br w:type="textWrapping"/>
            </w:r>
            <w:r>
              <w:rPr>
                <w:rFonts w:hint="eastAsia" w:ascii="宋体" w:hAnsi="宋体" w:cs="宋体"/>
                <w:kern w:val="0"/>
                <w:sz w:val="20"/>
                <w:szCs w:val="20"/>
              </w:rPr>
              <w:t>1) 设定考试计划，设定考试时间</w:t>
            </w:r>
            <w:r>
              <w:rPr>
                <w:rFonts w:hint="eastAsia" w:ascii="宋体" w:hAnsi="宋体" w:cs="宋体"/>
                <w:kern w:val="0"/>
                <w:sz w:val="20"/>
                <w:szCs w:val="20"/>
              </w:rPr>
              <w:br w:type="textWrapping"/>
            </w:r>
            <w:r>
              <w:rPr>
                <w:rFonts w:hint="eastAsia" w:ascii="宋体" w:hAnsi="宋体" w:cs="宋体"/>
                <w:kern w:val="0"/>
                <w:sz w:val="20"/>
                <w:szCs w:val="20"/>
              </w:rPr>
              <w:t>2) 设定对应考试计划的多个考试班级以及多个对应考场的场地，设定对应监考老师；</w:t>
            </w:r>
            <w:r>
              <w:rPr>
                <w:rFonts w:hint="eastAsia" w:ascii="宋体" w:hAnsi="宋体" w:cs="宋体"/>
                <w:kern w:val="0"/>
                <w:sz w:val="20"/>
                <w:szCs w:val="20"/>
              </w:rPr>
              <w:br w:type="textWrapping"/>
            </w:r>
            <w:r>
              <w:rPr>
                <w:rFonts w:hint="eastAsia" w:ascii="宋体" w:hAnsi="宋体" w:cs="宋体"/>
                <w:kern w:val="0"/>
                <w:sz w:val="20"/>
                <w:szCs w:val="20"/>
              </w:rPr>
              <w:t>3) 场地可自行编辑座位方案，按照行数及列数规划；</w:t>
            </w:r>
            <w:r>
              <w:rPr>
                <w:rFonts w:hint="eastAsia" w:ascii="宋体" w:hAnsi="宋体" w:cs="宋体"/>
                <w:kern w:val="0"/>
                <w:sz w:val="20"/>
                <w:szCs w:val="20"/>
              </w:rPr>
              <w:br w:type="textWrapping"/>
            </w:r>
            <w:r>
              <w:rPr>
                <w:rFonts w:hint="eastAsia" w:ascii="宋体" w:hAnsi="宋体" w:cs="宋体"/>
                <w:kern w:val="0"/>
                <w:sz w:val="20"/>
                <w:szCs w:val="20"/>
              </w:rPr>
              <w:t>4) 考生信息根据考试班级自动录入，并可根据实际情况进行微调；</w:t>
            </w:r>
            <w:r>
              <w:rPr>
                <w:rFonts w:hint="eastAsia" w:ascii="宋体" w:hAnsi="宋体" w:cs="宋体"/>
                <w:kern w:val="0"/>
                <w:sz w:val="20"/>
                <w:szCs w:val="20"/>
              </w:rPr>
              <w:br w:type="textWrapping"/>
            </w:r>
            <w:r>
              <w:rPr>
                <w:rFonts w:hint="eastAsia" w:ascii="宋体" w:hAnsi="宋体" w:cs="宋体"/>
                <w:kern w:val="0"/>
                <w:sz w:val="20"/>
                <w:szCs w:val="20"/>
              </w:rPr>
              <w:t>5）支持对接考试系统考试安排，显示学生、教师考勤数据。</w:t>
            </w:r>
            <w:r>
              <w:rPr>
                <w:rFonts w:hint="eastAsia" w:ascii="宋体" w:hAnsi="宋体" w:cs="宋体"/>
                <w:kern w:val="0"/>
                <w:sz w:val="20"/>
                <w:szCs w:val="20"/>
              </w:rPr>
              <w:br w:type="textWrapping"/>
            </w:r>
            <w:r>
              <w:rPr>
                <w:rFonts w:hint="eastAsia" w:ascii="宋体" w:hAnsi="宋体" w:cs="宋体"/>
                <w:kern w:val="0"/>
                <w:sz w:val="20"/>
                <w:szCs w:val="20"/>
              </w:rPr>
              <w:t>7. 大赛计划（国考模式）</w:t>
            </w:r>
            <w:r>
              <w:rPr>
                <w:rFonts w:hint="eastAsia" w:ascii="宋体" w:hAnsi="宋体" w:cs="宋体"/>
                <w:kern w:val="0"/>
                <w:sz w:val="20"/>
                <w:szCs w:val="20"/>
              </w:rPr>
              <w:br w:type="textWrapping"/>
            </w:r>
            <w:r>
              <w:rPr>
                <w:rFonts w:hint="eastAsia" w:ascii="宋体" w:hAnsi="宋体" w:cs="宋体"/>
                <w:kern w:val="0"/>
                <w:sz w:val="20"/>
                <w:szCs w:val="20"/>
              </w:rPr>
              <w:t>1) 设定大赛计划，设定大赛规划时间</w:t>
            </w:r>
            <w:r>
              <w:rPr>
                <w:rFonts w:hint="eastAsia" w:ascii="宋体" w:hAnsi="宋体" w:cs="宋体"/>
                <w:kern w:val="0"/>
                <w:sz w:val="20"/>
                <w:szCs w:val="20"/>
              </w:rPr>
              <w:br w:type="textWrapping"/>
            </w:r>
            <w:r>
              <w:rPr>
                <w:rFonts w:hint="eastAsia" w:ascii="宋体" w:hAnsi="宋体" w:cs="宋体"/>
                <w:kern w:val="0"/>
                <w:sz w:val="20"/>
                <w:szCs w:val="20"/>
              </w:rPr>
              <w:t>2) 设定对应大赛计划的多个对应的场地，设定考场监考老师；</w:t>
            </w:r>
            <w:r>
              <w:rPr>
                <w:rFonts w:hint="eastAsia" w:ascii="宋体" w:hAnsi="宋体" w:cs="宋体"/>
                <w:kern w:val="0"/>
                <w:sz w:val="20"/>
                <w:szCs w:val="20"/>
              </w:rPr>
              <w:br w:type="textWrapping"/>
            </w:r>
            <w:r>
              <w:rPr>
                <w:rFonts w:hint="eastAsia" w:ascii="宋体" w:hAnsi="宋体" w:cs="宋体"/>
                <w:kern w:val="0"/>
                <w:sz w:val="20"/>
                <w:szCs w:val="20"/>
              </w:rPr>
              <w:t>3) 场地可自行编辑座位方案，按照行数及列数规划；</w:t>
            </w:r>
            <w:r>
              <w:rPr>
                <w:rFonts w:hint="eastAsia" w:ascii="宋体" w:hAnsi="宋体" w:cs="宋体"/>
                <w:kern w:val="0"/>
                <w:sz w:val="20"/>
                <w:szCs w:val="20"/>
              </w:rPr>
              <w:br w:type="textWrapping"/>
            </w:r>
            <w:r>
              <w:rPr>
                <w:rFonts w:hint="eastAsia" w:ascii="宋体" w:hAnsi="宋体" w:cs="宋体"/>
                <w:kern w:val="0"/>
                <w:sz w:val="20"/>
                <w:szCs w:val="20"/>
              </w:rPr>
              <w:t>4) 考生信息根据姓名、人脸照片及相关信息录入，可录入校外人员数据</w:t>
            </w:r>
            <w:r>
              <w:rPr>
                <w:rFonts w:hint="eastAsia" w:ascii="宋体" w:hAnsi="宋体" w:cs="宋体"/>
                <w:kern w:val="0"/>
                <w:sz w:val="20"/>
                <w:szCs w:val="20"/>
              </w:rPr>
              <w:br w:type="textWrapping"/>
            </w:r>
            <w:r>
              <w:rPr>
                <w:rFonts w:hint="eastAsia" w:ascii="宋体" w:hAnsi="宋体" w:cs="宋体"/>
                <w:kern w:val="0"/>
                <w:sz w:val="20"/>
                <w:szCs w:val="20"/>
              </w:rPr>
              <w:t>8. 霸屏计划</w:t>
            </w:r>
            <w:r>
              <w:rPr>
                <w:rFonts w:hint="eastAsia" w:ascii="宋体" w:hAnsi="宋体" w:cs="宋体"/>
                <w:kern w:val="0"/>
                <w:sz w:val="20"/>
                <w:szCs w:val="20"/>
              </w:rPr>
              <w:br w:type="textWrapping"/>
            </w:r>
            <w:r>
              <w:rPr>
                <w:rFonts w:hint="eastAsia" w:ascii="宋体" w:hAnsi="宋体" w:cs="宋体"/>
                <w:kern w:val="0"/>
                <w:sz w:val="20"/>
                <w:szCs w:val="20"/>
              </w:rPr>
              <w:t>1) 设定霸屏计划，设定霸屏规划时间，包括展示开始时间及结束时间，可以上传多个图片或视频</w:t>
            </w:r>
            <w:r>
              <w:rPr>
                <w:rFonts w:hint="eastAsia" w:ascii="宋体" w:hAnsi="宋体" w:cs="宋体"/>
                <w:kern w:val="0"/>
                <w:sz w:val="20"/>
                <w:szCs w:val="20"/>
              </w:rPr>
              <w:br w:type="textWrapping"/>
            </w:r>
            <w:r>
              <w:rPr>
                <w:rFonts w:hint="eastAsia" w:ascii="宋体" w:hAnsi="宋体" w:cs="宋体"/>
                <w:kern w:val="0"/>
                <w:sz w:val="20"/>
                <w:szCs w:val="20"/>
              </w:rPr>
              <w:t>2) 设定对应霸屏计划的多个对应的场地</w:t>
            </w:r>
            <w:r>
              <w:rPr>
                <w:rFonts w:hint="eastAsia" w:ascii="宋体" w:hAnsi="宋体" w:cs="宋体"/>
                <w:kern w:val="0"/>
                <w:sz w:val="20"/>
                <w:szCs w:val="20"/>
              </w:rPr>
              <w:br w:type="textWrapping"/>
            </w:r>
            <w:r>
              <w:rPr>
                <w:rFonts w:hint="eastAsia" w:ascii="宋体" w:hAnsi="宋体" w:cs="宋体"/>
                <w:kern w:val="0"/>
                <w:sz w:val="20"/>
                <w:szCs w:val="20"/>
              </w:rPr>
              <w:t>9. 场地预约功能</w:t>
            </w:r>
            <w:r>
              <w:rPr>
                <w:rFonts w:hint="eastAsia" w:ascii="宋体" w:hAnsi="宋体" w:cs="宋体"/>
                <w:kern w:val="0"/>
                <w:sz w:val="20"/>
                <w:szCs w:val="20"/>
              </w:rPr>
              <w:br w:type="textWrapping"/>
            </w:r>
            <w:r>
              <w:rPr>
                <w:rFonts w:hint="eastAsia" w:ascii="宋体" w:hAnsi="宋体" w:cs="宋体"/>
                <w:kern w:val="0"/>
                <w:sz w:val="20"/>
                <w:szCs w:val="20"/>
              </w:rPr>
              <w:t>1) 可查看及删除场地预约信息</w:t>
            </w:r>
            <w:r>
              <w:rPr>
                <w:rFonts w:hint="eastAsia" w:ascii="宋体" w:hAnsi="宋体" w:cs="宋体"/>
                <w:kern w:val="0"/>
                <w:sz w:val="20"/>
                <w:szCs w:val="20"/>
              </w:rPr>
              <w:br w:type="textWrapping"/>
            </w:r>
            <w:r>
              <w:rPr>
                <w:rFonts w:hint="eastAsia" w:ascii="宋体" w:hAnsi="宋体" w:cs="宋体"/>
                <w:kern w:val="0"/>
                <w:sz w:val="20"/>
                <w:szCs w:val="20"/>
              </w:rPr>
              <w:t>2) 后台可发起场地预约申请</w:t>
            </w:r>
            <w:r>
              <w:rPr>
                <w:rFonts w:hint="eastAsia" w:ascii="宋体" w:hAnsi="宋体" w:cs="宋体"/>
                <w:kern w:val="0"/>
                <w:sz w:val="20"/>
                <w:szCs w:val="20"/>
              </w:rPr>
              <w:br w:type="textWrapping"/>
            </w:r>
            <w:r>
              <w:rPr>
                <w:rFonts w:hint="eastAsia" w:ascii="宋体" w:hAnsi="宋体" w:cs="宋体"/>
                <w:kern w:val="0"/>
                <w:sz w:val="20"/>
                <w:szCs w:val="20"/>
              </w:rPr>
              <w:t>3） 支持对接教务系统借用结果，并显示教室安排数据</w:t>
            </w:r>
            <w:r>
              <w:rPr>
                <w:rFonts w:hint="eastAsia" w:ascii="宋体" w:hAnsi="宋体" w:cs="宋体"/>
                <w:kern w:val="0"/>
                <w:sz w:val="20"/>
                <w:szCs w:val="20"/>
              </w:rPr>
              <w:br w:type="textWrapping"/>
            </w:r>
            <w:r>
              <w:rPr>
                <w:rFonts w:hint="eastAsia" w:ascii="宋体" w:hAnsi="宋体" w:cs="宋体"/>
                <w:kern w:val="0"/>
                <w:sz w:val="20"/>
                <w:szCs w:val="20"/>
              </w:rPr>
              <w:t>10. 电子班牌管理功能版块（联动设备端）</w:t>
            </w:r>
            <w:r>
              <w:rPr>
                <w:rFonts w:hint="eastAsia" w:ascii="宋体" w:hAnsi="宋体" w:cs="宋体"/>
                <w:kern w:val="0"/>
                <w:sz w:val="20"/>
                <w:szCs w:val="20"/>
              </w:rPr>
              <w:br w:type="textWrapping"/>
            </w:r>
            <w:r>
              <w:rPr>
                <w:rFonts w:hint="eastAsia" w:ascii="宋体" w:hAnsi="宋体" w:cs="宋体"/>
                <w:kern w:val="0"/>
                <w:sz w:val="20"/>
                <w:szCs w:val="20"/>
              </w:rPr>
              <w:t>1) 设备管理功能：查看设备状态情况（在线/离线）</w:t>
            </w:r>
            <w:r>
              <w:rPr>
                <w:rFonts w:hint="eastAsia" w:ascii="宋体" w:hAnsi="宋体" w:cs="宋体"/>
                <w:kern w:val="0"/>
                <w:sz w:val="20"/>
                <w:szCs w:val="20"/>
              </w:rPr>
              <w:br w:type="textWrapping"/>
            </w:r>
            <w:r>
              <w:rPr>
                <w:rFonts w:hint="eastAsia" w:ascii="宋体" w:hAnsi="宋体" w:cs="宋体"/>
                <w:kern w:val="0"/>
                <w:sz w:val="20"/>
                <w:szCs w:val="20"/>
              </w:rPr>
              <w:t>2) 设备对应班级绑定，对应班级数据下发到绑定班牌端</w:t>
            </w:r>
            <w:r>
              <w:rPr>
                <w:rFonts w:hint="eastAsia" w:ascii="宋体" w:hAnsi="宋体" w:cs="宋体"/>
                <w:kern w:val="0"/>
                <w:sz w:val="20"/>
                <w:szCs w:val="20"/>
              </w:rPr>
              <w:br w:type="textWrapping"/>
            </w:r>
            <w:r>
              <w:rPr>
                <w:rFonts w:hint="eastAsia" w:ascii="宋体" w:hAnsi="宋体" w:cs="宋体"/>
                <w:kern w:val="0"/>
                <w:sz w:val="20"/>
                <w:szCs w:val="20"/>
              </w:rPr>
              <w:t>3) 设备当前版本显示，远程更新软件版本</w:t>
            </w:r>
            <w:r>
              <w:rPr>
                <w:rFonts w:hint="eastAsia" w:ascii="宋体" w:hAnsi="宋体" w:cs="宋体"/>
                <w:kern w:val="0"/>
                <w:sz w:val="20"/>
                <w:szCs w:val="20"/>
              </w:rPr>
              <w:br w:type="textWrapping"/>
            </w:r>
            <w:r>
              <w:rPr>
                <w:rFonts w:hint="eastAsia" w:ascii="宋体" w:hAnsi="宋体" w:cs="宋体"/>
                <w:kern w:val="0"/>
                <w:sz w:val="20"/>
                <w:szCs w:val="20"/>
              </w:rPr>
              <w:t>4) 设备可自定义主页面布局，设定布局计划，按照自主需求挑选系统内已有的标准模块，拉动到主页内，进行自定义布局设计</w:t>
            </w:r>
            <w:r>
              <w:rPr>
                <w:rFonts w:hint="eastAsia" w:ascii="宋体" w:hAnsi="宋体" w:cs="宋体"/>
                <w:kern w:val="0"/>
                <w:sz w:val="20"/>
                <w:szCs w:val="20"/>
              </w:rPr>
              <w:br w:type="textWrapping"/>
            </w:r>
            <w:r>
              <w:rPr>
                <w:rFonts w:hint="eastAsia" w:ascii="宋体" w:hAnsi="宋体" w:cs="宋体"/>
                <w:kern w:val="0"/>
                <w:sz w:val="20"/>
                <w:szCs w:val="20"/>
              </w:rPr>
              <w:t>5) 远程设置定时开关机，针对性制定开关机计划，灵活应对各个年级设备</w:t>
            </w:r>
            <w:r>
              <w:rPr>
                <w:rFonts w:hint="eastAsia" w:ascii="宋体" w:hAnsi="宋体" w:cs="宋体"/>
                <w:kern w:val="0"/>
                <w:sz w:val="20"/>
                <w:szCs w:val="20"/>
              </w:rPr>
              <w:br w:type="textWrapping"/>
            </w:r>
            <w:r>
              <w:rPr>
                <w:rFonts w:hint="eastAsia" w:ascii="宋体" w:hAnsi="宋体" w:cs="宋体"/>
                <w:kern w:val="0"/>
                <w:sz w:val="20"/>
                <w:szCs w:val="20"/>
              </w:rPr>
              <w:t>6) 可实时对设备进行远程重启</w:t>
            </w:r>
            <w:r>
              <w:rPr>
                <w:rFonts w:hint="eastAsia" w:ascii="宋体" w:hAnsi="宋体" w:cs="宋体"/>
                <w:kern w:val="0"/>
                <w:sz w:val="20"/>
                <w:szCs w:val="20"/>
              </w:rPr>
              <w:br w:type="textWrapping"/>
            </w:r>
            <w:r>
              <w:rPr>
                <w:rFonts w:hint="eastAsia" w:ascii="宋体" w:hAnsi="宋体" w:cs="宋体"/>
                <w:kern w:val="0"/>
                <w:sz w:val="20"/>
                <w:szCs w:val="20"/>
              </w:rPr>
              <w:t>7）和校园文化电子屏为同一管理后台</w:t>
            </w:r>
            <w:r>
              <w:rPr>
                <w:rFonts w:hint="eastAsia" w:ascii="宋体" w:hAnsi="宋体" w:cs="宋体"/>
                <w:kern w:val="0"/>
                <w:sz w:val="20"/>
                <w:szCs w:val="20"/>
              </w:rPr>
              <w:br w:type="textWrapping"/>
            </w:r>
            <w:r>
              <w:rPr>
                <w:rFonts w:hint="eastAsia" w:ascii="宋体" w:hAnsi="宋体" w:cs="宋体"/>
                <w:kern w:val="0"/>
                <w:sz w:val="20"/>
                <w:szCs w:val="20"/>
              </w:rPr>
              <w:t>11.和教务系统、智慧教学平台、中控系统、考务系统、宣传部门系统对接，做到互联互通、数据共享。</w:t>
            </w:r>
          </w:p>
        </w:tc>
        <w:tc>
          <w:tcPr>
            <w:tcW w:w="233" w:type="pct"/>
            <w:tcBorders>
              <w:top w:val="single" w:color="auto" w:sz="4" w:space="0"/>
              <w:left w:val="nil"/>
              <w:bottom w:val="single" w:color="auto" w:sz="4" w:space="0"/>
              <w:right w:val="single" w:color="auto" w:sz="4" w:space="0"/>
            </w:tcBorders>
            <w:vAlign w:val="center"/>
          </w:tcPr>
          <w:p w14:paraId="700A2436">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套</w:t>
            </w:r>
          </w:p>
        </w:tc>
        <w:tc>
          <w:tcPr>
            <w:tcW w:w="323" w:type="pct"/>
            <w:tcBorders>
              <w:top w:val="single" w:color="auto" w:sz="4" w:space="0"/>
              <w:left w:val="nil"/>
              <w:bottom w:val="single" w:color="auto" w:sz="4" w:space="0"/>
              <w:right w:val="single" w:color="auto" w:sz="4" w:space="0"/>
            </w:tcBorders>
            <w:vAlign w:val="center"/>
          </w:tcPr>
          <w:p w14:paraId="501C2B72">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289" w:type="pct"/>
            <w:tcBorders>
              <w:top w:val="single" w:color="auto" w:sz="4" w:space="0"/>
              <w:left w:val="nil"/>
              <w:bottom w:val="single" w:color="auto" w:sz="4" w:space="0"/>
              <w:right w:val="single" w:color="auto" w:sz="4" w:space="0"/>
            </w:tcBorders>
            <w:vAlign w:val="center"/>
          </w:tcPr>
          <w:p w14:paraId="63BB89C1">
            <w:pPr>
              <w:widowControl/>
              <w:spacing w:after="0" w:line="240" w:lineRule="auto"/>
              <w:jc w:val="center"/>
              <w:rPr>
                <w:rFonts w:hint="eastAsia" w:ascii="宋体" w:hAnsi="宋体" w:cs="宋体"/>
                <w:kern w:val="0"/>
                <w:sz w:val="20"/>
                <w:szCs w:val="20"/>
              </w:rPr>
            </w:pPr>
            <w:r>
              <w:rPr>
                <w:rFonts w:hint="eastAsia" w:ascii="宋体" w:hAnsi="宋体" w:cs="宋体"/>
                <w:kern w:val="0"/>
                <w:sz w:val="20"/>
                <w:szCs w:val="20"/>
              </w:rPr>
              <w:t>1</w:t>
            </w:r>
          </w:p>
        </w:tc>
        <w:tc>
          <w:tcPr>
            <w:tcW w:w="540" w:type="pct"/>
            <w:tcBorders>
              <w:top w:val="single" w:color="auto" w:sz="4" w:space="0"/>
              <w:left w:val="nil"/>
              <w:bottom w:val="single" w:color="auto" w:sz="4" w:space="0"/>
              <w:right w:val="single" w:color="auto" w:sz="4" w:space="0"/>
            </w:tcBorders>
            <w:vAlign w:val="center"/>
          </w:tcPr>
          <w:p w14:paraId="2CA0AD0C">
            <w:pPr>
              <w:widowControl/>
              <w:spacing w:after="0" w:line="240" w:lineRule="auto"/>
              <w:jc w:val="center"/>
              <w:rPr>
                <w:rFonts w:hint="eastAsia" w:ascii="宋体" w:hAnsi="宋体" w:cs="宋体"/>
                <w:kern w:val="0"/>
                <w:sz w:val="20"/>
                <w:szCs w:val="20"/>
              </w:rPr>
            </w:pPr>
          </w:p>
        </w:tc>
        <w:tc>
          <w:tcPr>
            <w:tcW w:w="374" w:type="pct"/>
            <w:tcBorders>
              <w:top w:val="single" w:color="auto" w:sz="4" w:space="0"/>
              <w:left w:val="nil"/>
              <w:bottom w:val="single" w:color="auto" w:sz="4" w:space="0"/>
              <w:right w:val="single" w:color="auto" w:sz="4" w:space="0"/>
            </w:tcBorders>
            <w:vAlign w:val="center"/>
          </w:tcPr>
          <w:p w14:paraId="2B1B6979">
            <w:pPr>
              <w:widowControl/>
              <w:spacing w:after="0" w:line="240" w:lineRule="auto"/>
              <w:jc w:val="right"/>
              <w:rPr>
                <w:rFonts w:hint="eastAsia" w:ascii="宋体" w:hAnsi="宋体" w:cs="宋体"/>
                <w:kern w:val="0"/>
                <w:sz w:val="20"/>
                <w:szCs w:val="20"/>
              </w:rPr>
            </w:pPr>
          </w:p>
        </w:tc>
        <w:tc>
          <w:tcPr>
            <w:tcW w:w="375" w:type="pct"/>
            <w:tcBorders>
              <w:top w:val="single" w:color="auto" w:sz="4" w:space="0"/>
              <w:left w:val="nil"/>
              <w:bottom w:val="single" w:color="auto" w:sz="4" w:space="0"/>
              <w:right w:val="single" w:color="auto" w:sz="4" w:space="0"/>
            </w:tcBorders>
            <w:vAlign w:val="center"/>
          </w:tcPr>
          <w:p w14:paraId="55A9FEB4">
            <w:pPr>
              <w:widowControl/>
              <w:spacing w:after="0" w:line="240" w:lineRule="auto"/>
              <w:jc w:val="right"/>
              <w:rPr>
                <w:rFonts w:hint="eastAsia" w:ascii="宋体" w:hAnsi="宋体" w:cs="宋体"/>
                <w:kern w:val="0"/>
                <w:sz w:val="20"/>
                <w:szCs w:val="20"/>
              </w:rPr>
            </w:pPr>
          </w:p>
        </w:tc>
        <w:tc>
          <w:tcPr>
            <w:tcW w:w="78" w:type="pct"/>
            <w:vAlign w:val="center"/>
          </w:tcPr>
          <w:p w14:paraId="759D1E9F">
            <w:pPr>
              <w:widowControl/>
              <w:spacing w:after="0" w:line="240" w:lineRule="auto"/>
              <w:jc w:val="left"/>
              <w:rPr>
                <w:rFonts w:eastAsia="Times New Roman"/>
                <w:kern w:val="0"/>
                <w:sz w:val="20"/>
                <w:szCs w:val="20"/>
              </w:rPr>
            </w:pPr>
          </w:p>
        </w:tc>
      </w:tr>
      <w:tr w14:paraId="61660B37">
        <w:tblPrEx>
          <w:tblCellMar>
            <w:top w:w="0" w:type="dxa"/>
            <w:left w:w="108" w:type="dxa"/>
            <w:bottom w:w="0" w:type="dxa"/>
            <w:right w:w="108" w:type="dxa"/>
          </w:tblCellMar>
        </w:tblPrEx>
        <w:trPr>
          <w:trHeight w:val="799" w:hRule="atLeast"/>
        </w:trPr>
        <w:tc>
          <w:tcPr>
            <w:tcW w:w="4922" w:type="pct"/>
            <w:gridSpan w:val="9"/>
            <w:tcBorders>
              <w:top w:val="single" w:color="auto" w:sz="4" w:space="0"/>
              <w:left w:val="single" w:color="auto" w:sz="4" w:space="0"/>
              <w:bottom w:val="single" w:color="auto" w:sz="4" w:space="0"/>
              <w:right w:val="single" w:color="auto" w:sz="4" w:space="0"/>
            </w:tcBorders>
            <w:vAlign w:val="center"/>
          </w:tcPr>
          <w:p w14:paraId="27A0B37A">
            <w:pPr>
              <w:widowControl/>
              <w:spacing w:after="0" w:line="240" w:lineRule="auto"/>
              <w:jc w:val="left"/>
              <w:rPr>
                <w:rFonts w:hint="eastAsia" w:ascii="宋体" w:hAnsi="宋体" w:cs="宋体"/>
                <w:b/>
                <w:bCs/>
                <w:kern w:val="0"/>
                <w:sz w:val="28"/>
                <w:szCs w:val="28"/>
              </w:rPr>
            </w:pPr>
            <w:r>
              <w:rPr>
                <w:rFonts w:hint="eastAsia" w:ascii="宋体" w:hAnsi="宋体" w:cs="宋体"/>
                <w:b/>
                <w:bCs/>
                <w:kern w:val="0"/>
                <w:sz w:val="28"/>
                <w:szCs w:val="28"/>
              </w:rPr>
              <w:t>注：1、上述设备包含安装、调试，直至验收通过。</w:t>
            </w:r>
            <w:r>
              <w:rPr>
                <w:rFonts w:hint="eastAsia" w:ascii="宋体" w:hAnsi="宋体" w:cs="宋体"/>
                <w:b/>
                <w:bCs/>
                <w:kern w:val="0"/>
                <w:sz w:val="28"/>
                <w:szCs w:val="28"/>
              </w:rPr>
              <w:br w:type="textWrapping"/>
            </w:r>
            <w:r>
              <w:rPr>
                <w:rFonts w:hint="eastAsia" w:ascii="宋体" w:hAnsi="宋体" w:cs="宋体"/>
                <w:b/>
                <w:bCs/>
                <w:kern w:val="0"/>
                <w:sz w:val="28"/>
                <w:szCs w:val="28"/>
              </w:rPr>
              <w:t>2、单价及总价均保留两位小数。</w:t>
            </w:r>
          </w:p>
        </w:tc>
        <w:tc>
          <w:tcPr>
            <w:tcW w:w="78" w:type="pct"/>
            <w:vAlign w:val="center"/>
          </w:tcPr>
          <w:p w14:paraId="5B122017">
            <w:pPr>
              <w:widowControl/>
              <w:spacing w:after="0" w:line="240" w:lineRule="auto"/>
              <w:jc w:val="left"/>
              <w:rPr>
                <w:rFonts w:eastAsia="Times New Roman"/>
                <w:kern w:val="0"/>
                <w:sz w:val="20"/>
                <w:szCs w:val="20"/>
              </w:rPr>
            </w:pPr>
          </w:p>
        </w:tc>
      </w:tr>
    </w:tbl>
    <w:p w14:paraId="22C9164C">
      <w:r>
        <w:rPr>
          <w:rFonts w:hint="eastAsia"/>
        </w:rPr>
        <w:br w:type="page"/>
      </w:r>
    </w:p>
    <w:p w14:paraId="176928DE">
      <w:p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p>
    <w:bookmarkEnd w:id="734"/>
    <w:bookmarkEnd w:id="735"/>
    <w:bookmarkEnd w:id="736"/>
    <w:p w14:paraId="38519C86">
      <w:pPr>
        <w:pStyle w:val="3"/>
        <w:spacing w:before="0" w:after="0" w:line="360" w:lineRule="auto"/>
        <w:jc w:val="center"/>
        <w:rPr>
          <w:rFonts w:hint="eastAsia" w:ascii="宋体" w:hAnsi="宋体" w:eastAsia="宋体"/>
          <w:sz w:val="28"/>
          <w:szCs w:val="28"/>
        </w:rPr>
      </w:pPr>
      <w:bookmarkStart w:id="738" w:name="_Toc214432868"/>
      <w:r>
        <w:rPr>
          <w:rFonts w:hint="eastAsia" w:ascii="宋体" w:hAnsi="宋体" w:eastAsia="宋体"/>
          <w:sz w:val="28"/>
          <w:szCs w:val="28"/>
        </w:rPr>
        <w:t>十八、招标代理服务费支付同意函</w:t>
      </w:r>
      <w:bookmarkEnd w:id="738"/>
    </w:p>
    <w:p w14:paraId="2DEE8C49">
      <w:pPr>
        <w:spacing w:after="0" w:line="360" w:lineRule="auto"/>
        <w:contextualSpacing/>
        <w:jc w:val="left"/>
        <w:rPr>
          <w:rFonts w:hint="eastAsia" w:ascii="宋体" w:hAnsi="宋体"/>
          <w:szCs w:val="21"/>
        </w:rPr>
      </w:pPr>
      <w:r>
        <w:rPr>
          <w:rFonts w:hint="eastAsia" w:ascii="宋体" w:hAnsi="宋体"/>
          <w:szCs w:val="21"/>
        </w:rPr>
        <w:t>致：公诚管理咨询有限公司</w:t>
      </w:r>
    </w:p>
    <w:p w14:paraId="33888A90">
      <w:pPr>
        <w:spacing w:after="0" w:line="360" w:lineRule="auto"/>
        <w:ind w:firstLine="600"/>
        <w:contextualSpacing/>
        <w:jc w:val="left"/>
        <w:rPr>
          <w:rFonts w:hint="eastAsia" w:ascii="宋体" w:hAnsi="宋体"/>
          <w:szCs w:val="21"/>
        </w:rPr>
      </w:pPr>
      <w:r>
        <w:rPr>
          <w:rFonts w:hint="eastAsia" w:ascii="宋体" w:hAnsi="宋体"/>
          <w:szCs w:val="21"/>
        </w:rPr>
        <w:t>我公司参加贵司作为招标代理机构组织的【</w:t>
      </w:r>
      <w:r>
        <w:rPr>
          <w:rFonts w:hint="eastAsia" w:ascii="宋体" w:hAnsi="宋体"/>
          <w:szCs w:val="21"/>
          <w:u w:val="single"/>
        </w:rPr>
        <w:t>惠州交投能源投资有限公司节能技改项目货物采购（第一批）</w:t>
      </w:r>
      <w:r>
        <w:rPr>
          <w:rFonts w:hint="eastAsia" w:ascii="宋体" w:hAnsi="宋体"/>
          <w:szCs w:val="21"/>
        </w:rPr>
        <w:t>】采购。我公司作为投标单位，若在本项目成交，同意支付招标代理服务费。</w:t>
      </w:r>
    </w:p>
    <w:p w14:paraId="18387914">
      <w:pPr>
        <w:spacing w:after="0" w:line="360" w:lineRule="auto"/>
        <w:ind w:firstLine="600"/>
        <w:contextualSpacing/>
        <w:jc w:val="left"/>
        <w:rPr>
          <w:rFonts w:hint="eastAsia" w:ascii="宋体" w:hAnsi="宋体"/>
          <w:szCs w:val="21"/>
        </w:rPr>
      </w:pPr>
      <w:r>
        <w:rPr>
          <w:rFonts w:hint="eastAsia" w:ascii="宋体" w:hAnsi="宋体"/>
          <w:szCs w:val="21"/>
        </w:rPr>
        <w:t>招标代理服务费的计取，我公司同意以我公司的成交金额（成交通知书所载成交金额），按招标文件中规定的收费标准结算。</w:t>
      </w:r>
    </w:p>
    <w:p w14:paraId="4989A1AC">
      <w:pPr>
        <w:spacing w:after="0" w:line="360" w:lineRule="auto"/>
        <w:ind w:firstLine="600"/>
        <w:contextualSpacing/>
        <w:jc w:val="left"/>
        <w:rPr>
          <w:rFonts w:hint="eastAsia" w:ascii="宋体" w:hAnsi="宋体"/>
          <w:szCs w:val="21"/>
        </w:rPr>
      </w:pPr>
      <w:r>
        <w:rPr>
          <w:rFonts w:hint="eastAsia" w:ascii="宋体" w:hAnsi="宋体"/>
          <w:szCs w:val="21"/>
        </w:rPr>
        <w:t>代理服务费付款期限为贵司发出成交通知书后</w:t>
      </w:r>
      <w:r>
        <w:rPr>
          <w:rFonts w:ascii="宋体" w:hAnsi="宋体"/>
          <w:szCs w:val="21"/>
        </w:rPr>
        <w:t>15</w:t>
      </w:r>
      <w:r>
        <w:rPr>
          <w:rFonts w:hint="eastAsia" w:ascii="宋体" w:hAnsi="宋体"/>
          <w:szCs w:val="21"/>
        </w:rPr>
        <w:t>日内，我司按以下第</w:t>
      </w:r>
      <w:r>
        <w:rPr>
          <w:rFonts w:ascii="宋体" w:hAnsi="宋体"/>
          <w:szCs w:val="21"/>
          <w:u w:val="single"/>
        </w:rPr>
        <w:t xml:space="preserve">       </w:t>
      </w:r>
      <w:r>
        <w:rPr>
          <w:rFonts w:hint="eastAsia" w:ascii="宋体" w:hAnsi="宋体"/>
          <w:szCs w:val="21"/>
        </w:rPr>
        <w:t>种形式向贵公司缴交（若未填写则默认同意第一种收取方式）。</w:t>
      </w:r>
    </w:p>
    <w:p w14:paraId="400C202C">
      <w:pPr>
        <w:spacing w:after="0" w:line="360" w:lineRule="auto"/>
        <w:ind w:firstLine="600"/>
        <w:contextualSpacing/>
        <w:jc w:val="left"/>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）由贵司在本次采购项目的保证金中直接扣除；保证金不足的，我司在上述时限内一次性将差额支付给贵司。</w:t>
      </w:r>
    </w:p>
    <w:p w14:paraId="2C3B05E9">
      <w:pPr>
        <w:spacing w:after="0" w:line="360" w:lineRule="auto"/>
        <w:ind w:firstLine="600"/>
        <w:contextualSpacing/>
        <w:jc w:val="left"/>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）我司向贵司账户银行电汇。</w:t>
      </w:r>
    </w:p>
    <w:p w14:paraId="6F5E91E2">
      <w:pPr>
        <w:spacing w:after="0" w:line="360" w:lineRule="auto"/>
        <w:contextualSpacing/>
        <w:rPr>
          <w:rFonts w:hint="eastAsia" w:ascii="宋体" w:hAnsi="宋体"/>
          <w:szCs w:val="21"/>
        </w:rPr>
      </w:pPr>
      <w:r>
        <w:rPr>
          <w:rFonts w:hint="eastAsia" w:ascii="宋体" w:hAnsi="宋体"/>
          <w:b/>
          <w:szCs w:val="21"/>
        </w:rPr>
        <w:t>备注（1）</w:t>
      </w:r>
      <w:r>
        <w:rPr>
          <w:rFonts w:hint="eastAsia" w:ascii="宋体" w:hAnsi="宋体"/>
          <w:szCs w:val="21"/>
        </w:rPr>
        <w:t>为保证应答保证金的顺利退还，请准确填写以下信息：</w:t>
      </w:r>
    </w:p>
    <w:tbl>
      <w:tblPr>
        <w:tblStyle w:val="44"/>
        <w:tblW w:w="9285" w:type="dxa"/>
        <w:jc w:val="center"/>
        <w:tblLayout w:type="fixed"/>
        <w:tblCellMar>
          <w:top w:w="0" w:type="dxa"/>
          <w:left w:w="108" w:type="dxa"/>
          <w:bottom w:w="0" w:type="dxa"/>
          <w:right w:w="108" w:type="dxa"/>
        </w:tblCellMar>
      </w:tblPr>
      <w:tblGrid>
        <w:gridCol w:w="2297"/>
        <w:gridCol w:w="2329"/>
        <w:gridCol w:w="2329"/>
        <w:gridCol w:w="2330"/>
      </w:tblGrid>
      <w:tr w14:paraId="77677DB2">
        <w:tblPrEx>
          <w:tblCellMar>
            <w:top w:w="0" w:type="dxa"/>
            <w:left w:w="108" w:type="dxa"/>
            <w:bottom w:w="0" w:type="dxa"/>
            <w:right w:w="108" w:type="dxa"/>
          </w:tblCellMar>
        </w:tblPrEx>
        <w:trPr>
          <w:trHeight w:val="545" w:hRule="atLeast"/>
          <w:jc w:val="center"/>
        </w:trPr>
        <w:tc>
          <w:tcPr>
            <w:tcW w:w="2297" w:type="dxa"/>
            <w:tcBorders>
              <w:top w:val="single" w:color="auto" w:sz="4" w:space="0"/>
              <w:left w:val="single" w:color="auto" w:sz="4" w:space="0"/>
              <w:bottom w:val="single" w:color="auto" w:sz="4" w:space="0"/>
              <w:right w:val="single" w:color="auto" w:sz="4" w:space="0"/>
            </w:tcBorders>
            <w:vAlign w:val="center"/>
          </w:tcPr>
          <w:p w14:paraId="1A0F8DEE">
            <w:pPr>
              <w:spacing w:after="0" w:line="240" w:lineRule="auto"/>
              <w:jc w:val="center"/>
              <w:rPr>
                <w:rFonts w:hint="eastAsia" w:ascii="宋体" w:hAnsi="宋体" w:cs="Calibri"/>
                <w:b/>
                <w:szCs w:val="21"/>
              </w:rPr>
            </w:pPr>
            <w:r>
              <w:rPr>
                <w:rFonts w:ascii="宋体" w:hAnsi="宋体" w:cs="Calibri"/>
                <w:b/>
                <w:szCs w:val="21"/>
              </w:rPr>
              <w:t>项    目</w:t>
            </w:r>
          </w:p>
        </w:tc>
        <w:tc>
          <w:tcPr>
            <w:tcW w:w="2329" w:type="dxa"/>
            <w:tcBorders>
              <w:top w:val="single" w:color="auto" w:sz="4" w:space="0"/>
              <w:left w:val="nil"/>
              <w:bottom w:val="single" w:color="auto" w:sz="4" w:space="0"/>
              <w:right w:val="single" w:color="auto" w:sz="4" w:space="0"/>
            </w:tcBorders>
            <w:vAlign w:val="center"/>
          </w:tcPr>
          <w:p w14:paraId="61C49CA1">
            <w:pPr>
              <w:spacing w:after="0" w:line="240" w:lineRule="auto"/>
              <w:jc w:val="center"/>
              <w:rPr>
                <w:rFonts w:hint="eastAsia" w:ascii="宋体" w:hAnsi="宋体" w:cs="Calibri"/>
                <w:szCs w:val="21"/>
              </w:rPr>
            </w:pPr>
            <w:r>
              <w:rPr>
                <w:rFonts w:hint="eastAsia" w:ascii="宋体" w:hAnsi="宋体" w:cs="Calibri"/>
                <w:szCs w:val="21"/>
              </w:rPr>
              <w:t>招标代理</w:t>
            </w:r>
            <w:r>
              <w:rPr>
                <w:rFonts w:ascii="宋体" w:hAnsi="宋体" w:cs="Calibri"/>
                <w:szCs w:val="21"/>
              </w:rPr>
              <w:t>机构银行信息</w:t>
            </w:r>
          </w:p>
        </w:tc>
        <w:tc>
          <w:tcPr>
            <w:tcW w:w="2329" w:type="dxa"/>
            <w:tcBorders>
              <w:top w:val="single" w:color="auto" w:sz="4" w:space="0"/>
              <w:left w:val="single" w:color="auto" w:sz="4" w:space="0"/>
              <w:bottom w:val="single" w:color="auto" w:sz="4" w:space="0"/>
              <w:right w:val="single" w:color="auto" w:sz="4" w:space="0"/>
            </w:tcBorders>
            <w:vAlign w:val="center"/>
          </w:tcPr>
          <w:p w14:paraId="4EB9BD08">
            <w:pPr>
              <w:spacing w:after="0" w:line="240" w:lineRule="auto"/>
              <w:jc w:val="center"/>
              <w:rPr>
                <w:rFonts w:hint="eastAsia" w:ascii="宋体" w:hAnsi="宋体" w:cs="Calibri"/>
                <w:szCs w:val="21"/>
              </w:rPr>
            </w:pPr>
            <w:r>
              <w:rPr>
                <w:rFonts w:hint="eastAsia" w:ascii="宋体" w:hAnsi="宋体" w:cs="Calibri"/>
                <w:szCs w:val="21"/>
              </w:rPr>
              <w:t>投标</w:t>
            </w:r>
            <w:r>
              <w:rPr>
                <w:rFonts w:ascii="宋体" w:hAnsi="宋体" w:cs="Calibri"/>
                <w:szCs w:val="21"/>
              </w:rPr>
              <w:t>单位银行信息</w:t>
            </w:r>
          </w:p>
        </w:tc>
        <w:tc>
          <w:tcPr>
            <w:tcW w:w="2330" w:type="dxa"/>
            <w:tcBorders>
              <w:top w:val="single" w:color="auto" w:sz="4" w:space="0"/>
              <w:left w:val="single" w:color="auto" w:sz="4" w:space="0"/>
              <w:bottom w:val="single" w:color="auto" w:sz="4" w:space="0"/>
              <w:right w:val="single" w:color="auto" w:sz="4" w:space="0"/>
            </w:tcBorders>
            <w:vAlign w:val="center"/>
          </w:tcPr>
          <w:p w14:paraId="4695AF00">
            <w:pPr>
              <w:spacing w:after="0" w:line="240" w:lineRule="auto"/>
              <w:jc w:val="center"/>
              <w:rPr>
                <w:rFonts w:hint="eastAsia" w:ascii="宋体" w:hAnsi="宋体" w:cs="Calibri"/>
                <w:szCs w:val="21"/>
              </w:rPr>
            </w:pPr>
            <w:r>
              <w:rPr>
                <w:rFonts w:ascii="宋体" w:hAnsi="宋体" w:cs="Calibri"/>
                <w:szCs w:val="21"/>
              </w:rPr>
              <w:t>收退保证金银行信息</w:t>
            </w:r>
          </w:p>
        </w:tc>
      </w:tr>
      <w:tr w14:paraId="1258BA34">
        <w:tblPrEx>
          <w:tblCellMar>
            <w:top w:w="0" w:type="dxa"/>
            <w:left w:w="108" w:type="dxa"/>
            <w:bottom w:w="0" w:type="dxa"/>
            <w:right w:w="108" w:type="dxa"/>
          </w:tblCellMar>
        </w:tblPrEx>
        <w:trPr>
          <w:trHeight w:val="443" w:hRule="atLeast"/>
          <w:jc w:val="center"/>
        </w:trPr>
        <w:tc>
          <w:tcPr>
            <w:tcW w:w="2297" w:type="dxa"/>
            <w:tcBorders>
              <w:top w:val="nil"/>
              <w:left w:val="single" w:color="auto" w:sz="4" w:space="0"/>
              <w:bottom w:val="single" w:color="auto" w:sz="4" w:space="0"/>
              <w:right w:val="single" w:color="auto" w:sz="4" w:space="0"/>
            </w:tcBorders>
            <w:vAlign w:val="center"/>
          </w:tcPr>
          <w:p w14:paraId="584E08AE">
            <w:pPr>
              <w:spacing w:after="0" w:line="240" w:lineRule="auto"/>
              <w:jc w:val="center"/>
              <w:rPr>
                <w:rFonts w:hint="eastAsia" w:ascii="宋体" w:hAnsi="宋体" w:cs="Calibri"/>
                <w:b/>
                <w:szCs w:val="21"/>
              </w:rPr>
            </w:pPr>
            <w:r>
              <w:rPr>
                <w:rFonts w:ascii="宋体" w:hAnsi="宋体" w:cs="Calibri"/>
                <w:b/>
                <w:szCs w:val="21"/>
              </w:rPr>
              <w:t>开 户 名</w:t>
            </w:r>
          </w:p>
        </w:tc>
        <w:tc>
          <w:tcPr>
            <w:tcW w:w="2329" w:type="dxa"/>
            <w:tcBorders>
              <w:top w:val="single" w:color="auto" w:sz="4" w:space="0"/>
              <w:left w:val="nil"/>
              <w:bottom w:val="single" w:color="auto" w:sz="4" w:space="0"/>
              <w:right w:val="single" w:color="auto" w:sz="4" w:space="0"/>
            </w:tcBorders>
            <w:vAlign w:val="center"/>
          </w:tcPr>
          <w:p w14:paraId="44AFCE28">
            <w:pPr>
              <w:spacing w:after="0" w:line="240" w:lineRule="auto"/>
              <w:jc w:val="center"/>
              <w:rPr>
                <w:rFonts w:hint="eastAsia" w:ascii="宋体" w:hAnsi="宋体" w:cs="Calibri"/>
                <w:szCs w:val="21"/>
              </w:rPr>
            </w:pPr>
            <w:r>
              <w:rPr>
                <w:rFonts w:ascii="宋体" w:hAnsi="宋体" w:cs="Calibri"/>
                <w:szCs w:val="21"/>
              </w:rPr>
              <w:t>公诚管理咨询有限公司</w:t>
            </w:r>
          </w:p>
        </w:tc>
        <w:tc>
          <w:tcPr>
            <w:tcW w:w="2329" w:type="dxa"/>
            <w:tcBorders>
              <w:top w:val="single" w:color="auto" w:sz="4" w:space="0"/>
              <w:left w:val="single" w:color="auto" w:sz="4" w:space="0"/>
              <w:bottom w:val="single" w:color="auto" w:sz="4" w:space="0"/>
              <w:right w:val="single" w:color="auto" w:sz="4" w:space="0"/>
            </w:tcBorders>
            <w:vAlign w:val="center"/>
          </w:tcPr>
          <w:p w14:paraId="2784B14B">
            <w:pPr>
              <w:spacing w:after="0" w:line="240" w:lineRule="auto"/>
              <w:jc w:val="center"/>
              <w:rPr>
                <w:rFonts w:hint="eastAsia" w:ascii="宋体" w:hAnsi="宋体" w:cs="Calibri"/>
                <w:szCs w:val="21"/>
              </w:rPr>
            </w:pPr>
          </w:p>
        </w:tc>
        <w:tc>
          <w:tcPr>
            <w:tcW w:w="2330" w:type="dxa"/>
            <w:tcBorders>
              <w:top w:val="single" w:color="auto" w:sz="4" w:space="0"/>
              <w:left w:val="single" w:color="auto" w:sz="4" w:space="0"/>
              <w:bottom w:val="single" w:color="auto" w:sz="4" w:space="0"/>
              <w:right w:val="single" w:color="auto" w:sz="4" w:space="0"/>
            </w:tcBorders>
            <w:vAlign w:val="center"/>
          </w:tcPr>
          <w:p w14:paraId="28925F24">
            <w:pPr>
              <w:spacing w:after="0" w:line="240" w:lineRule="auto"/>
              <w:jc w:val="center"/>
              <w:rPr>
                <w:rFonts w:hint="eastAsia" w:ascii="宋体" w:hAnsi="宋体" w:cs="Calibri"/>
                <w:szCs w:val="21"/>
              </w:rPr>
            </w:pPr>
          </w:p>
        </w:tc>
      </w:tr>
      <w:tr w14:paraId="3C11F7FB">
        <w:tblPrEx>
          <w:tblCellMar>
            <w:top w:w="0" w:type="dxa"/>
            <w:left w:w="108" w:type="dxa"/>
            <w:bottom w:w="0" w:type="dxa"/>
            <w:right w:w="108" w:type="dxa"/>
          </w:tblCellMar>
        </w:tblPrEx>
        <w:trPr>
          <w:trHeight w:val="345" w:hRule="atLeast"/>
          <w:jc w:val="center"/>
        </w:trPr>
        <w:tc>
          <w:tcPr>
            <w:tcW w:w="2297" w:type="dxa"/>
            <w:tcBorders>
              <w:top w:val="nil"/>
              <w:left w:val="single" w:color="auto" w:sz="4" w:space="0"/>
              <w:bottom w:val="single" w:color="auto" w:sz="4" w:space="0"/>
              <w:right w:val="single" w:color="auto" w:sz="4" w:space="0"/>
            </w:tcBorders>
            <w:vAlign w:val="center"/>
          </w:tcPr>
          <w:p w14:paraId="70EC135C">
            <w:pPr>
              <w:spacing w:after="0" w:line="240" w:lineRule="auto"/>
              <w:jc w:val="center"/>
              <w:rPr>
                <w:rFonts w:hint="eastAsia" w:ascii="宋体" w:hAnsi="宋体" w:cs="Calibri"/>
                <w:b/>
                <w:szCs w:val="21"/>
              </w:rPr>
            </w:pPr>
            <w:r>
              <w:rPr>
                <w:rFonts w:ascii="宋体" w:hAnsi="宋体" w:cs="Calibri"/>
                <w:b/>
                <w:szCs w:val="21"/>
              </w:rPr>
              <w:t>银行所在地</w:t>
            </w:r>
          </w:p>
        </w:tc>
        <w:tc>
          <w:tcPr>
            <w:tcW w:w="2329" w:type="dxa"/>
            <w:tcBorders>
              <w:top w:val="single" w:color="auto" w:sz="4" w:space="0"/>
              <w:left w:val="nil"/>
              <w:bottom w:val="single" w:color="auto" w:sz="4" w:space="0"/>
              <w:right w:val="single" w:color="auto" w:sz="4" w:space="0"/>
            </w:tcBorders>
            <w:vAlign w:val="center"/>
          </w:tcPr>
          <w:p w14:paraId="2BAFB2A6">
            <w:pPr>
              <w:spacing w:after="0" w:line="240" w:lineRule="auto"/>
              <w:jc w:val="center"/>
              <w:rPr>
                <w:rFonts w:hint="eastAsia" w:ascii="宋体" w:hAnsi="宋体" w:cs="Calibri"/>
                <w:szCs w:val="21"/>
              </w:rPr>
            </w:pPr>
            <w:r>
              <w:rPr>
                <w:rFonts w:ascii="宋体" w:hAnsi="宋体" w:cs="Calibri"/>
                <w:szCs w:val="21"/>
              </w:rPr>
              <w:t>广东省广州市</w:t>
            </w:r>
          </w:p>
        </w:tc>
        <w:tc>
          <w:tcPr>
            <w:tcW w:w="2329" w:type="dxa"/>
            <w:tcBorders>
              <w:top w:val="single" w:color="auto" w:sz="4" w:space="0"/>
              <w:left w:val="single" w:color="auto" w:sz="4" w:space="0"/>
              <w:bottom w:val="single" w:color="auto" w:sz="4" w:space="0"/>
              <w:right w:val="single" w:color="auto" w:sz="4" w:space="0"/>
            </w:tcBorders>
            <w:vAlign w:val="center"/>
          </w:tcPr>
          <w:p w14:paraId="0E655875">
            <w:pPr>
              <w:spacing w:after="0" w:line="240" w:lineRule="auto"/>
              <w:jc w:val="center"/>
              <w:rPr>
                <w:rFonts w:hint="eastAsia" w:ascii="宋体" w:hAnsi="宋体" w:cs="Calibri"/>
                <w:szCs w:val="21"/>
              </w:rPr>
            </w:pPr>
            <w:r>
              <w:rPr>
                <w:rFonts w:ascii="宋体" w:hAnsi="宋体" w:cs="Calibri"/>
                <w:szCs w:val="21"/>
              </w:rPr>
              <w:t>XX省XX市</w:t>
            </w:r>
          </w:p>
        </w:tc>
        <w:tc>
          <w:tcPr>
            <w:tcW w:w="2330" w:type="dxa"/>
            <w:tcBorders>
              <w:top w:val="single" w:color="auto" w:sz="4" w:space="0"/>
              <w:left w:val="single" w:color="auto" w:sz="4" w:space="0"/>
              <w:bottom w:val="single" w:color="auto" w:sz="4" w:space="0"/>
              <w:right w:val="single" w:color="auto" w:sz="4" w:space="0"/>
            </w:tcBorders>
            <w:vAlign w:val="center"/>
          </w:tcPr>
          <w:p w14:paraId="60FF4549">
            <w:pPr>
              <w:spacing w:after="0" w:line="240" w:lineRule="auto"/>
              <w:jc w:val="center"/>
              <w:rPr>
                <w:rFonts w:hint="eastAsia" w:ascii="宋体" w:hAnsi="宋体" w:cs="Calibri"/>
                <w:szCs w:val="21"/>
              </w:rPr>
            </w:pPr>
            <w:r>
              <w:rPr>
                <w:rFonts w:ascii="宋体" w:hAnsi="宋体" w:cs="Calibri"/>
                <w:szCs w:val="21"/>
              </w:rPr>
              <w:t>XX省XX市</w:t>
            </w:r>
          </w:p>
        </w:tc>
      </w:tr>
      <w:tr w14:paraId="7B91CF2D">
        <w:tblPrEx>
          <w:tblCellMar>
            <w:top w:w="0" w:type="dxa"/>
            <w:left w:w="108" w:type="dxa"/>
            <w:bottom w:w="0" w:type="dxa"/>
            <w:right w:w="108" w:type="dxa"/>
          </w:tblCellMar>
        </w:tblPrEx>
        <w:trPr>
          <w:trHeight w:val="1134" w:hRule="atLeast"/>
          <w:jc w:val="center"/>
        </w:trPr>
        <w:tc>
          <w:tcPr>
            <w:tcW w:w="2297" w:type="dxa"/>
            <w:tcBorders>
              <w:top w:val="nil"/>
              <w:left w:val="single" w:color="auto" w:sz="4" w:space="0"/>
              <w:bottom w:val="single" w:color="auto" w:sz="4" w:space="0"/>
              <w:right w:val="single" w:color="auto" w:sz="4" w:space="0"/>
            </w:tcBorders>
            <w:vAlign w:val="center"/>
          </w:tcPr>
          <w:p w14:paraId="186338B2">
            <w:pPr>
              <w:spacing w:after="0" w:line="240" w:lineRule="auto"/>
              <w:jc w:val="center"/>
              <w:rPr>
                <w:rFonts w:hint="eastAsia" w:ascii="宋体" w:hAnsi="宋体" w:cs="Calibri"/>
                <w:b/>
                <w:szCs w:val="21"/>
              </w:rPr>
            </w:pPr>
            <w:r>
              <w:rPr>
                <w:rFonts w:ascii="宋体" w:hAnsi="宋体" w:cs="Calibri"/>
                <w:b/>
                <w:szCs w:val="21"/>
              </w:rPr>
              <w:t>开户银行</w:t>
            </w:r>
          </w:p>
          <w:p w14:paraId="3182B658">
            <w:pPr>
              <w:spacing w:after="0" w:line="240" w:lineRule="auto"/>
              <w:jc w:val="center"/>
              <w:rPr>
                <w:rFonts w:hint="eastAsia" w:ascii="宋体" w:hAnsi="宋体" w:cs="Calibri"/>
                <w:b/>
                <w:szCs w:val="21"/>
              </w:rPr>
            </w:pPr>
            <w:r>
              <w:rPr>
                <w:rFonts w:ascii="宋体" w:hAnsi="宋体" w:cs="Calibri"/>
                <w:b/>
                <w:szCs w:val="21"/>
              </w:rPr>
              <w:t>（必须以“总行”“分行”“支行”结尾，不得出现“营业部”“处理中心”等字眼）</w:t>
            </w:r>
          </w:p>
        </w:tc>
        <w:tc>
          <w:tcPr>
            <w:tcW w:w="2329" w:type="dxa"/>
            <w:tcBorders>
              <w:top w:val="single" w:color="auto" w:sz="4" w:space="0"/>
              <w:left w:val="nil"/>
              <w:bottom w:val="single" w:color="auto" w:sz="4" w:space="0"/>
              <w:right w:val="single" w:color="auto" w:sz="4" w:space="0"/>
            </w:tcBorders>
            <w:vAlign w:val="center"/>
          </w:tcPr>
          <w:p w14:paraId="7E9A11DA">
            <w:pPr>
              <w:spacing w:after="0" w:line="240" w:lineRule="auto"/>
              <w:jc w:val="center"/>
              <w:rPr>
                <w:rFonts w:hint="eastAsia" w:ascii="宋体" w:hAnsi="宋体" w:cs="Calibri"/>
                <w:szCs w:val="21"/>
              </w:rPr>
            </w:pPr>
            <w:r>
              <w:rPr>
                <w:rFonts w:ascii="宋体" w:hAnsi="宋体" w:cs="Calibri"/>
                <w:szCs w:val="21"/>
              </w:rPr>
              <w:t>中信银行广州花园支行</w:t>
            </w:r>
          </w:p>
        </w:tc>
        <w:tc>
          <w:tcPr>
            <w:tcW w:w="2329" w:type="dxa"/>
            <w:tcBorders>
              <w:top w:val="single" w:color="auto" w:sz="4" w:space="0"/>
              <w:left w:val="single" w:color="auto" w:sz="4" w:space="0"/>
              <w:bottom w:val="single" w:color="auto" w:sz="4" w:space="0"/>
              <w:right w:val="single" w:color="auto" w:sz="4" w:space="0"/>
            </w:tcBorders>
            <w:vAlign w:val="center"/>
          </w:tcPr>
          <w:p w14:paraId="77ABC7C3">
            <w:pPr>
              <w:spacing w:after="0" w:line="240" w:lineRule="auto"/>
              <w:jc w:val="center"/>
              <w:rPr>
                <w:rFonts w:hint="eastAsia" w:ascii="宋体" w:hAnsi="宋体" w:cs="Calibri"/>
                <w:szCs w:val="21"/>
              </w:rPr>
            </w:pPr>
          </w:p>
        </w:tc>
        <w:tc>
          <w:tcPr>
            <w:tcW w:w="2330" w:type="dxa"/>
            <w:tcBorders>
              <w:top w:val="single" w:color="auto" w:sz="4" w:space="0"/>
              <w:left w:val="single" w:color="auto" w:sz="4" w:space="0"/>
              <w:bottom w:val="single" w:color="auto" w:sz="4" w:space="0"/>
              <w:right w:val="single" w:color="auto" w:sz="4" w:space="0"/>
            </w:tcBorders>
            <w:vAlign w:val="center"/>
          </w:tcPr>
          <w:p w14:paraId="141B6F84">
            <w:pPr>
              <w:spacing w:after="0" w:line="240" w:lineRule="auto"/>
              <w:jc w:val="center"/>
              <w:rPr>
                <w:rFonts w:hint="eastAsia" w:ascii="宋体" w:hAnsi="宋体" w:cs="Calibri"/>
                <w:szCs w:val="21"/>
              </w:rPr>
            </w:pPr>
          </w:p>
        </w:tc>
      </w:tr>
      <w:tr w14:paraId="67B935A5">
        <w:tblPrEx>
          <w:tblCellMar>
            <w:top w:w="0" w:type="dxa"/>
            <w:left w:w="108" w:type="dxa"/>
            <w:bottom w:w="0" w:type="dxa"/>
            <w:right w:w="108" w:type="dxa"/>
          </w:tblCellMar>
        </w:tblPrEx>
        <w:trPr>
          <w:trHeight w:val="335" w:hRule="atLeast"/>
          <w:jc w:val="center"/>
        </w:trPr>
        <w:tc>
          <w:tcPr>
            <w:tcW w:w="2297" w:type="dxa"/>
            <w:tcBorders>
              <w:top w:val="nil"/>
              <w:left w:val="single" w:color="auto" w:sz="4" w:space="0"/>
              <w:bottom w:val="single" w:color="auto" w:sz="4" w:space="0"/>
              <w:right w:val="single" w:color="auto" w:sz="4" w:space="0"/>
            </w:tcBorders>
            <w:vAlign w:val="center"/>
          </w:tcPr>
          <w:p w14:paraId="23C5E257">
            <w:pPr>
              <w:spacing w:after="0" w:line="240" w:lineRule="auto"/>
              <w:jc w:val="center"/>
              <w:rPr>
                <w:rFonts w:hint="eastAsia" w:ascii="宋体" w:hAnsi="宋体" w:cs="Calibri"/>
                <w:b/>
                <w:szCs w:val="21"/>
              </w:rPr>
            </w:pPr>
            <w:r>
              <w:rPr>
                <w:rFonts w:ascii="宋体" w:hAnsi="宋体" w:cs="Calibri"/>
                <w:b/>
                <w:szCs w:val="21"/>
              </w:rPr>
              <w:t>帐    号</w:t>
            </w:r>
          </w:p>
        </w:tc>
        <w:tc>
          <w:tcPr>
            <w:tcW w:w="2329" w:type="dxa"/>
            <w:tcBorders>
              <w:top w:val="single" w:color="auto" w:sz="4" w:space="0"/>
              <w:left w:val="nil"/>
              <w:bottom w:val="single" w:color="auto" w:sz="4" w:space="0"/>
              <w:right w:val="single" w:color="auto" w:sz="4" w:space="0"/>
            </w:tcBorders>
            <w:vAlign w:val="center"/>
          </w:tcPr>
          <w:p w14:paraId="7988FA25">
            <w:pPr>
              <w:spacing w:after="0" w:line="240" w:lineRule="auto"/>
              <w:jc w:val="center"/>
              <w:rPr>
                <w:rFonts w:hint="eastAsia" w:ascii="宋体" w:hAnsi="宋体" w:cs="Calibri"/>
                <w:szCs w:val="21"/>
              </w:rPr>
            </w:pPr>
            <w:r>
              <w:rPr>
                <w:rFonts w:ascii="宋体" w:hAnsi="宋体" w:cs="Calibri"/>
                <w:szCs w:val="21"/>
              </w:rPr>
              <w:t>3110910037672531782</w:t>
            </w:r>
          </w:p>
        </w:tc>
        <w:tc>
          <w:tcPr>
            <w:tcW w:w="2329" w:type="dxa"/>
            <w:tcBorders>
              <w:top w:val="single" w:color="auto" w:sz="4" w:space="0"/>
              <w:left w:val="single" w:color="auto" w:sz="4" w:space="0"/>
              <w:bottom w:val="single" w:color="auto" w:sz="4" w:space="0"/>
              <w:right w:val="single" w:color="auto" w:sz="4" w:space="0"/>
            </w:tcBorders>
            <w:vAlign w:val="center"/>
          </w:tcPr>
          <w:p w14:paraId="16F155C7">
            <w:pPr>
              <w:spacing w:after="0" w:line="240" w:lineRule="auto"/>
              <w:jc w:val="center"/>
              <w:rPr>
                <w:rFonts w:hint="eastAsia" w:ascii="宋体" w:hAnsi="宋体" w:cs="Calibri"/>
                <w:szCs w:val="21"/>
              </w:rPr>
            </w:pPr>
          </w:p>
        </w:tc>
        <w:tc>
          <w:tcPr>
            <w:tcW w:w="2330" w:type="dxa"/>
            <w:tcBorders>
              <w:top w:val="single" w:color="auto" w:sz="4" w:space="0"/>
              <w:left w:val="single" w:color="auto" w:sz="4" w:space="0"/>
              <w:bottom w:val="single" w:color="auto" w:sz="4" w:space="0"/>
              <w:right w:val="single" w:color="auto" w:sz="4" w:space="0"/>
            </w:tcBorders>
            <w:vAlign w:val="center"/>
          </w:tcPr>
          <w:p w14:paraId="43748258">
            <w:pPr>
              <w:spacing w:after="0" w:line="240" w:lineRule="auto"/>
              <w:jc w:val="center"/>
              <w:rPr>
                <w:rFonts w:hint="eastAsia" w:ascii="宋体" w:hAnsi="宋体" w:cs="Calibri"/>
                <w:szCs w:val="21"/>
              </w:rPr>
            </w:pPr>
          </w:p>
        </w:tc>
      </w:tr>
    </w:tbl>
    <w:p w14:paraId="474BE650">
      <w:pPr>
        <w:spacing w:after="0" w:line="360" w:lineRule="auto"/>
        <w:contextualSpacing/>
        <w:rPr>
          <w:rFonts w:hint="eastAsia" w:ascii="宋体" w:hAnsi="宋体"/>
          <w:szCs w:val="21"/>
        </w:rPr>
      </w:pPr>
      <w:r>
        <w:rPr>
          <w:rFonts w:hint="eastAsia" w:ascii="宋体" w:hAnsi="宋体"/>
          <w:b/>
          <w:szCs w:val="21"/>
        </w:rPr>
        <w:t>备注（2）</w:t>
      </w:r>
      <w:r>
        <w:rPr>
          <w:rFonts w:hint="eastAsia" w:ascii="宋体" w:hAnsi="宋体"/>
          <w:szCs w:val="21"/>
        </w:rPr>
        <w:t>如需邮寄代理服务费发票，请填写以下信息：</w:t>
      </w:r>
    </w:p>
    <w:p w14:paraId="45CF7011">
      <w:pPr>
        <w:spacing w:after="0" w:line="360" w:lineRule="auto"/>
        <w:contextualSpacing/>
        <w:rPr>
          <w:rFonts w:hint="eastAsia" w:ascii="宋体" w:hAnsi="宋体"/>
          <w:szCs w:val="21"/>
          <w:u w:val="single"/>
        </w:rPr>
      </w:pPr>
      <w:r>
        <w:rPr>
          <w:rFonts w:hint="eastAsia" w:ascii="宋体" w:hAnsi="宋体"/>
          <w:szCs w:val="21"/>
        </w:rPr>
        <w:t>收件人姓名及电话：</w:t>
      </w:r>
      <w:r>
        <w:rPr>
          <w:rFonts w:hint="eastAsia" w:ascii="宋体" w:hAnsi="宋体"/>
          <w:szCs w:val="21"/>
          <w:u w:val="single"/>
        </w:rPr>
        <w:t xml:space="preserve">                                 </w:t>
      </w:r>
    </w:p>
    <w:p w14:paraId="420B1052">
      <w:pPr>
        <w:spacing w:after="0" w:line="360" w:lineRule="auto"/>
        <w:contextualSpacing/>
        <w:rPr>
          <w:rFonts w:hint="eastAsia" w:ascii="宋体" w:hAnsi="宋体"/>
          <w:szCs w:val="21"/>
        </w:rPr>
      </w:pPr>
      <w:r>
        <w:rPr>
          <w:rFonts w:hint="eastAsia" w:ascii="宋体" w:hAnsi="宋体"/>
          <w:szCs w:val="21"/>
        </w:rPr>
        <w:t>收  件  地  址  ：</w:t>
      </w:r>
      <w:r>
        <w:rPr>
          <w:rFonts w:hint="eastAsia" w:ascii="宋体" w:hAnsi="宋体"/>
          <w:szCs w:val="21"/>
          <w:u w:val="single"/>
        </w:rPr>
        <w:t xml:space="preserve">                                 </w:t>
      </w:r>
    </w:p>
    <w:p w14:paraId="3D7DF2F4">
      <w:pPr>
        <w:spacing w:after="0" w:line="360" w:lineRule="auto"/>
        <w:ind w:firstLine="600"/>
        <w:contextualSpacing/>
        <w:jc w:val="left"/>
        <w:rPr>
          <w:rFonts w:hint="eastAsia" w:ascii="宋体" w:hAnsi="宋体"/>
          <w:szCs w:val="21"/>
        </w:rPr>
      </w:pPr>
      <w:r>
        <w:rPr>
          <w:rFonts w:hint="eastAsia" w:ascii="宋体" w:hAnsi="宋体"/>
          <w:szCs w:val="21"/>
        </w:rPr>
        <w:t>若我司未按前述期限支付代理服务费，贵司有权直接在应付我司任何一笔款项中直接扣除。</w:t>
      </w:r>
    </w:p>
    <w:p w14:paraId="23DE5A53">
      <w:pPr>
        <w:spacing w:after="0" w:line="360" w:lineRule="auto"/>
        <w:ind w:firstLine="600"/>
        <w:contextualSpacing/>
        <w:jc w:val="left"/>
        <w:rPr>
          <w:rFonts w:hint="eastAsia" w:ascii="宋体" w:hAnsi="宋体"/>
          <w:szCs w:val="21"/>
        </w:rPr>
      </w:pPr>
      <w:r>
        <w:rPr>
          <w:rFonts w:hint="eastAsia" w:ascii="宋体" w:hAnsi="宋体"/>
          <w:szCs w:val="21"/>
        </w:rPr>
        <w:t>因前述事项发生争议，我方同意将争议提交北海国际仲裁院仲裁解决。</w:t>
      </w:r>
    </w:p>
    <w:p w14:paraId="243BFA45">
      <w:pPr>
        <w:spacing w:line="240" w:lineRule="exact"/>
        <w:ind w:firstLine="600"/>
        <w:jc w:val="left"/>
        <w:rPr>
          <w:rFonts w:hint="eastAsia" w:ascii="宋体" w:hAnsi="宋体"/>
          <w:szCs w:val="21"/>
        </w:rPr>
      </w:pPr>
      <w:r>
        <w:rPr>
          <w:rFonts w:ascii="宋体" w:hAnsi="宋体"/>
          <w:szCs w:val="21"/>
        </w:rPr>
        <w:t xml:space="preserve">                             </w:t>
      </w:r>
      <w:r>
        <w:rPr>
          <w:rFonts w:hint="eastAsia" w:ascii="宋体" w:hAnsi="宋体"/>
          <w:szCs w:val="21"/>
        </w:rPr>
        <w:t>投标人（盖章）：</w:t>
      </w:r>
      <w:r>
        <w:rPr>
          <w:rFonts w:ascii="宋体" w:hAnsi="宋体"/>
          <w:szCs w:val="21"/>
          <w:u w:val="single"/>
        </w:rPr>
        <w:t xml:space="preserve">                        </w:t>
      </w:r>
      <w:r>
        <w:rPr>
          <w:rFonts w:hint="eastAsia" w:ascii="宋体" w:hAnsi="宋体"/>
          <w:szCs w:val="21"/>
        </w:rPr>
        <w:t>公司</w:t>
      </w:r>
    </w:p>
    <w:p w14:paraId="2BFCF3EC">
      <w:pPr>
        <w:spacing w:line="240" w:lineRule="exact"/>
        <w:ind w:firstLine="3885" w:firstLineChars="1850"/>
        <w:rPr>
          <w:rFonts w:hint="eastAsia" w:ascii="宋体" w:hAnsi="宋体"/>
          <w:szCs w:val="21"/>
        </w:rPr>
      </w:pPr>
      <w:r>
        <w:rPr>
          <w:rFonts w:ascii="宋体" w:hAnsi="宋体"/>
          <w:szCs w:val="21"/>
        </w:rPr>
        <w:t xml:space="preserve">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日</w:t>
      </w:r>
    </w:p>
    <w:p w14:paraId="222669D2">
      <w:pPr>
        <w:pStyle w:val="81"/>
        <w:spacing w:line="240" w:lineRule="exact"/>
        <w:ind w:firstLine="0" w:firstLineChars="0"/>
        <w:rPr>
          <w:rFonts w:hint="eastAsia" w:ascii="宋体" w:hAnsi="宋体"/>
          <w:b/>
          <w:szCs w:val="21"/>
        </w:rPr>
      </w:pPr>
      <w:r>
        <w:rPr>
          <w:rFonts w:hint="eastAsia" w:ascii="宋体" w:hAnsi="宋体"/>
          <w:szCs w:val="21"/>
        </w:rPr>
        <w:t>注：本函内容必须填写，否则视为非响应性投标。</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PMingLiU">
    <w:altName w:val="Verdana"/>
    <w:panose1 w:val="0201060100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Calisto MT">
    <w:altName w:val="Segoe Print"/>
    <w:panose1 w:val="0204060305050503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ial Bold">
    <w:altName w:val="Arial"/>
    <w:panose1 w:val="020B0704020202020204"/>
    <w:charset w:val="00"/>
    <w:family w:val="auto"/>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0476F">
    <w:pPr>
      <w:pStyle w:val="2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94C67">
    <w:pPr>
      <w:pStyle w:val="28"/>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3</w:t>
    </w:r>
    <w:r>
      <w:rPr>
        <w:rFonts w:ascii="宋体" w:hAnsi="宋体"/>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358A4">
    <w:pPr>
      <w:widowControl w:val="0"/>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1</w:t>
    </w:r>
    <w:r>
      <w:rPr>
        <w:rFonts w:ascii="Times New Roman" w:hAnsi="Times New Roman" w:eastAsia="宋体" w:cs="Times New Roman"/>
        <w:kern w:val="2"/>
        <w:sz w:val="18"/>
        <w:szCs w:val="18"/>
        <w:lang w:val="en-US" w:eastAsia="zh-CN" w:bidi="ar-SA"/>
      </w:rPr>
      <w:fldChar w:fldCharType="end"/>
    </w:r>
  </w:p>
  <w:p w14:paraId="1C028782">
    <w:pPr>
      <w:widowControl w:val="0"/>
      <w:snapToGrid w:val="0"/>
      <w:jc w:val="left"/>
      <w:rPr>
        <w:rFonts w:ascii="Times New Roman" w:hAnsi="Times New Roman" w:eastAsia="宋体"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A163D">
    <w:pPr>
      <w:pStyle w:val="28"/>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36</w:t>
    </w:r>
    <w:r>
      <w:rPr>
        <w:rFonts w:ascii="宋体" w:hAnsi="宋体"/>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3FB59">
    <w:pPr>
      <w:pStyle w:val="28"/>
      <w:jc w:val="center"/>
    </w:pPr>
    <w:r>
      <w:fldChar w:fldCharType="begin"/>
    </w:r>
    <w:r>
      <w:instrText xml:space="preserve">PAGE   \* MERGEFORMAT</w:instrText>
    </w:r>
    <w:r>
      <w:fldChar w:fldCharType="separate"/>
    </w:r>
    <w:r>
      <w:rPr>
        <w:lang w:val="zh-CN"/>
      </w:rPr>
      <w:t>3</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2E76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05078A"/>
    <w:multiLevelType w:val="multilevel"/>
    <w:tmpl w:val="0705078A"/>
    <w:lvl w:ilvl="0" w:tentative="0">
      <w:start w:val="1"/>
      <w:numFmt w:val="chineseCountingThousand"/>
      <w:lvlText w:val="%1、"/>
      <w:lvlJc w:val="left"/>
      <w:pPr>
        <w:ind w:left="4673" w:hanging="420"/>
      </w:pPr>
      <w:rPr>
        <w:rFonts w:cs="Times New Roman"/>
      </w:rPr>
    </w:lvl>
    <w:lvl w:ilvl="1" w:tentative="0">
      <w:start w:val="1"/>
      <w:numFmt w:val="lowerLetter"/>
      <w:lvlText w:val="%2)"/>
      <w:lvlJc w:val="left"/>
      <w:pPr>
        <w:ind w:left="1680" w:hanging="420"/>
      </w:pPr>
      <w:rPr>
        <w:rFonts w:cs="Times New Roman"/>
      </w:rPr>
    </w:lvl>
    <w:lvl w:ilvl="2" w:tentative="0">
      <w:start w:val="1"/>
      <w:numFmt w:val="lowerRoman"/>
      <w:lvlText w:val="%3."/>
      <w:lvlJc w:val="right"/>
      <w:pPr>
        <w:ind w:left="2100" w:hanging="420"/>
      </w:pPr>
      <w:rPr>
        <w:rFonts w:cs="Times New Roman"/>
      </w:rPr>
    </w:lvl>
    <w:lvl w:ilvl="3" w:tentative="0">
      <w:start w:val="1"/>
      <w:numFmt w:val="decimal"/>
      <w:lvlText w:val="%4."/>
      <w:lvlJc w:val="left"/>
      <w:pPr>
        <w:ind w:left="2520" w:hanging="420"/>
      </w:pPr>
      <w:rPr>
        <w:rFonts w:cs="Times New Roman"/>
      </w:rPr>
    </w:lvl>
    <w:lvl w:ilvl="4" w:tentative="0">
      <w:start w:val="1"/>
      <w:numFmt w:val="lowerLetter"/>
      <w:lvlText w:val="%5)"/>
      <w:lvlJc w:val="left"/>
      <w:pPr>
        <w:ind w:left="2940" w:hanging="420"/>
      </w:pPr>
      <w:rPr>
        <w:rFonts w:cs="Times New Roman"/>
      </w:rPr>
    </w:lvl>
    <w:lvl w:ilvl="5" w:tentative="0">
      <w:start w:val="1"/>
      <w:numFmt w:val="lowerRoman"/>
      <w:lvlText w:val="%6."/>
      <w:lvlJc w:val="right"/>
      <w:pPr>
        <w:ind w:left="3360" w:hanging="420"/>
      </w:pPr>
      <w:rPr>
        <w:rFonts w:cs="Times New Roman"/>
      </w:rPr>
    </w:lvl>
    <w:lvl w:ilvl="6" w:tentative="0">
      <w:start w:val="1"/>
      <w:numFmt w:val="decimal"/>
      <w:lvlText w:val="%7."/>
      <w:lvlJc w:val="left"/>
      <w:pPr>
        <w:ind w:left="3780" w:hanging="420"/>
      </w:pPr>
      <w:rPr>
        <w:rFonts w:cs="Times New Roman"/>
      </w:rPr>
    </w:lvl>
    <w:lvl w:ilvl="7" w:tentative="0">
      <w:start w:val="1"/>
      <w:numFmt w:val="lowerLetter"/>
      <w:lvlText w:val="%8)"/>
      <w:lvlJc w:val="left"/>
      <w:pPr>
        <w:ind w:left="4200" w:hanging="420"/>
      </w:pPr>
      <w:rPr>
        <w:rFonts w:cs="Times New Roman"/>
      </w:rPr>
    </w:lvl>
    <w:lvl w:ilvl="8" w:tentative="0">
      <w:start w:val="1"/>
      <w:numFmt w:val="lowerRoman"/>
      <w:lvlText w:val="%9."/>
      <w:lvlJc w:val="right"/>
      <w:pPr>
        <w:ind w:left="4620" w:hanging="420"/>
      </w:pPr>
      <w:rPr>
        <w:rFonts w:cs="Times New Roman"/>
      </w:rPr>
    </w:lvl>
  </w:abstractNum>
  <w:abstractNum w:abstractNumId="1">
    <w:nsid w:val="115B7682"/>
    <w:multiLevelType w:val="multilevel"/>
    <w:tmpl w:val="115B7682"/>
    <w:lvl w:ilvl="0" w:tentative="0">
      <w:start w:val="1"/>
      <w:numFmt w:val="decimal"/>
      <w:lvlText w:val="（%1）"/>
      <w:lvlJc w:val="left"/>
      <w:pPr>
        <w:ind w:left="840" w:hanging="420"/>
      </w:pPr>
      <w:rPr>
        <w:rFonts w:hint="eastAsia" w:cs="Times New Roman"/>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abstractNum w:abstractNumId="2">
    <w:nsid w:val="1183047B"/>
    <w:multiLevelType w:val="multilevel"/>
    <w:tmpl w:val="1183047B"/>
    <w:lvl w:ilvl="0" w:tentative="0">
      <w:start w:val="1"/>
      <w:numFmt w:val="decimal"/>
      <w:lvlText w:val="%1."/>
      <w:lvlJc w:val="left"/>
      <w:pPr>
        <w:ind w:left="1680" w:hanging="420"/>
      </w:pPr>
      <w:rPr>
        <w:rFonts w:cs="Times New Roman"/>
      </w:rPr>
    </w:lvl>
    <w:lvl w:ilvl="1" w:tentative="0">
      <w:start w:val="1"/>
      <w:numFmt w:val="lowerLetter"/>
      <w:lvlText w:val="%2)"/>
      <w:lvlJc w:val="left"/>
      <w:pPr>
        <w:ind w:left="2100" w:hanging="420"/>
      </w:pPr>
      <w:rPr>
        <w:rFonts w:cs="Times New Roman"/>
      </w:rPr>
    </w:lvl>
    <w:lvl w:ilvl="2" w:tentative="0">
      <w:start w:val="1"/>
      <w:numFmt w:val="lowerRoman"/>
      <w:lvlText w:val="%3."/>
      <w:lvlJc w:val="right"/>
      <w:pPr>
        <w:ind w:left="2520" w:hanging="420"/>
      </w:pPr>
      <w:rPr>
        <w:rFonts w:cs="Times New Roman"/>
      </w:rPr>
    </w:lvl>
    <w:lvl w:ilvl="3" w:tentative="0">
      <w:start w:val="1"/>
      <w:numFmt w:val="decimal"/>
      <w:lvlText w:val="%4."/>
      <w:lvlJc w:val="left"/>
      <w:pPr>
        <w:ind w:left="2940" w:hanging="420"/>
      </w:pPr>
      <w:rPr>
        <w:rFonts w:cs="Times New Roman"/>
      </w:rPr>
    </w:lvl>
    <w:lvl w:ilvl="4" w:tentative="0">
      <w:start w:val="1"/>
      <w:numFmt w:val="lowerLetter"/>
      <w:lvlText w:val="%5)"/>
      <w:lvlJc w:val="left"/>
      <w:pPr>
        <w:ind w:left="3360" w:hanging="420"/>
      </w:pPr>
      <w:rPr>
        <w:rFonts w:cs="Times New Roman"/>
      </w:rPr>
    </w:lvl>
    <w:lvl w:ilvl="5" w:tentative="0">
      <w:start w:val="1"/>
      <w:numFmt w:val="lowerRoman"/>
      <w:lvlText w:val="%6."/>
      <w:lvlJc w:val="right"/>
      <w:pPr>
        <w:ind w:left="3780" w:hanging="420"/>
      </w:pPr>
      <w:rPr>
        <w:rFonts w:cs="Times New Roman"/>
      </w:rPr>
    </w:lvl>
    <w:lvl w:ilvl="6" w:tentative="0">
      <w:start w:val="1"/>
      <w:numFmt w:val="decimal"/>
      <w:lvlText w:val="%7."/>
      <w:lvlJc w:val="left"/>
      <w:pPr>
        <w:ind w:left="4200" w:hanging="420"/>
      </w:pPr>
      <w:rPr>
        <w:rFonts w:cs="Times New Roman"/>
      </w:rPr>
    </w:lvl>
    <w:lvl w:ilvl="7" w:tentative="0">
      <w:start w:val="1"/>
      <w:numFmt w:val="lowerLetter"/>
      <w:lvlText w:val="%8)"/>
      <w:lvlJc w:val="left"/>
      <w:pPr>
        <w:ind w:left="4620" w:hanging="420"/>
      </w:pPr>
      <w:rPr>
        <w:rFonts w:cs="Times New Roman"/>
      </w:rPr>
    </w:lvl>
    <w:lvl w:ilvl="8" w:tentative="0">
      <w:start w:val="1"/>
      <w:numFmt w:val="lowerRoman"/>
      <w:lvlText w:val="%9."/>
      <w:lvlJc w:val="right"/>
      <w:pPr>
        <w:ind w:left="5040" w:hanging="420"/>
      </w:pPr>
      <w:rPr>
        <w:rFonts w:cs="Times New Roman"/>
      </w:rPr>
    </w:lvl>
  </w:abstractNum>
  <w:abstractNum w:abstractNumId="3">
    <w:nsid w:val="448155E0"/>
    <w:multiLevelType w:val="multilevel"/>
    <w:tmpl w:val="448155E0"/>
    <w:lvl w:ilvl="0" w:tentative="0">
      <w:start w:val="1"/>
      <w:numFmt w:val="decimal"/>
      <w:lvlText w:val="%1."/>
      <w:lvlJc w:val="left"/>
      <w:pPr>
        <w:ind w:left="1680" w:hanging="420"/>
      </w:pPr>
      <w:rPr>
        <w:rFonts w:cs="Times New Roman"/>
      </w:rPr>
    </w:lvl>
    <w:lvl w:ilvl="1" w:tentative="0">
      <w:start w:val="1"/>
      <w:numFmt w:val="lowerLetter"/>
      <w:lvlText w:val="%2)"/>
      <w:lvlJc w:val="left"/>
      <w:pPr>
        <w:ind w:left="2100" w:hanging="420"/>
      </w:pPr>
      <w:rPr>
        <w:rFonts w:cs="Times New Roman"/>
      </w:rPr>
    </w:lvl>
    <w:lvl w:ilvl="2" w:tentative="0">
      <w:start w:val="1"/>
      <w:numFmt w:val="lowerRoman"/>
      <w:lvlText w:val="%3."/>
      <w:lvlJc w:val="right"/>
      <w:pPr>
        <w:ind w:left="2520" w:hanging="420"/>
      </w:pPr>
      <w:rPr>
        <w:rFonts w:cs="Times New Roman"/>
      </w:rPr>
    </w:lvl>
    <w:lvl w:ilvl="3" w:tentative="0">
      <w:start w:val="1"/>
      <w:numFmt w:val="decimal"/>
      <w:lvlText w:val="%4."/>
      <w:lvlJc w:val="left"/>
      <w:pPr>
        <w:ind w:left="2940" w:hanging="420"/>
      </w:pPr>
      <w:rPr>
        <w:rFonts w:cs="Times New Roman"/>
      </w:rPr>
    </w:lvl>
    <w:lvl w:ilvl="4" w:tentative="0">
      <w:start w:val="1"/>
      <w:numFmt w:val="lowerLetter"/>
      <w:lvlText w:val="%5)"/>
      <w:lvlJc w:val="left"/>
      <w:pPr>
        <w:ind w:left="3360" w:hanging="420"/>
      </w:pPr>
      <w:rPr>
        <w:rFonts w:cs="Times New Roman"/>
      </w:rPr>
    </w:lvl>
    <w:lvl w:ilvl="5" w:tentative="0">
      <w:start w:val="1"/>
      <w:numFmt w:val="lowerRoman"/>
      <w:lvlText w:val="%6."/>
      <w:lvlJc w:val="right"/>
      <w:pPr>
        <w:ind w:left="3780" w:hanging="420"/>
      </w:pPr>
      <w:rPr>
        <w:rFonts w:cs="Times New Roman"/>
      </w:rPr>
    </w:lvl>
    <w:lvl w:ilvl="6" w:tentative="0">
      <w:start w:val="1"/>
      <w:numFmt w:val="decimal"/>
      <w:lvlText w:val="%7."/>
      <w:lvlJc w:val="left"/>
      <w:pPr>
        <w:ind w:left="4200" w:hanging="420"/>
      </w:pPr>
      <w:rPr>
        <w:rFonts w:cs="Times New Roman"/>
      </w:rPr>
    </w:lvl>
    <w:lvl w:ilvl="7" w:tentative="0">
      <w:start w:val="1"/>
      <w:numFmt w:val="lowerLetter"/>
      <w:lvlText w:val="%8)"/>
      <w:lvlJc w:val="left"/>
      <w:pPr>
        <w:ind w:left="4620" w:hanging="420"/>
      </w:pPr>
      <w:rPr>
        <w:rFonts w:cs="Times New Roman"/>
      </w:rPr>
    </w:lvl>
    <w:lvl w:ilvl="8" w:tentative="0">
      <w:start w:val="1"/>
      <w:numFmt w:val="lowerRoman"/>
      <w:lvlText w:val="%9."/>
      <w:lvlJc w:val="right"/>
      <w:pPr>
        <w:ind w:left="5040" w:hanging="420"/>
      </w:pPr>
      <w:rPr>
        <w:rFonts w:cs="Times New Roman"/>
      </w:rPr>
    </w:lvl>
  </w:abstractNum>
  <w:abstractNum w:abstractNumId="4">
    <w:nsid w:val="45B15B9F"/>
    <w:multiLevelType w:val="multilevel"/>
    <w:tmpl w:val="45B15B9F"/>
    <w:lvl w:ilvl="0" w:tentative="0">
      <w:start w:val="1"/>
      <w:numFmt w:val="decimal"/>
      <w:lvlText w:val="%1."/>
      <w:lvlJc w:val="left"/>
      <w:pPr>
        <w:ind w:left="420" w:hanging="420"/>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1" w:tentative="0">
      <w:start w:val="1"/>
      <w:numFmt w:val="decimal"/>
      <w:isLgl/>
      <w:lvlText w:val="%1.%2"/>
      <w:lvlJc w:val="left"/>
      <w:pPr>
        <w:ind w:left="420" w:hanging="42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5">
    <w:nsid w:val="530363B1"/>
    <w:multiLevelType w:val="multilevel"/>
    <w:tmpl w:val="530363B1"/>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5D845062"/>
    <w:multiLevelType w:val="multilevel"/>
    <w:tmpl w:val="5D845062"/>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669D69EA"/>
    <w:multiLevelType w:val="multilevel"/>
    <w:tmpl w:val="669D69EA"/>
    <w:lvl w:ilvl="0" w:tentative="0">
      <w:start w:val="1"/>
      <w:numFmt w:val="decimal"/>
      <w:lvlText w:val="%1."/>
      <w:lvlJc w:val="left"/>
      <w:pPr>
        <w:ind w:left="840" w:hanging="420"/>
      </w:pPr>
      <w:rPr>
        <w:rFonts w:hint="eastAsia" w:eastAsia="仿宋_GB2312" w:cs="Times New Roman"/>
        <w:color w:val="auto"/>
        <w:sz w:val="28"/>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abstractNum w:abstractNumId="8">
    <w:nsid w:val="7FA36634"/>
    <w:multiLevelType w:val="multilevel"/>
    <w:tmpl w:val="7FA36634"/>
    <w:lvl w:ilvl="0" w:tentative="0">
      <w:start w:val="1"/>
      <w:numFmt w:val="decimal"/>
      <w:lvlText w:val="（%1）"/>
      <w:lvlJc w:val="left"/>
      <w:pPr>
        <w:ind w:left="1555" w:hanging="420"/>
      </w:pPr>
      <w:rPr>
        <w:rFonts w:hint="eastAsia" w:cs="Times New Roman"/>
      </w:rPr>
    </w:lvl>
    <w:lvl w:ilvl="1" w:tentative="0">
      <w:start w:val="1"/>
      <w:numFmt w:val="lowerLetter"/>
      <w:lvlText w:val="%2)"/>
      <w:lvlJc w:val="left"/>
      <w:pPr>
        <w:ind w:left="1975" w:hanging="420"/>
      </w:pPr>
      <w:rPr>
        <w:rFonts w:cs="Times New Roman"/>
      </w:rPr>
    </w:lvl>
    <w:lvl w:ilvl="2" w:tentative="0">
      <w:start w:val="1"/>
      <w:numFmt w:val="lowerRoman"/>
      <w:lvlText w:val="%3."/>
      <w:lvlJc w:val="right"/>
      <w:pPr>
        <w:ind w:left="2395" w:hanging="420"/>
      </w:pPr>
      <w:rPr>
        <w:rFonts w:cs="Times New Roman"/>
      </w:rPr>
    </w:lvl>
    <w:lvl w:ilvl="3" w:tentative="0">
      <w:start w:val="1"/>
      <w:numFmt w:val="decimal"/>
      <w:lvlText w:val="%4."/>
      <w:lvlJc w:val="left"/>
      <w:pPr>
        <w:ind w:left="2815" w:hanging="420"/>
      </w:pPr>
      <w:rPr>
        <w:rFonts w:cs="Times New Roman"/>
      </w:rPr>
    </w:lvl>
    <w:lvl w:ilvl="4" w:tentative="0">
      <w:start w:val="1"/>
      <w:numFmt w:val="lowerLetter"/>
      <w:lvlText w:val="%5)"/>
      <w:lvlJc w:val="left"/>
      <w:pPr>
        <w:ind w:left="3235" w:hanging="420"/>
      </w:pPr>
      <w:rPr>
        <w:rFonts w:cs="Times New Roman"/>
      </w:rPr>
    </w:lvl>
    <w:lvl w:ilvl="5" w:tentative="0">
      <w:start w:val="1"/>
      <w:numFmt w:val="lowerRoman"/>
      <w:lvlText w:val="%6."/>
      <w:lvlJc w:val="right"/>
      <w:pPr>
        <w:ind w:left="3655" w:hanging="420"/>
      </w:pPr>
      <w:rPr>
        <w:rFonts w:cs="Times New Roman"/>
      </w:rPr>
    </w:lvl>
    <w:lvl w:ilvl="6" w:tentative="0">
      <w:start w:val="1"/>
      <w:numFmt w:val="decimal"/>
      <w:lvlText w:val="%7."/>
      <w:lvlJc w:val="left"/>
      <w:pPr>
        <w:ind w:left="4075" w:hanging="420"/>
      </w:pPr>
      <w:rPr>
        <w:rFonts w:cs="Times New Roman"/>
      </w:rPr>
    </w:lvl>
    <w:lvl w:ilvl="7" w:tentative="0">
      <w:start w:val="1"/>
      <w:numFmt w:val="lowerLetter"/>
      <w:lvlText w:val="%8)"/>
      <w:lvlJc w:val="left"/>
      <w:pPr>
        <w:ind w:left="4495" w:hanging="420"/>
      </w:pPr>
      <w:rPr>
        <w:rFonts w:cs="Times New Roman"/>
      </w:rPr>
    </w:lvl>
    <w:lvl w:ilvl="8" w:tentative="0">
      <w:start w:val="1"/>
      <w:numFmt w:val="lowerRoman"/>
      <w:lvlText w:val="%9."/>
      <w:lvlJc w:val="right"/>
      <w:pPr>
        <w:ind w:left="4915" w:hanging="420"/>
      </w:pPr>
      <w:rPr>
        <w:rFonts w:cs="Times New Roman"/>
      </w:rPr>
    </w:lvl>
  </w:abstractNum>
  <w:num w:numId="1">
    <w:abstractNumId w:val="4"/>
    <w:lvlOverride w:ilvl="0">
      <w:startOverride w:val="1"/>
    </w:lvlOverride>
  </w:num>
  <w:num w:numId="2">
    <w:abstractNumId w:val="8"/>
  </w:num>
  <w:num w:numId="3">
    <w:abstractNumId w:val="6"/>
  </w:num>
  <w:num w:numId="4">
    <w:abstractNumId w:val="0"/>
  </w:num>
  <w:num w:numId="5">
    <w:abstractNumId w:val="7"/>
  </w:num>
  <w:num w:numId="6">
    <w:abstractNumId w:val="1"/>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7"/>
  <w:doNotDisplayPageBoundaries w:val="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5ZjcwZTUyYzliMTg4NWFkOTM5NDhjMjkxZjEzNGMifQ=="/>
  </w:docVars>
  <w:rsids>
    <w:rsidRoot w:val="006D1E24"/>
    <w:rsid w:val="00000B55"/>
    <w:rsid w:val="0000131A"/>
    <w:rsid w:val="00001D14"/>
    <w:rsid w:val="000022F9"/>
    <w:rsid w:val="00002571"/>
    <w:rsid w:val="0000345E"/>
    <w:rsid w:val="000042FF"/>
    <w:rsid w:val="00004907"/>
    <w:rsid w:val="00005607"/>
    <w:rsid w:val="00005869"/>
    <w:rsid w:val="0000597B"/>
    <w:rsid w:val="00005CE1"/>
    <w:rsid w:val="000064DD"/>
    <w:rsid w:val="00007D20"/>
    <w:rsid w:val="00007FD9"/>
    <w:rsid w:val="00010968"/>
    <w:rsid w:val="0001107A"/>
    <w:rsid w:val="00011E9C"/>
    <w:rsid w:val="00011F4C"/>
    <w:rsid w:val="00014AA2"/>
    <w:rsid w:val="000157B9"/>
    <w:rsid w:val="00015B4F"/>
    <w:rsid w:val="00015DD0"/>
    <w:rsid w:val="00016442"/>
    <w:rsid w:val="00016862"/>
    <w:rsid w:val="00016CB3"/>
    <w:rsid w:val="00017503"/>
    <w:rsid w:val="00017878"/>
    <w:rsid w:val="0002129D"/>
    <w:rsid w:val="000214AE"/>
    <w:rsid w:val="00021A11"/>
    <w:rsid w:val="00021C94"/>
    <w:rsid w:val="000220A6"/>
    <w:rsid w:val="000220E9"/>
    <w:rsid w:val="000224C4"/>
    <w:rsid w:val="000226DA"/>
    <w:rsid w:val="00022ABF"/>
    <w:rsid w:val="0002398D"/>
    <w:rsid w:val="00023C42"/>
    <w:rsid w:val="0002444D"/>
    <w:rsid w:val="000247B2"/>
    <w:rsid w:val="000248C4"/>
    <w:rsid w:val="0002521A"/>
    <w:rsid w:val="00025757"/>
    <w:rsid w:val="000259D5"/>
    <w:rsid w:val="00025F6F"/>
    <w:rsid w:val="00026023"/>
    <w:rsid w:val="0002703B"/>
    <w:rsid w:val="00027253"/>
    <w:rsid w:val="00027794"/>
    <w:rsid w:val="00027A18"/>
    <w:rsid w:val="00027FEA"/>
    <w:rsid w:val="0003024D"/>
    <w:rsid w:val="0003025F"/>
    <w:rsid w:val="00030E06"/>
    <w:rsid w:val="00031797"/>
    <w:rsid w:val="0003254F"/>
    <w:rsid w:val="000327F1"/>
    <w:rsid w:val="00032963"/>
    <w:rsid w:val="00032BD2"/>
    <w:rsid w:val="00032F0F"/>
    <w:rsid w:val="00032FA3"/>
    <w:rsid w:val="00033300"/>
    <w:rsid w:val="00033AFA"/>
    <w:rsid w:val="00033ED9"/>
    <w:rsid w:val="000343AC"/>
    <w:rsid w:val="000349B1"/>
    <w:rsid w:val="000355D0"/>
    <w:rsid w:val="0003615D"/>
    <w:rsid w:val="000363B4"/>
    <w:rsid w:val="00036D2E"/>
    <w:rsid w:val="00036D4A"/>
    <w:rsid w:val="00037155"/>
    <w:rsid w:val="0003775A"/>
    <w:rsid w:val="00037F4C"/>
    <w:rsid w:val="0004046D"/>
    <w:rsid w:val="00040645"/>
    <w:rsid w:val="0004103F"/>
    <w:rsid w:val="0004133C"/>
    <w:rsid w:val="000415D3"/>
    <w:rsid w:val="00041642"/>
    <w:rsid w:val="00041DA6"/>
    <w:rsid w:val="0004206C"/>
    <w:rsid w:val="0004255D"/>
    <w:rsid w:val="0004273B"/>
    <w:rsid w:val="00042E45"/>
    <w:rsid w:val="00042FFB"/>
    <w:rsid w:val="0004359E"/>
    <w:rsid w:val="000445C6"/>
    <w:rsid w:val="00045184"/>
    <w:rsid w:val="000453F9"/>
    <w:rsid w:val="000457C6"/>
    <w:rsid w:val="00046E99"/>
    <w:rsid w:val="000476C1"/>
    <w:rsid w:val="00047CB9"/>
    <w:rsid w:val="00047E9C"/>
    <w:rsid w:val="000500EF"/>
    <w:rsid w:val="00051503"/>
    <w:rsid w:val="00051CBD"/>
    <w:rsid w:val="000528EB"/>
    <w:rsid w:val="0005335B"/>
    <w:rsid w:val="000536ED"/>
    <w:rsid w:val="00053C8B"/>
    <w:rsid w:val="000540A1"/>
    <w:rsid w:val="00054414"/>
    <w:rsid w:val="00054533"/>
    <w:rsid w:val="00054707"/>
    <w:rsid w:val="00054769"/>
    <w:rsid w:val="00054B08"/>
    <w:rsid w:val="000554AA"/>
    <w:rsid w:val="000560BC"/>
    <w:rsid w:val="00057489"/>
    <w:rsid w:val="0005767B"/>
    <w:rsid w:val="00057F84"/>
    <w:rsid w:val="00060781"/>
    <w:rsid w:val="000609C3"/>
    <w:rsid w:val="0006114C"/>
    <w:rsid w:val="000611A5"/>
    <w:rsid w:val="00061B23"/>
    <w:rsid w:val="00061EFD"/>
    <w:rsid w:val="000621F7"/>
    <w:rsid w:val="000622AC"/>
    <w:rsid w:val="00062473"/>
    <w:rsid w:val="00062947"/>
    <w:rsid w:val="00062A74"/>
    <w:rsid w:val="00062D42"/>
    <w:rsid w:val="00063079"/>
    <w:rsid w:val="00063B32"/>
    <w:rsid w:val="00063D26"/>
    <w:rsid w:val="000643DD"/>
    <w:rsid w:val="000648E5"/>
    <w:rsid w:val="00065932"/>
    <w:rsid w:val="00067D3E"/>
    <w:rsid w:val="00070FC3"/>
    <w:rsid w:val="00071872"/>
    <w:rsid w:val="0007270C"/>
    <w:rsid w:val="000728AB"/>
    <w:rsid w:val="00072944"/>
    <w:rsid w:val="00073007"/>
    <w:rsid w:val="00073E0B"/>
    <w:rsid w:val="00074F32"/>
    <w:rsid w:val="000760F2"/>
    <w:rsid w:val="000761AB"/>
    <w:rsid w:val="000766FC"/>
    <w:rsid w:val="00076A46"/>
    <w:rsid w:val="00076DD3"/>
    <w:rsid w:val="00077B97"/>
    <w:rsid w:val="000807A7"/>
    <w:rsid w:val="00080DF2"/>
    <w:rsid w:val="000819B1"/>
    <w:rsid w:val="00081C20"/>
    <w:rsid w:val="00081FF0"/>
    <w:rsid w:val="00082193"/>
    <w:rsid w:val="0008220C"/>
    <w:rsid w:val="0008223F"/>
    <w:rsid w:val="000823C2"/>
    <w:rsid w:val="00083AC8"/>
    <w:rsid w:val="00084FB7"/>
    <w:rsid w:val="00085601"/>
    <w:rsid w:val="00085621"/>
    <w:rsid w:val="00086FE0"/>
    <w:rsid w:val="0008729D"/>
    <w:rsid w:val="000901AA"/>
    <w:rsid w:val="0009026D"/>
    <w:rsid w:val="0009083B"/>
    <w:rsid w:val="000920BA"/>
    <w:rsid w:val="000923E9"/>
    <w:rsid w:val="000924CF"/>
    <w:rsid w:val="00092670"/>
    <w:rsid w:val="000930C1"/>
    <w:rsid w:val="000941A6"/>
    <w:rsid w:val="00094678"/>
    <w:rsid w:val="000949C6"/>
    <w:rsid w:val="000949D0"/>
    <w:rsid w:val="00095371"/>
    <w:rsid w:val="0009578C"/>
    <w:rsid w:val="00095811"/>
    <w:rsid w:val="000960CC"/>
    <w:rsid w:val="00096BF6"/>
    <w:rsid w:val="000975BF"/>
    <w:rsid w:val="000A0EF5"/>
    <w:rsid w:val="000A1448"/>
    <w:rsid w:val="000A1983"/>
    <w:rsid w:val="000A1C85"/>
    <w:rsid w:val="000A221E"/>
    <w:rsid w:val="000A2258"/>
    <w:rsid w:val="000A29DA"/>
    <w:rsid w:val="000A42AF"/>
    <w:rsid w:val="000A4CEB"/>
    <w:rsid w:val="000A5157"/>
    <w:rsid w:val="000A694A"/>
    <w:rsid w:val="000A6C0A"/>
    <w:rsid w:val="000A714E"/>
    <w:rsid w:val="000A71E6"/>
    <w:rsid w:val="000B00A7"/>
    <w:rsid w:val="000B064C"/>
    <w:rsid w:val="000B0D7B"/>
    <w:rsid w:val="000B1172"/>
    <w:rsid w:val="000B1455"/>
    <w:rsid w:val="000B1D9F"/>
    <w:rsid w:val="000B24A0"/>
    <w:rsid w:val="000B256E"/>
    <w:rsid w:val="000B2634"/>
    <w:rsid w:val="000B2AD0"/>
    <w:rsid w:val="000B35C6"/>
    <w:rsid w:val="000B4A43"/>
    <w:rsid w:val="000B55EC"/>
    <w:rsid w:val="000B5CD7"/>
    <w:rsid w:val="000B6231"/>
    <w:rsid w:val="000B6BA7"/>
    <w:rsid w:val="000B6D77"/>
    <w:rsid w:val="000B6EB8"/>
    <w:rsid w:val="000B706F"/>
    <w:rsid w:val="000B731B"/>
    <w:rsid w:val="000B737D"/>
    <w:rsid w:val="000C011B"/>
    <w:rsid w:val="000C0179"/>
    <w:rsid w:val="000C09BF"/>
    <w:rsid w:val="000C0BB2"/>
    <w:rsid w:val="000C1246"/>
    <w:rsid w:val="000C15B5"/>
    <w:rsid w:val="000C19EF"/>
    <w:rsid w:val="000C1E9B"/>
    <w:rsid w:val="000C3672"/>
    <w:rsid w:val="000C37EF"/>
    <w:rsid w:val="000C3D58"/>
    <w:rsid w:val="000C456A"/>
    <w:rsid w:val="000C4B78"/>
    <w:rsid w:val="000C4EDC"/>
    <w:rsid w:val="000C598F"/>
    <w:rsid w:val="000C5A5E"/>
    <w:rsid w:val="000C5B9D"/>
    <w:rsid w:val="000C6589"/>
    <w:rsid w:val="000C6860"/>
    <w:rsid w:val="000C68EB"/>
    <w:rsid w:val="000C70DC"/>
    <w:rsid w:val="000D090B"/>
    <w:rsid w:val="000D14DC"/>
    <w:rsid w:val="000D15C5"/>
    <w:rsid w:val="000D1B25"/>
    <w:rsid w:val="000D2679"/>
    <w:rsid w:val="000D29E1"/>
    <w:rsid w:val="000D2C2A"/>
    <w:rsid w:val="000D3428"/>
    <w:rsid w:val="000D353E"/>
    <w:rsid w:val="000D3592"/>
    <w:rsid w:val="000D3626"/>
    <w:rsid w:val="000D3AEB"/>
    <w:rsid w:val="000D42C4"/>
    <w:rsid w:val="000D5249"/>
    <w:rsid w:val="000D5369"/>
    <w:rsid w:val="000D55CF"/>
    <w:rsid w:val="000D6183"/>
    <w:rsid w:val="000D665B"/>
    <w:rsid w:val="000E0403"/>
    <w:rsid w:val="000E045B"/>
    <w:rsid w:val="000E0BAD"/>
    <w:rsid w:val="000E0C21"/>
    <w:rsid w:val="000E1075"/>
    <w:rsid w:val="000E1C06"/>
    <w:rsid w:val="000E2303"/>
    <w:rsid w:val="000E28EF"/>
    <w:rsid w:val="000E2DD2"/>
    <w:rsid w:val="000E35CA"/>
    <w:rsid w:val="000E438F"/>
    <w:rsid w:val="000E4B58"/>
    <w:rsid w:val="000E52D4"/>
    <w:rsid w:val="000E5F8C"/>
    <w:rsid w:val="000E65C0"/>
    <w:rsid w:val="000E68A1"/>
    <w:rsid w:val="000E6A9C"/>
    <w:rsid w:val="000F11D8"/>
    <w:rsid w:val="000F1C40"/>
    <w:rsid w:val="000F23B2"/>
    <w:rsid w:val="000F2C34"/>
    <w:rsid w:val="000F3B3B"/>
    <w:rsid w:val="000F49D5"/>
    <w:rsid w:val="000F4AE9"/>
    <w:rsid w:val="000F5448"/>
    <w:rsid w:val="000F623A"/>
    <w:rsid w:val="000F6A07"/>
    <w:rsid w:val="000F6AD7"/>
    <w:rsid w:val="000F6C5A"/>
    <w:rsid w:val="000F7B01"/>
    <w:rsid w:val="001006C1"/>
    <w:rsid w:val="0010087E"/>
    <w:rsid w:val="00100980"/>
    <w:rsid w:val="001013B6"/>
    <w:rsid w:val="001014C7"/>
    <w:rsid w:val="00101C08"/>
    <w:rsid w:val="00101C97"/>
    <w:rsid w:val="0010204D"/>
    <w:rsid w:val="00102BE9"/>
    <w:rsid w:val="00103391"/>
    <w:rsid w:val="00103800"/>
    <w:rsid w:val="00104246"/>
    <w:rsid w:val="001044C6"/>
    <w:rsid w:val="00104C75"/>
    <w:rsid w:val="001051DB"/>
    <w:rsid w:val="00105816"/>
    <w:rsid w:val="001061D0"/>
    <w:rsid w:val="0010647A"/>
    <w:rsid w:val="00106674"/>
    <w:rsid w:val="0010691F"/>
    <w:rsid w:val="00107748"/>
    <w:rsid w:val="00107807"/>
    <w:rsid w:val="0010799C"/>
    <w:rsid w:val="00107A91"/>
    <w:rsid w:val="00107E05"/>
    <w:rsid w:val="001101B7"/>
    <w:rsid w:val="00110212"/>
    <w:rsid w:val="00110646"/>
    <w:rsid w:val="00110A63"/>
    <w:rsid w:val="00110C42"/>
    <w:rsid w:val="001112C1"/>
    <w:rsid w:val="001114A9"/>
    <w:rsid w:val="00111D28"/>
    <w:rsid w:val="00112264"/>
    <w:rsid w:val="0011287B"/>
    <w:rsid w:val="00113455"/>
    <w:rsid w:val="001160FF"/>
    <w:rsid w:val="00116F2F"/>
    <w:rsid w:val="00117015"/>
    <w:rsid w:val="001172C6"/>
    <w:rsid w:val="00120CA5"/>
    <w:rsid w:val="00121877"/>
    <w:rsid w:val="00122072"/>
    <w:rsid w:val="001222B5"/>
    <w:rsid w:val="00123137"/>
    <w:rsid w:val="00124754"/>
    <w:rsid w:val="00125BA1"/>
    <w:rsid w:val="00125C7E"/>
    <w:rsid w:val="00126823"/>
    <w:rsid w:val="00126A0F"/>
    <w:rsid w:val="001270BC"/>
    <w:rsid w:val="00127788"/>
    <w:rsid w:val="00127B81"/>
    <w:rsid w:val="001300A7"/>
    <w:rsid w:val="0013151F"/>
    <w:rsid w:val="00131910"/>
    <w:rsid w:val="00132993"/>
    <w:rsid w:val="00132A3C"/>
    <w:rsid w:val="00133058"/>
    <w:rsid w:val="001331B7"/>
    <w:rsid w:val="001334B2"/>
    <w:rsid w:val="00134ECC"/>
    <w:rsid w:val="001351DC"/>
    <w:rsid w:val="00135A3A"/>
    <w:rsid w:val="0013604E"/>
    <w:rsid w:val="00140ECC"/>
    <w:rsid w:val="00141291"/>
    <w:rsid w:val="0014130E"/>
    <w:rsid w:val="001413DE"/>
    <w:rsid w:val="0014143D"/>
    <w:rsid w:val="001414AB"/>
    <w:rsid w:val="0014199A"/>
    <w:rsid w:val="001419CA"/>
    <w:rsid w:val="00141C8A"/>
    <w:rsid w:val="00142383"/>
    <w:rsid w:val="001424BD"/>
    <w:rsid w:val="001435C3"/>
    <w:rsid w:val="00143687"/>
    <w:rsid w:val="00143895"/>
    <w:rsid w:val="00143B5F"/>
    <w:rsid w:val="00143F2C"/>
    <w:rsid w:val="001449D5"/>
    <w:rsid w:val="00145E8A"/>
    <w:rsid w:val="001464EC"/>
    <w:rsid w:val="001468A3"/>
    <w:rsid w:val="001473B1"/>
    <w:rsid w:val="001476AF"/>
    <w:rsid w:val="00147702"/>
    <w:rsid w:val="00147713"/>
    <w:rsid w:val="00147B46"/>
    <w:rsid w:val="00150268"/>
    <w:rsid w:val="00151FF2"/>
    <w:rsid w:val="00152704"/>
    <w:rsid w:val="00152BE7"/>
    <w:rsid w:val="00152F99"/>
    <w:rsid w:val="00153C4D"/>
    <w:rsid w:val="001558E8"/>
    <w:rsid w:val="001559C5"/>
    <w:rsid w:val="001561CD"/>
    <w:rsid w:val="00156241"/>
    <w:rsid w:val="0015653D"/>
    <w:rsid w:val="00156677"/>
    <w:rsid w:val="00156AD9"/>
    <w:rsid w:val="00156C35"/>
    <w:rsid w:val="00156D9D"/>
    <w:rsid w:val="0015710D"/>
    <w:rsid w:val="00157879"/>
    <w:rsid w:val="00157D50"/>
    <w:rsid w:val="00160062"/>
    <w:rsid w:val="001605F3"/>
    <w:rsid w:val="001606C4"/>
    <w:rsid w:val="001607A8"/>
    <w:rsid w:val="001618FF"/>
    <w:rsid w:val="00161958"/>
    <w:rsid w:val="00161E2A"/>
    <w:rsid w:val="00162ABE"/>
    <w:rsid w:val="0016319B"/>
    <w:rsid w:val="001631E8"/>
    <w:rsid w:val="00163868"/>
    <w:rsid w:val="0016505B"/>
    <w:rsid w:val="001651A1"/>
    <w:rsid w:val="001651CD"/>
    <w:rsid w:val="001654AB"/>
    <w:rsid w:val="001657E4"/>
    <w:rsid w:val="00165E88"/>
    <w:rsid w:val="001666E1"/>
    <w:rsid w:val="00166EB7"/>
    <w:rsid w:val="001676A3"/>
    <w:rsid w:val="001706E5"/>
    <w:rsid w:val="00170CE1"/>
    <w:rsid w:val="00170D25"/>
    <w:rsid w:val="00171196"/>
    <w:rsid w:val="001711B6"/>
    <w:rsid w:val="001712B8"/>
    <w:rsid w:val="001725A9"/>
    <w:rsid w:val="001733D5"/>
    <w:rsid w:val="001736C3"/>
    <w:rsid w:val="00174F8F"/>
    <w:rsid w:val="00175547"/>
    <w:rsid w:val="001756A5"/>
    <w:rsid w:val="00175DA5"/>
    <w:rsid w:val="00176386"/>
    <w:rsid w:val="001771C9"/>
    <w:rsid w:val="0018083F"/>
    <w:rsid w:val="00180A41"/>
    <w:rsid w:val="00180FCE"/>
    <w:rsid w:val="001813DA"/>
    <w:rsid w:val="001826A1"/>
    <w:rsid w:val="00182766"/>
    <w:rsid w:val="00182C14"/>
    <w:rsid w:val="001830EA"/>
    <w:rsid w:val="00183446"/>
    <w:rsid w:val="001834F4"/>
    <w:rsid w:val="00183654"/>
    <w:rsid w:val="00183D76"/>
    <w:rsid w:val="001845D4"/>
    <w:rsid w:val="00184700"/>
    <w:rsid w:val="001848F1"/>
    <w:rsid w:val="00184971"/>
    <w:rsid w:val="00184BB8"/>
    <w:rsid w:val="00184F2C"/>
    <w:rsid w:val="001851E3"/>
    <w:rsid w:val="00185370"/>
    <w:rsid w:val="00186411"/>
    <w:rsid w:val="00186424"/>
    <w:rsid w:val="0018646D"/>
    <w:rsid w:val="001864D5"/>
    <w:rsid w:val="00186705"/>
    <w:rsid w:val="00186B97"/>
    <w:rsid w:val="00186C64"/>
    <w:rsid w:val="00186ED4"/>
    <w:rsid w:val="00187698"/>
    <w:rsid w:val="00190CDF"/>
    <w:rsid w:val="0019163E"/>
    <w:rsid w:val="001929AD"/>
    <w:rsid w:val="00192A55"/>
    <w:rsid w:val="00192BDE"/>
    <w:rsid w:val="00192E3C"/>
    <w:rsid w:val="00193C2A"/>
    <w:rsid w:val="00193F10"/>
    <w:rsid w:val="00194003"/>
    <w:rsid w:val="001942EE"/>
    <w:rsid w:val="00194BE3"/>
    <w:rsid w:val="00194EE8"/>
    <w:rsid w:val="00195240"/>
    <w:rsid w:val="00195CEF"/>
    <w:rsid w:val="00195F89"/>
    <w:rsid w:val="00196397"/>
    <w:rsid w:val="00196539"/>
    <w:rsid w:val="001965D1"/>
    <w:rsid w:val="001966A3"/>
    <w:rsid w:val="00196995"/>
    <w:rsid w:val="00197074"/>
    <w:rsid w:val="001972A3"/>
    <w:rsid w:val="0019774A"/>
    <w:rsid w:val="001A0E9A"/>
    <w:rsid w:val="001A1151"/>
    <w:rsid w:val="001A1482"/>
    <w:rsid w:val="001A1504"/>
    <w:rsid w:val="001A24D9"/>
    <w:rsid w:val="001A31F8"/>
    <w:rsid w:val="001A34E8"/>
    <w:rsid w:val="001A481E"/>
    <w:rsid w:val="001A55BC"/>
    <w:rsid w:val="001A6922"/>
    <w:rsid w:val="001A6D3A"/>
    <w:rsid w:val="001A733D"/>
    <w:rsid w:val="001A74E7"/>
    <w:rsid w:val="001A7B9F"/>
    <w:rsid w:val="001A7C37"/>
    <w:rsid w:val="001A7DB1"/>
    <w:rsid w:val="001A7E75"/>
    <w:rsid w:val="001B0424"/>
    <w:rsid w:val="001B0BE9"/>
    <w:rsid w:val="001B13E7"/>
    <w:rsid w:val="001B14E8"/>
    <w:rsid w:val="001B1E47"/>
    <w:rsid w:val="001B2883"/>
    <w:rsid w:val="001B2C7E"/>
    <w:rsid w:val="001B3115"/>
    <w:rsid w:val="001B3379"/>
    <w:rsid w:val="001B4004"/>
    <w:rsid w:val="001B7639"/>
    <w:rsid w:val="001B79BF"/>
    <w:rsid w:val="001C162C"/>
    <w:rsid w:val="001C199E"/>
    <w:rsid w:val="001C1E3D"/>
    <w:rsid w:val="001C2649"/>
    <w:rsid w:val="001C26BA"/>
    <w:rsid w:val="001C27BD"/>
    <w:rsid w:val="001C2B03"/>
    <w:rsid w:val="001C3040"/>
    <w:rsid w:val="001C310E"/>
    <w:rsid w:val="001C329E"/>
    <w:rsid w:val="001C358F"/>
    <w:rsid w:val="001C3895"/>
    <w:rsid w:val="001C3DD1"/>
    <w:rsid w:val="001C3F5C"/>
    <w:rsid w:val="001C45FD"/>
    <w:rsid w:val="001C48E4"/>
    <w:rsid w:val="001C51FD"/>
    <w:rsid w:val="001C5464"/>
    <w:rsid w:val="001C560E"/>
    <w:rsid w:val="001C57DA"/>
    <w:rsid w:val="001C59FC"/>
    <w:rsid w:val="001C5D49"/>
    <w:rsid w:val="001C5FF0"/>
    <w:rsid w:val="001C7FEA"/>
    <w:rsid w:val="001D08A7"/>
    <w:rsid w:val="001D0DDC"/>
    <w:rsid w:val="001D1275"/>
    <w:rsid w:val="001D1AF3"/>
    <w:rsid w:val="001D1F53"/>
    <w:rsid w:val="001D201F"/>
    <w:rsid w:val="001D2D89"/>
    <w:rsid w:val="001D38D7"/>
    <w:rsid w:val="001D3BB4"/>
    <w:rsid w:val="001D5DFA"/>
    <w:rsid w:val="001D618A"/>
    <w:rsid w:val="001D66DF"/>
    <w:rsid w:val="001D6879"/>
    <w:rsid w:val="001D6D30"/>
    <w:rsid w:val="001D70E6"/>
    <w:rsid w:val="001D7EA8"/>
    <w:rsid w:val="001E0C74"/>
    <w:rsid w:val="001E11B4"/>
    <w:rsid w:val="001E15DC"/>
    <w:rsid w:val="001E269D"/>
    <w:rsid w:val="001E2A0A"/>
    <w:rsid w:val="001E2DBC"/>
    <w:rsid w:val="001E3311"/>
    <w:rsid w:val="001E397C"/>
    <w:rsid w:val="001E39E7"/>
    <w:rsid w:val="001E3E7B"/>
    <w:rsid w:val="001E4DBF"/>
    <w:rsid w:val="001E53C0"/>
    <w:rsid w:val="001E677F"/>
    <w:rsid w:val="001E67BE"/>
    <w:rsid w:val="001E6A60"/>
    <w:rsid w:val="001E6A6A"/>
    <w:rsid w:val="001E7788"/>
    <w:rsid w:val="001E7F68"/>
    <w:rsid w:val="001F0407"/>
    <w:rsid w:val="001F0539"/>
    <w:rsid w:val="001F1B36"/>
    <w:rsid w:val="001F2852"/>
    <w:rsid w:val="001F2CC0"/>
    <w:rsid w:val="001F2F59"/>
    <w:rsid w:val="001F3343"/>
    <w:rsid w:val="001F342A"/>
    <w:rsid w:val="001F343E"/>
    <w:rsid w:val="001F47AE"/>
    <w:rsid w:val="001F4DB7"/>
    <w:rsid w:val="001F5418"/>
    <w:rsid w:val="001F5BC8"/>
    <w:rsid w:val="001F6952"/>
    <w:rsid w:val="001F74E8"/>
    <w:rsid w:val="001F7E52"/>
    <w:rsid w:val="002010F2"/>
    <w:rsid w:val="0020119F"/>
    <w:rsid w:val="002017B3"/>
    <w:rsid w:val="0020216F"/>
    <w:rsid w:val="002021B5"/>
    <w:rsid w:val="00202AE2"/>
    <w:rsid w:val="00202C48"/>
    <w:rsid w:val="002036F9"/>
    <w:rsid w:val="0020494D"/>
    <w:rsid w:val="00204B75"/>
    <w:rsid w:val="00205433"/>
    <w:rsid w:val="00205B8E"/>
    <w:rsid w:val="00205C2E"/>
    <w:rsid w:val="00206991"/>
    <w:rsid w:val="00207149"/>
    <w:rsid w:val="0020722C"/>
    <w:rsid w:val="00207275"/>
    <w:rsid w:val="0020749F"/>
    <w:rsid w:val="00207DF4"/>
    <w:rsid w:val="002100D4"/>
    <w:rsid w:val="0021010C"/>
    <w:rsid w:val="00210344"/>
    <w:rsid w:val="00210392"/>
    <w:rsid w:val="0021091C"/>
    <w:rsid w:val="002109CC"/>
    <w:rsid w:val="00210CBB"/>
    <w:rsid w:val="00211155"/>
    <w:rsid w:val="00211330"/>
    <w:rsid w:val="002115C4"/>
    <w:rsid w:val="002122E0"/>
    <w:rsid w:val="0021326E"/>
    <w:rsid w:val="00213454"/>
    <w:rsid w:val="00213795"/>
    <w:rsid w:val="0021570D"/>
    <w:rsid w:val="002169E8"/>
    <w:rsid w:val="002208EE"/>
    <w:rsid w:val="00220BDA"/>
    <w:rsid w:val="00221104"/>
    <w:rsid w:val="00221A20"/>
    <w:rsid w:val="0022246C"/>
    <w:rsid w:val="00222817"/>
    <w:rsid w:val="00222ADC"/>
    <w:rsid w:val="002230FD"/>
    <w:rsid w:val="00223B95"/>
    <w:rsid w:val="00224824"/>
    <w:rsid w:val="00224F03"/>
    <w:rsid w:val="00225542"/>
    <w:rsid w:val="00225544"/>
    <w:rsid w:val="002255BE"/>
    <w:rsid w:val="0022565E"/>
    <w:rsid w:val="00226E4B"/>
    <w:rsid w:val="00227B19"/>
    <w:rsid w:val="002300DC"/>
    <w:rsid w:val="0023189D"/>
    <w:rsid w:val="00232E61"/>
    <w:rsid w:val="0023301E"/>
    <w:rsid w:val="00234EA4"/>
    <w:rsid w:val="00235977"/>
    <w:rsid w:val="0023604B"/>
    <w:rsid w:val="002362F6"/>
    <w:rsid w:val="00236A0D"/>
    <w:rsid w:val="00236E9B"/>
    <w:rsid w:val="00237C7B"/>
    <w:rsid w:val="002401A3"/>
    <w:rsid w:val="002401BF"/>
    <w:rsid w:val="0024088D"/>
    <w:rsid w:val="00240E36"/>
    <w:rsid w:val="002418BB"/>
    <w:rsid w:val="00241AC5"/>
    <w:rsid w:val="00242450"/>
    <w:rsid w:val="00242785"/>
    <w:rsid w:val="0024318A"/>
    <w:rsid w:val="002434D9"/>
    <w:rsid w:val="0024351C"/>
    <w:rsid w:val="002443EB"/>
    <w:rsid w:val="00245583"/>
    <w:rsid w:val="00245952"/>
    <w:rsid w:val="002460EB"/>
    <w:rsid w:val="00246513"/>
    <w:rsid w:val="00246597"/>
    <w:rsid w:val="002467D4"/>
    <w:rsid w:val="002475CA"/>
    <w:rsid w:val="00247F48"/>
    <w:rsid w:val="00250163"/>
    <w:rsid w:val="0025025B"/>
    <w:rsid w:val="00250979"/>
    <w:rsid w:val="00250A96"/>
    <w:rsid w:val="00250E6F"/>
    <w:rsid w:val="0025102B"/>
    <w:rsid w:val="002512D1"/>
    <w:rsid w:val="002520BC"/>
    <w:rsid w:val="0025421F"/>
    <w:rsid w:val="002544B6"/>
    <w:rsid w:val="00254C4F"/>
    <w:rsid w:val="00254DD5"/>
    <w:rsid w:val="00254EC8"/>
    <w:rsid w:val="002557DC"/>
    <w:rsid w:val="00256006"/>
    <w:rsid w:val="00256945"/>
    <w:rsid w:val="0025705A"/>
    <w:rsid w:val="00257772"/>
    <w:rsid w:val="00257D57"/>
    <w:rsid w:val="00260527"/>
    <w:rsid w:val="00260619"/>
    <w:rsid w:val="002606BE"/>
    <w:rsid w:val="00260B7B"/>
    <w:rsid w:val="00260CC4"/>
    <w:rsid w:val="00260EB3"/>
    <w:rsid w:val="0026143E"/>
    <w:rsid w:val="00261A47"/>
    <w:rsid w:val="00261AC8"/>
    <w:rsid w:val="00261D39"/>
    <w:rsid w:val="00262066"/>
    <w:rsid w:val="0026225E"/>
    <w:rsid w:val="00262362"/>
    <w:rsid w:val="00263398"/>
    <w:rsid w:val="0026412D"/>
    <w:rsid w:val="00264F43"/>
    <w:rsid w:val="00264F8F"/>
    <w:rsid w:val="0026554A"/>
    <w:rsid w:val="0026596A"/>
    <w:rsid w:val="00265AEB"/>
    <w:rsid w:val="00265D3C"/>
    <w:rsid w:val="00266376"/>
    <w:rsid w:val="0026656B"/>
    <w:rsid w:val="00266DBE"/>
    <w:rsid w:val="00266F33"/>
    <w:rsid w:val="00267C72"/>
    <w:rsid w:val="0027044A"/>
    <w:rsid w:val="002707CC"/>
    <w:rsid w:val="00270A1B"/>
    <w:rsid w:val="00271390"/>
    <w:rsid w:val="0027172A"/>
    <w:rsid w:val="0027213C"/>
    <w:rsid w:val="00272C88"/>
    <w:rsid w:val="00272E0C"/>
    <w:rsid w:val="00272F7E"/>
    <w:rsid w:val="0027384A"/>
    <w:rsid w:val="002738C1"/>
    <w:rsid w:val="00273A6A"/>
    <w:rsid w:val="00273B50"/>
    <w:rsid w:val="00273F84"/>
    <w:rsid w:val="00274BD0"/>
    <w:rsid w:val="00274E55"/>
    <w:rsid w:val="00276BF3"/>
    <w:rsid w:val="00276C1D"/>
    <w:rsid w:val="00277681"/>
    <w:rsid w:val="002777D4"/>
    <w:rsid w:val="00277C54"/>
    <w:rsid w:val="00277C64"/>
    <w:rsid w:val="00280A92"/>
    <w:rsid w:val="00280E2C"/>
    <w:rsid w:val="00280E8F"/>
    <w:rsid w:val="00281033"/>
    <w:rsid w:val="00281520"/>
    <w:rsid w:val="0028167C"/>
    <w:rsid w:val="00281981"/>
    <w:rsid w:val="0028282F"/>
    <w:rsid w:val="00282BD5"/>
    <w:rsid w:val="00283A30"/>
    <w:rsid w:val="00284FE7"/>
    <w:rsid w:val="002853B8"/>
    <w:rsid w:val="00285890"/>
    <w:rsid w:val="00285BEA"/>
    <w:rsid w:val="002864CD"/>
    <w:rsid w:val="00287A5E"/>
    <w:rsid w:val="00287A8C"/>
    <w:rsid w:val="00287BBD"/>
    <w:rsid w:val="00290BF4"/>
    <w:rsid w:val="002911B9"/>
    <w:rsid w:val="0029171D"/>
    <w:rsid w:val="0029194D"/>
    <w:rsid w:val="00291970"/>
    <w:rsid w:val="00291EFA"/>
    <w:rsid w:val="00291F06"/>
    <w:rsid w:val="0029211E"/>
    <w:rsid w:val="00292305"/>
    <w:rsid w:val="00292399"/>
    <w:rsid w:val="002931AE"/>
    <w:rsid w:val="0029322B"/>
    <w:rsid w:val="002935CF"/>
    <w:rsid w:val="00294153"/>
    <w:rsid w:val="002944F8"/>
    <w:rsid w:val="0029497B"/>
    <w:rsid w:val="00295D81"/>
    <w:rsid w:val="00296112"/>
    <w:rsid w:val="00296505"/>
    <w:rsid w:val="00296516"/>
    <w:rsid w:val="002967FF"/>
    <w:rsid w:val="00297A6C"/>
    <w:rsid w:val="00297EF4"/>
    <w:rsid w:val="002A0411"/>
    <w:rsid w:val="002A07B8"/>
    <w:rsid w:val="002A0CB6"/>
    <w:rsid w:val="002A0E05"/>
    <w:rsid w:val="002A18F4"/>
    <w:rsid w:val="002A22C2"/>
    <w:rsid w:val="002A2D9C"/>
    <w:rsid w:val="002A411E"/>
    <w:rsid w:val="002A57C1"/>
    <w:rsid w:val="002A5A24"/>
    <w:rsid w:val="002A5D6D"/>
    <w:rsid w:val="002A5F03"/>
    <w:rsid w:val="002A6053"/>
    <w:rsid w:val="002A60D8"/>
    <w:rsid w:val="002A65DC"/>
    <w:rsid w:val="002A675B"/>
    <w:rsid w:val="002A6E2F"/>
    <w:rsid w:val="002A71AC"/>
    <w:rsid w:val="002A7290"/>
    <w:rsid w:val="002A7C49"/>
    <w:rsid w:val="002B037B"/>
    <w:rsid w:val="002B1035"/>
    <w:rsid w:val="002B1672"/>
    <w:rsid w:val="002B1783"/>
    <w:rsid w:val="002B2244"/>
    <w:rsid w:val="002B2B72"/>
    <w:rsid w:val="002B2CEA"/>
    <w:rsid w:val="002B2F8F"/>
    <w:rsid w:val="002B2FB7"/>
    <w:rsid w:val="002B3064"/>
    <w:rsid w:val="002B36E4"/>
    <w:rsid w:val="002B4238"/>
    <w:rsid w:val="002B454F"/>
    <w:rsid w:val="002B4696"/>
    <w:rsid w:val="002B46C8"/>
    <w:rsid w:val="002B53EB"/>
    <w:rsid w:val="002B6C3B"/>
    <w:rsid w:val="002B716A"/>
    <w:rsid w:val="002B76D1"/>
    <w:rsid w:val="002B78F5"/>
    <w:rsid w:val="002B7CE2"/>
    <w:rsid w:val="002B7D7A"/>
    <w:rsid w:val="002B7ECB"/>
    <w:rsid w:val="002C01C6"/>
    <w:rsid w:val="002C0515"/>
    <w:rsid w:val="002C072B"/>
    <w:rsid w:val="002C0A36"/>
    <w:rsid w:val="002C0A96"/>
    <w:rsid w:val="002C10BD"/>
    <w:rsid w:val="002C1194"/>
    <w:rsid w:val="002C14FB"/>
    <w:rsid w:val="002C17E2"/>
    <w:rsid w:val="002C25AC"/>
    <w:rsid w:val="002C2734"/>
    <w:rsid w:val="002C31CC"/>
    <w:rsid w:val="002C3215"/>
    <w:rsid w:val="002C364D"/>
    <w:rsid w:val="002C3771"/>
    <w:rsid w:val="002C3DBC"/>
    <w:rsid w:val="002C3FE1"/>
    <w:rsid w:val="002C4008"/>
    <w:rsid w:val="002C42EF"/>
    <w:rsid w:val="002C51DD"/>
    <w:rsid w:val="002C55F6"/>
    <w:rsid w:val="002C57D4"/>
    <w:rsid w:val="002C65E2"/>
    <w:rsid w:val="002C6C4D"/>
    <w:rsid w:val="002C6E5E"/>
    <w:rsid w:val="002C71A8"/>
    <w:rsid w:val="002C76E9"/>
    <w:rsid w:val="002C77A4"/>
    <w:rsid w:val="002C7BBE"/>
    <w:rsid w:val="002D0DA1"/>
    <w:rsid w:val="002D1CFB"/>
    <w:rsid w:val="002D1EBE"/>
    <w:rsid w:val="002D2088"/>
    <w:rsid w:val="002D2896"/>
    <w:rsid w:val="002D3177"/>
    <w:rsid w:val="002D413A"/>
    <w:rsid w:val="002D490F"/>
    <w:rsid w:val="002D557F"/>
    <w:rsid w:val="002D5862"/>
    <w:rsid w:val="002D5BEA"/>
    <w:rsid w:val="002D6037"/>
    <w:rsid w:val="002D6660"/>
    <w:rsid w:val="002D6826"/>
    <w:rsid w:val="002D74A6"/>
    <w:rsid w:val="002D7600"/>
    <w:rsid w:val="002D794D"/>
    <w:rsid w:val="002D7DA6"/>
    <w:rsid w:val="002E0A31"/>
    <w:rsid w:val="002E1ACD"/>
    <w:rsid w:val="002E1FAE"/>
    <w:rsid w:val="002E2A86"/>
    <w:rsid w:val="002E2D83"/>
    <w:rsid w:val="002E31E7"/>
    <w:rsid w:val="002E32AA"/>
    <w:rsid w:val="002E3BAB"/>
    <w:rsid w:val="002E43AE"/>
    <w:rsid w:val="002E48BC"/>
    <w:rsid w:val="002E5166"/>
    <w:rsid w:val="002E5CA0"/>
    <w:rsid w:val="002E6A25"/>
    <w:rsid w:val="002E6B3F"/>
    <w:rsid w:val="002F037F"/>
    <w:rsid w:val="002F0EAA"/>
    <w:rsid w:val="002F14DA"/>
    <w:rsid w:val="002F1835"/>
    <w:rsid w:val="002F214C"/>
    <w:rsid w:val="002F2670"/>
    <w:rsid w:val="002F353F"/>
    <w:rsid w:val="002F3F62"/>
    <w:rsid w:val="002F41AC"/>
    <w:rsid w:val="002F4305"/>
    <w:rsid w:val="002F4878"/>
    <w:rsid w:val="002F48F2"/>
    <w:rsid w:val="002F67EF"/>
    <w:rsid w:val="002F72A8"/>
    <w:rsid w:val="0030066A"/>
    <w:rsid w:val="003008CF"/>
    <w:rsid w:val="00300CCB"/>
    <w:rsid w:val="00301270"/>
    <w:rsid w:val="00301375"/>
    <w:rsid w:val="003014FE"/>
    <w:rsid w:val="00301973"/>
    <w:rsid w:val="00302768"/>
    <w:rsid w:val="00302924"/>
    <w:rsid w:val="00302BD9"/>
    <w:rsid w:val="0030406D"/>
    <w:rsid w:val="00304C89"/>
    <w:rsid w:val="00305332"/>
    <w:rsid w:val="00305B6A"/>
    <w:rsid w:val="00305FEE"/>
    <w:rsid w:val="0030645B"/>
    <w:rsid w:val="00306EB1"/>
    <w:rsid w:val="00306FA0"/>
    <w:rsid w:val="00307714"/>
    <w:rsid w:val="003078FD"/>
    <w:rsid w:val="00307CA8"/>
    <w:rsid w:val="00310207"/>
    <w:rsid w:val="00310596"/>
    <w:rsid w:val="0031073F"/>
    <w:rsid w:val="0031091A"/>
    <w:rsid w:val="00310C54"/>
    <w:rsid w:val="00311057"/>
    <w:rsid w:val="003116CF"/>
    <w:rsid w:val="00311BF9"/>
    <w:rsid w:val="0031246C"/>
    <w:rsid w:val="00312864"/>
    <w:rsid w:val="003135F5"/>
    <w:rsid w:val="00313641"/>
    <w:rsid w:val="00313C13"/>
    <w:rsid w:val="0031425E"/>
    <w:rsid w:val="00314673"/>
    <w:rsid w:val="003155ED"/>
    <w:rsid w:val="003159F7"/>
    <w:rsid w:val="00315DEC"/>
    <w:rsid w:val="00315E99"/>
    <w:rsid w:val="003162FE"/>
    <w:rsid w:val="00316E31"/>
    <w:rsid w:val="00317262"/>
    <w:rsid w:val="0031734A"/>
    <w:rsid w:val="00317B40"/>
    <w:rsid w:val="00317B88"/>
    <w:rsid w:val="00320374"/>
    <w:rsid w:val="00320956"/>
    <w:rsid w:val="00320B1E"/>
    <w:rsid w:val="00322528"/>
    <w:rsid w:val="00322643"/>
    <w:rsid w:val="00322710"/>
    <w:rsid w:val="00322D96"/>
    <w:rsid w:val="00323062"/>
    <w:rsid w:val="00323772"/>
    <w:rsid w:val="00323B98"/>
    <w:rsid w:val="00324F2A"/>
    <w:rsid w:val="003263AB"/>
    <w:rsid w:val="00326791"/>
    <w:rsid w:val="00326EC1"/>
    <w:rsid w:val="003279D7"/>
    <w:rsid w:val="00331C23"/>
    <w:rsid w:val="00331E14"/>
    <w:rsid w:val="0033222E"/>
    <w:rsid w:val="003330C2"/>
    <w:rsid w:val="0033406C"/>
    <w:rsid w:val="00334F35"/>
    <w:rsid w:val="00336072"/>
    <w:rsid w:val="00336569"/>
    <w:rsid w:val="00337135"/>
    <w:rsid w:val="00337141"/>
    <w:rsid w:val="0034023E"/>
    <w:rsid w:val="003402FD"/>
    <w:rsid w:val="00340BB9"/>
    <w:rsid w:val="00341B8A"/>
    <w:rsid w:val="00342055"/>
    <w:rsid w:val="00342C93"/>
    <w:rsid w:val="00343098"/>
    <w:rsid w:val="00343F99"/>
    <w:rsid w:val="0034456F"/>
    <w:rsid w:val="003456CD"/>
    <w:rsid w:val="003459F2"/>
    <w:rsid w:val="00347031"/>
    <w:rsid w:val="00347177"/>
    <w:rsid w:val="00347904"/>
    <w:rsid w:val="00350628"/>
    <w:rsid w:val="0035074A"/>
    <w:rsid w:val="00350771"/>
    <w:rsid w:val="003512BD"/>
    <w:rsid w:val="00351B5E"/>
    <w:rsid w:val="00351D44"/>
    <w:rsid w:val="00352610"/>
    <w:rsid w:val="00352AF0"/>
    <w:rsid w:val="00353096"/>
    <w:rsid w:val="00354DDB"/>
    <w:rsid w:val="00355398"/>
    <w:rsid w:val="003560AC"/>
    <w:rsid w:val="00356B01"/>
    <w:rsid w:val="0036044F"/>
    <w:rsid w:val="00360680"/>
    <w:rsid w:val="00360822"/>
    <w:rsid w:val="00360893"/>
    <w:rsid w:val="00360FA6"/>
    <w:rsid w:val="003620DF"/>
    <w:rsid w:val="003621DC"/>
    <w:rsid w:val="003624C7"/>
    <w:rsid w:val="003634C2"/>
    <w:rsid w:val="003637BC"/>
    <w:rsid w:val="00363E80"/>
    <w:rsid w:val="0036458A"/>
    <w:rsid w:val="0036694B"/>
    <w:rsid w:val="00367944"/>
    <w:rsid w:val="00367BAB"/>
    <w:rsid w:val="00370999"/>
    <w:rsid w:val="00370BEE"/>
    <w:rsid w:val="00371415"/>
    <w:rsid w:val="0037179A"/>
    <w:rsid w:val="00372139"/>
    <w:rsid w:val="00372848"/>
    <w:rsid w:val="003729A8"/>
    <w:rsid w:val="00372BE3"/>
    <w:rsid w:val="00372D5B"/>
    <w:rsid w:val="00373F68"/>
    <w:rsid w:val="00374019"/>
    <w:rsid w:val="0037478D"/>
    <w:rsid w:val="003750F9"/>
    <w:rsid w:val="0037514D"/>
    <w:rsid w:val="00375833"/>
    <w:rsid w:val="00375A09"/>
    <w:rsid w:val="003761F6"/>
    <w:rsid w:val="00376673"/>
    <w:rsid w:val="003766EA"/>
    <w:rsid w:val="00376762"/>
    <w:rsid w:val="00376B65"/>
    <w:rsid w:val="003770F4"/>
    <w:rsid w:val="0037717D"/>
    <w:rsid w:val="0037760B"/>
    <w:rsid w:val="0037772F"/>
    <w:rsid w:val="0037795B"/>
    <w:rsid w:val="00377A25"/>
    <w:rsid w:val="00377AE3"/>
    <w:rsid w:val="00380206"/>
    <w:rsid w:val="00380908"/>
    <w:rsid w:val="0038118C"/>
    <w:rsid w:val="00381414"/>
    <w:rsid w:val="00381F10"/>
    <w:rsid w:val="00382954"/>
    <w:rsid w:val="00382AB7"/>
    <w:rsid w:val="00382AC4"/>
    <w:rsid w:val="00382F3C"/>
    <w:rsid w:val="003838FA"/>
    <w:rsid w:val="00383CFA"/>
    <w:rsid w:val="00384742"/>
    <w:rsid w:val="003850FB"/>
    <w:rsid w:val="00385140"/>
    <w:rsid w:val="00385951"/>
    <w:rsid w:val="00385BF8"/>
    <w:rsid w:val="00385CF4"/>
    <w:rsid w:val="00385DE3"/>
    <w:rsid w:val="0038620B"/>
    <w:rsid w:val="003863F7"/>
    <w:rsid w:val="00386842"/>
    <w:rsid w:val="003869B6"/>
    <w:rsid w:val="003870FC"/>
    <w:rsid w:val="00387F6E"/>
    <w:rsid w:val="0039040B"/>
    <w:rsid w:val="00391035"/>
    <w:rsid w:val="0039122D"/>
    <w:rsid w:val="003912A2"/>
    <w:rsid w:val="00391677"/>
    <w:rsid w:val="00391CC2"/>
    <w:rsid w:val="00392A51"/>
    <w:rsid w:val="00392D7B"/>
    <w:rsid w:val="0039422D"/>
    <w:rsid w:val="00394611"/>
    <w:rsid w:val="00394DFC"/>
    <w:rsid w:val="003954BE"/>
    <w:rsid w:val="00395D0B"/>
    <w:rsid w:val="00396222"/>
    <w:rsid w:val="00396239"/>
    <w:rsid w:val="00396EFA"/>
    <w:rsid w:val="003972F6"/>
    <w:rsid w:val="0039792C"/>
    <w:rsid w:val="00397BE2"/>
    <w:rsid w:val="00397F3A"/>
    <w:rsid w:val="003A020C"/>
    <w:rsid w:val="003A12E8"/>
    <w:rsid w:val="003A1CA9"/>
    <w:rsid w:val="003A1F6C"/>
    <w:rsid w:val="003A2AF6"/>
    <w:rsid w:val="003A2C0F"/>
    <w:rsid w:val="003A3162"/>
    <w:rsid w:val="003A3278"/>
    <w:rsid w:val="003A38DB"/>
    <w:rsid w:val="003A47FA"/>
    <w:rsid w:val="003A500C"/>
    <w:rsid w:val="003A5E49"/>
    <w:rsid w:val="003A7395"/>
    <w:rsid w:val="003A7D4E"/>
    <w:rsid w:val="003B0333"/>
    <w:rsid w:val="003B17D7"/>
    <w:rsid w:val="003B1853"/>
    <w:rsid w:val="003B1BFF"/>
    <w:rsid w:val="003B2C3F"/>
    <w:rsid w:val="003B3367"/>
    <w:rsid w:val="003B3427"/>
    <w:rsid w:val="003B34FF"/>
    <w:rsid w:val="003B3CC3"/>
    <w:rsid w:val="003B411A"/>
    <w:rsid w:val="003B4546"/>
    <w:rsid w:val="003B4B72"/>
    <w:rsid w:val="003B6288"/>
    <w:rsid w:val="003B654E"/>
    <w:rsid w:val="003B65E6"/>
    <w:rsid w:val="003B66DF"/>
    <w:rsid w:val="003B69D2"/>
    <w:rsid w:val="003B7831"/>
    <w:rsid w:val="003B78A0"/>
    <w:rsid w:val="003C0091"/>
    <w:rsid w:val="003C0864"/>
    <w:rsid w:val="003C0D07"/>
    <w:rsid w:val="003C2258"/>
    <w:rsid w:val="003C2639"/>
    <w:rsid w:val="003C3541"/>
    <w:rsid w:val="003C3666"/>
    <w:rsid w:val="003C3983"/>
    <w:rsid w:val="003C476A"/>
    <w:rsid w:val="003C504C"/>
    <w:rsid w:val="003C52E8"/>
    <w:rsid w:val="003C552F"/>
    <w:rsid w:val="003C5AEC"/>
    <w:rsid w:val="003C645D"/>
    <w:rsid w:val="003C6891"/>
    <w:rsid w:val="003C76E1"/>
    <w:rsid w:val="003C7809"/>
    <w:rsid w:val="003C7A42"/>
    <w:rsid w:val="003D0378"/>
    <w:rsid w:val="003D17EB"/>
    <w:rsid w:val="003D2EE1"/>
    <w:rsid w:val="003D33AF"/>
    <w:rsid w:val="003D39E9"/>
    <w:rsid w:val="003D478F"/>
    <w:rsid w:val="003D5185"/>
    <w:rsid w:val="003D5270"/>
    <w:rsid w:val="003D59E4"/>
    <w:rsid w:val="003D5A1F"/>
    <w:rsid w:val="003D67AB"/>
    <w:rsid w:val="003D6B1B"/>
    <w:rsid w:val="003D70B8"/>
    <w:rsid w:val="003D7352"/>
    <w:rsid w:val="003D73CB"/>
    <w:rsid w:val="003D7F06"/>
    <w:rsid w:val="003E0770"/>
    <w:rsid w:val="003E1BDC"/>
    <w:rsid w:val="003E2276"/>
    <w:rsid w:val="003E2730"/>
    <w:rsid w:val="003E2B0F"/>
    <w:rsid w:val="003E42A9"/>
    <w:rsid w:val="003E444A"/>
    <w:rsid w:val="003E4E5C"/>
    <w:rsid w:val="003E4E81"/>
    <w:rsid w:val="003E5604"/>
    <w:rsid w:val="003E599E"/>
    <w:rsid w:val="003E6152"/>
    <w:rsid w:val="003E6406"/>
    <w:rsid w:val="003E6F99"/>
    <w:rsid w:val="003F03A4"/>
    <w:rsid w:val="003F0C44"/>
    <w:rsid w:val="003F0F6B"/>
    <w:rsid w:val="003F12AC"/>
    <w:rsid w:val="003F1A55"/>
    <w:rsid w:val="003F1EF4"/>
    <w:rsid w:val="003F2717"/>
    <w:rsid w:val="003F31DB"/>
    <w:rsid w:val="003F3580"/>
    <w:rsid w:val="003F360D"/>
    <w:rsid w:val="003F3C52"/>
    <w:rsid w:val="003F3D7F"/>
    <w:rsid w:val="003F4BE3"/>
    <w:rsid w:val="003F53BD"/>
    <w:rsid w:val="003F5459"/>
    <w:rsid w:val="003F5E8A"/>
    <w:rsid w:val="003F674E"/>
    <w:rsid w:val="003F69B5"/>
    <w:rsid w:val="003F6DE6"/>
    <w:rsid w:val="003F6F4B"/>
    <w:rsid w:val="003F7856"/>
    <w:rsid w:val="003F788B"/>
    <w:rsid w:val="003F7A71"/>
    <w:rsid w:val="00400B3E"/>
    <w:rsid w:val="00400BC9"/>
    <w:rsid w:val="0040109A"/>
    <w:rsid w:val="00401A3C"/>
    <w:rsid w:val="004021E6"/>
    <w:rsid w:val="004023E0"/>
    <w:rsid w:val="0040253F"/>
    <w:rsid w:val="004029CA"/>
    <w:rsid w:val="00403219"/>
    <w:rsid w:val="004037D3"/>
    <w:rsid w:val="00403EFF"/>
    <w:rsid w:val="00404CB8"/>
    <w:rsid w:val="004054FC"/>
    <w:rsid w:val="00405780"/>
    <w:rsid w:val="0040606A"/>
    <w:rsid w:val="004062F8"/>
    <w:rsid w:val="00406317"/>
    <w:rsid w:val="00406458"/>
    <w:rsid w:val="00406751"/>
    <w:rsid w:val="004077C3"/>
    <w:rsid w:val="00407BFA"/>
    <w:rsid w:val="00407F26"/>
    <w:rsid w:val="0041153F"/>
    <w:rsid w:val="00412587"/>
    <w:rsid w:val="00412904"/>
    <w:rsid w:val="004131A7"/>
    <w:rsid w:val="0041339F"/>
    <w:rsid w:val="00413ADF"/>
    <w:rsid w:val="00414995"/>
    <w:rsid w:val="00414D5E"/>
    <w:rsid w:val="004150AF"/>
    <w:rsid w:val="00415163"/>
    <w:rsid w:val="004159C7"/>
    <w:rsid w:val="00415FD9"/>
    <w:rsid w:val="00416342"/>
    <w:rsid w:val="00416AF9"/>
    <w:rsid w:val="00416B66"/>
    <w:rsid w:val="00417537"/>
    <w:rsid w:val="00417B65"/>
    <w:rsid w:val="0042017C"/>
    <w:rsid w:val="00420333"/>
    <w:rsid w:val="004216FE"/>
    <w:rsid w:val="00421A17"/>
    <w:rsid w:val="004233DC"/>
    <w:rsid w:val="0042346A"/>
    <w:rsid w:val="004241AA"/>
    <w:rsid w:val="0042460C"/>
    <w:rsid w:val="00424AA6"/>
    <w:rsid w:val="00425096"/>
    <w:rsid w:val="00425128"/>
    <w:rsid w:val="00425AEE"/>
    <w:rsid w:val="00425F7F"/>
    <w:rsid w:val="00426094"/>
    <w:rsid w:val="004265B9"/>
    <w:rsid w:val="004265E4"/>
    <w:rsid w:val="00426B48"/>
    <w:rsid w:val="004272E4"/>
    <w:rsid w:val="0042770D"/>
    <w:rsid w:val="00427CB2"/>
    <w:rsid w:val="00430AEC"/>
    <w:rsid w:val="00430B2C"/>
    <w:rsid w:val="00431206"/>
    <w:rsid w:val="0043131C"/>
    <w:rsid w:val="00431471"/>
    <w:rsid w:val="00431EED"/>
    <w:rsid w:val="00432010"/>
    <w:rsid w:val="004321F4"/>
    <w:rsid w:val="00432864"/>
    <w:rsid w:val="00433438"/>
    <w:rsid w:val="00433C26"/>
    <w:rsid w:val="00433D72"/>
    <w:rsid w:val="00434C8E"/>
    <w:rsid w:val="00434D3D"/>
    <w:rsid w:val="00434EBB"/>
    <w:rsid w:val="004351FA"/>
    <w:rsid w:val="00436072"/>
    <w:rsid w:val="004362FE"/>
    <w:rsid w:val="00437269"/>
    <w:rsid w:val="00437907"/>
    <w:rsid w:val="00437FB8"/>
    <w:rsid w:val="00441874"/>
    <w:rsid w:val="00442FC7"/>
    <w:rsid w:val="004439D9"/>
    <w:rsid w:val="00443A65"/>
    <w:rsid w:val="0044460B"/>
    <w:rsid w:val="0044582D"/>
    <w:rsid w:val="00445A1E"/>
    <w:rsid w:val="00447682"/>
    <w:rsid w:val="00447988"/>
    <w:rsid w:val="004508EA"/>
    <w:rsid w:val="0045141C"/>
    <w:rsid w:val="00452354"/>
    <w:rsid w:val="00452934"/>
    <w:rsid w:val="0045343D"/>
    <w:rsid w:val="004536FA"/>
    <w:rsid w:val="004542C0"/>
    <w:rsid w:val="004544AE"/>
    <w:rsid w:val="00454D2C"/>
    <w:rsid w:val="00455255"/>
    <w:rsid w:val="0045530D"/>
    <w:rsid w:val="004553FE"/>
    <w:rsid w:val="00455536"/>
    <w:rsid w:val="004557ED"/>
    <w:rsid w:val="00455E34"/>
    <w:rsid w:val="00456C5A"/>
    <w:rsid w:val="00456CE8"/>
    <w:rsid w:val="0045728D"/>
    <w:rsid w:val="00457B7A"/>
    <w:rsid w:val="00457CDA"/>
    <w:rsid w:val="0046002B"/>
    <w:rsid w:val="00460825"/>
    <w:rsid w:val="004608C0"/>
    <w:rsid w:val="004613BF"/>
    <w:rsid w:val="004615BC"/>
    <w:rsid w:val="00462C2B"/>
    <w:rsid w:val="00463CF7"/>
    <w:rsid w:val="0046422B"/>
    <w:rsid w:val="0046568F"/>
    <w:rsid w:val="00465EC4"/>
    <w:rsid w:val="00466154"/>
    <w:rsid w:val="004671CC"/>
    <w:rsid w:val="0046735C"/>
    <w:rsid w:val="00467D3A"/>
    <w:rsid w:val="00467EE3"/>
    <w:rsid w:val="004706A5"/>
    <w:rsid w:val="00470A93"/>
    <w:rsid w:val="00470BBF"/>
    <w:rsid w:val="0047152A"/>
    <w:rsid w:val="004719A1"/>
    <w:rsid w:val="00471D0E"/>
    <w:rsid w:val="00471EF5"/>
    <w:rsid w:val="00472BCC"/>
    <w:rsid w:val="004742B0"/>
    <w:rsid w:val="004747D7"/>
    <w:rsid w:val="00474A74"/>
    <w:rsid w:val="004755C8"/>
    <w:rsid w:val="0047591B"/>
    <w:rsid w:val="004762DE"/>
    <w:rsid w:val="004765AB"/>
    <w:rsid w:val="00477039"/>
    <w:rsid w:val="00477096"/>
    <w:rsid w:val="00477BE1"/>
    <w:rsid w:val="00480835"/>
    <w:rsid w:val="00480D67"/>
    <w:rsid w:val="00481238"/>
    <w:rsid w:val="004814EC"/>
    <w:rsid w:val="00481A69"/>
    <w:rsid w:val="00483139"/>
    <w:rsid w:val="00483775"/>
    <w:rsid w:val="00484D35"/>
    <w:rsid w:val="004858CB"/>
    <w:rsid w:val="00485FDC"/>
    <w:rsid w:val="0048613D"/>
    <w:rsid w:val="0048616E"/>
    <w:rsid w:val="00486C22"/>
    <w:rsid w:val="00486C53"/>
    <w:rsid w:val="0048715D"/>
    <w:rsid w:val="004876D5"/>
    <w:rsid w:val="00487A54"/>
    <w:rsid w:val="004908F9"/>
    <w:rsid w:val="00490EC1"/>
    <w:rsid w:val="00491396"/>
    <w:rsid w:val="00491AD0"/>
    <w:rsid w:val="00491F50"/>
    <w:rsid w:val="0049265A"/>
    <w:rsid w:val="00492861"/>
    <w:rsid w:val="00492A9C"/>
    <w:rsid w:val="00492E31"/>
    <w:rsid w:val="00493539"/>
    <w:rsid w:val="00493CE6"/>
    <w:rsid w:val="004942BF"/>
    <w:rsid w:val="004947A1"/>
    <w:rsid w:val="00494DEE"/>
    <w:rsid w:val="004951C7"/>
    <w:rsid w:val="004951C8"/>
    <w:rsid w:val="004956CF"/>
    <w:rsid w:val="004956D3"/>
    <w:rsid w:val="00495B9B"/>
    <w:rsid w:val="00496184"/>
    <w:rsid w:val="00496423"/>
    <w:rsid w:val="004A0741"/>
    <w:rsid w:val="004A09A6"/>
    <w:rsid w:val="004A194C"/>
    <w:rsid w:val="004A23A1"/>
    <w:rsid w:val="004A3275"/>
    <w:rsid w:val="004A3EEA"/>
    <w:rsid w:val="004A4339"/>
    <w:rsid w:val="004A4C0F"/>
    <w:rsid w:val="004A4D6A"/>
    <w:rsid w:val="004A5466"/>
    <w:rsid w:val="004A5604"/>
    <w:rsid w:val="004A596D"/>
    <w:rsid w:val="004A69BA"/>
    <w:rsid w:val="004A6DE2"/>
    <w:rsid w:val="004A6F07"/>
    <w:rsid w:val="004A7D86"/>
    <w:rsid w:val="004B0624"/>
    <w:rsid w:val="004B0A1F"/>
    <w:rsid w:val="004B0B61"/>
    <w:rsid w:val="004B0CAD"/>
    <w:rsid w:val="004B11C9"/>
    <w:rsid w:val="004B1491"/>
    <w:rsid w:val="004B19D6"/>
    <w:rsid w:val="004B1DE6"/>
    <w:rsid w:val="004B2274"/>
    <w:rsid w:val="004B22CB"/>
    <w:rsid w:val="004B25DC"/>
    <w:rsid w:val="004B2EA2"/>
    <w:rsid w:val="004B36F3"/>
    <w:rsid w:val="004B4946"/>
    <w:rsid w:val="004B70B7"/>
    <w:rsid w:val="004B70CA"/>
    <w:rsid w:val="004B734C"/>
    <w:rsid w:val="004C0425"/>
    <w:rsid w:val="004C1301"/>
    <w:rsid w:val="004C1CF8"/>
    <w:rsid w:val="004C20D8"/>
    <w:rsid w:val="004C24D6"/>
    <w:rsid w:val="004C3BF4"/>
    <w:rsid w:val="004C48E4"/>
    <w:rsid w:val="004C4905"/>
    <w:rsid w:val="004C4EDE"/>
    <w:rsid w:val="004C62BF"/>
    <w:rsid w:val="004C6EA0"/>
    <w:rsid w:val="004C7EB8"/>
    <w:rsid w:val="004D07CA"/>
    <w:rsid w:val="004D0D14"/>
    <w:rsid w:val="004D1731"/>
    <w:rsid w:val="004D1F4F"/>
    <w:rsid w:val="004D22F4"/>
    <w:rsid w:val="004D27D7"/>
    <w:rsid w:val="004D2CB2"/>
    <w:rsid w:val="004D3141"/>
    <w:rsid w:val="004D3245"/>
    <w:rsid w:val="004D3504"/>
    <w:rsid w:val="004D4463"/>
    <w:rsid w:val="004D4551"/>
    <w:rsid w:val="004D4DB7"/>
    <w:rsid w:val="004D4FF1"/>
    <w:rsid w:val="004D6151"/>
    <w:rsid w:val="004D6754"/>
    <w:rsid w:val="004D71AE"/>
    <w:rsid w:val="004D78FB"/>
    <w:rsid w:val="004E0925"/>
    <w:rsid w:val="004E1970"/>
    <w:rsid w:val="004E1BB5"/>
    <w:rsid w:val="004E2155"/>
    <w:rsid w:val="004E2313"/>
    <w:rsid w:val="004E24FF"/>
    <w:rsid w:val="004E258D"/>
    <w:rsid w:val="004E3223"/>
    <w:rsid w:val="004E33DA"/>
    <w:rsid w:val="004E3C30"/>
    <w:rsid w:val="004E3D3E"/>
    <w:rsid w:val="004E40E8"/>
    <w:rsid w:val="004E49BC"/>
    <w:rsid w:val="004E5B28"/>
    <w:rsid w:val="004E6C2D"/>
    <w:rsid w:val="004E70C5"/>
    <w:rsid w:val="004E7D6B"/>
    <w:rsid w:val="004F031E"/>
    <w:rsid w:val="004F0919"/>
    <w:rsid w:val="004F1B6A"/>
    <w:rsid w:val="004F21A2"/>
    <w:rsid w:val="004F26FF"/>
    <w:rsid w:val="004F2BDD"/>
    <w:rsid w:val="004F313D"/>
    <w:rsid w:val="004F35F3"/>
    <w:rsid w:val="004F3B7B"/>
    <w:rsid w:val="004F4BF6"/>
    <w:rsid w:val="004F56EB"/>
    <w:rsid w:val="004F6A21"/>
    <w:rsid w:val="0050146E"/>
    <w:rsid w:val="00501B36"/>
    <w:rsid w:val="00501D28"/>
    <w:rsid w:val="00501EB4"/>
    <w:rsid w:val="00502470"/>
    <w:rsid w:val="005024C1"/>
    <w:rsid w:val="00504662"/>
    <w:rsid w:val="0050472E"/>
    <w:rsid w:val="0050487C"/>
    <w:rsid w:val="005053B0"/>
    <w:rsid w:val="005053CB"/>
    <w:rsid w:val="005056D1"/>
    <w:rsid w:val="00505C99"/>
    <w:rsid w:val="00505DCF"/>
    <w:rsid w:val="00506613"/>
    <w:rsid w:val="00507B7D"/>
    <w:rsid w:val="00510C26"/>
    <w:rsid w:val="00511E6B"/>
    <w:rsid w:val="00512735"/>
    <w:rsid w:val="00513113"/>
    <w:rsid w:val="00513209"/>
    <w:rsid w:val="00513971"/>
    <w:rsid w:val="00514505"/>
    <w:rsid w:val="00514C50"/>
    <w:rsid w:val="0051555A"/>
    <w:rsid w:val="00515B09"/>
    <w:rsid w:val="00515EB1"/>
    <w:rsid w:val="005169E8"/>
    <w:rsid w:val="00516EDF"/>
    <w:rsid w:val="00520117"/>
    <w:rsid w:val="00520166"/>
    <w:rsid w:val="005204E9"/>
    <w:rsid w:val="00520559"/>
    <w:rsid w:val="00520659"/>
    <w:rsid w:val="00520C73"/>
    <w:rsid w:val="0052213C"/>
    <w:rsid w:val="005232DD"/>
    <w:rsid w:val="005242CA"/>
    <w:rsid w:val="00524665"/>
    <w:rsid w:val="0052533E"/>
    <w:rsid w:val="0052551F"/>
    <w:rsid w:val="005261FA"/>
    <w:rsid w:val="00526744"/>
    <w:rsid w:val="00526C99"/>
    <w:rsid w:val="00526F31"/>
    <w:rsid w:val="00527340"/>
    <w:rsid w:val="0052739F"/>
    <w:rsid w:val="005276CF"/>
    <w:rsid w:val="00527898"/>
    <w:rsid w:val="00530B70"/>
    <w:rsid w:val="00530CB7"/>
    <w:rsid w:val="00531093"/>
    <w:rsid w:val="005310BC"/>
    <w:rsid w:val="005310CC"/>
    <w:rsid w:val="00531136"/>
    <w:rsid w:val="00531A2D"/>
    <w:rsid w:val="00531C1E"/>
    <w:rsid w:val="00531FCF"/>
    <w:rsid w:val="005328AE"/>
    <w:rsid w:val="00533B77"/>
    <w:rsid w:val="00533BBB"/>
    <w:rsid w:val="005340CF"/>
    <w:rsid w:val="00534299"/>
    <w:rsid w:val="0053431B"/>
    <w:rsid w:val="00534354"/>
    <w:rsid w:val="0053445B"/>
    <w:rsid w:val="00534661"/>
    <w:rsid w:val="00534888"/>
    <w:rsid w:val="005348FF"/>
    <w:rsid w:val="00534B12"/>
    <w:rsid w:val="00535344"/>
    <w:rsid w:val="00535D4C"/>
    <w:rsid w:val="00535F94"/>
    <w:rsid w:val="005371B0"/>
    <w:rsid w:val="005404D2"/>
    <w:rsid w:val="00541125"/>
    <w:rsid w:val="00541324"/>
    <w:rsid w:val="00541709"/>
    <w:rsid w:val="00541E39"/>
    <w:rsid w:val="00542212"/>
    <w:rsid w:val="005422DF"/>
    <w:rsid w:val="00542515"/>
    <w:rsid w:val="00542516"/>
    <w:rsid w:val="00542919"/>
    <w:rsid w:val="005434ED"/>
    <w:rsid w:val="00543CA0"/>
    <w:rsid w:val="00543E79"/>
    <w:rsid w:val="00544924"/>
    <w:rsid w:val="00545339"/>
    <w:rsid w:val="005454BD"/>
    <w:rsid w:val="005456B5"/>
    <w:rsid w:val="005458FF"/>
    <w:rsid w:val="0054649B"/>
    <w:rsid w:val="005473AE"/>
    <w:rsid w:val="0054769B"/>
    <w:rsid w:val="0055005D"/>
    <w:rsid w:val="005514A7"/>
    <w:rsid w:val="00551925"/>
    <w:rsid w:val="00552E55"/>
    <w:rsid w:val="005531C2"/>
    <w:rsid w:val="00553505"/>
    <w:rsid w:val="005538A9"/>
    <w:rsid w:val="00553A14"/>
    <w:rsid w:val="005547C4"/>
    <w:rsid w:val="00554855"/>
    <w:rsid w:val="00555C81"/>
    <w:rsid w:val="00555F47"/>
    <w:rsid w:val="00556267"/>
    <w:rsid w:val="00556CA0"/>
    <w:rsid w:val="0055702E"/>
    <w:rsid w:val="005605AE"/>
    <w:rsid w:val="005616E7"/>
    <w:rsid w:val="0056183E"/>
    <w:rsid w:val="0056194A"/>
    <w:rsid w:val="00561C5B"/>
    <w:rsid w:val="005620CF"/>
    <w:rsid w:val="00562453"/>
    <w:rsid w:val="005627D8"/>
    <w:rsid w:val="00562AE9"/>
    <w:rsid w:val="005639DF"/>
    <w:rsid w:val="00563A7F"/>
    <w:rsid w:val="00564A28"/>
    <w:rsid w:val="00564D16"/>
    <w:rsid w:val="0056509E"/>
    <w:rsid w:val="0056521D"/>
    <w:rsid w:val="00565324"/>
    <w:rsid w:val="00566013"/>
    <w:rsid w:val="005664C7"/>
    <w:rsid w:val="00567042"/>
    <w:rsid w:val="00567155"/>
    <w:rsid w:val="005677B8"/>
    <w:rsid w:val="0056789E"/>
    <w:rsid w:val="0057045F"/>
    <w:rsid w:val="005722A3"/>
    <w:rsid w:val="00572576"/>
    <w:rsid w:val="00573490"/>
    <w:rsid w:val="00573D3B"/>
    <w:rsid w:val="0057485B"/>
    <w:rsid w:val="00574AE2"/>
    <w:rsid w:val="00575101"/>
    <w:rsid w:val="005752E3"/>
    <w:rsid w:val="00575443"/>
    <w:rsid w:val="0057736F"/>
    <w:rsid w:val="00580682"/>
    <w:rsid w:val="005809A2"/>
    <w:rsid w:val="00580D19"/>
    <w:rsid w:val="0058173A"/>
    <w:rsid w:val="00581A41"/>
    <w:rsid w:val="00582312"/>
    <w:rsid w:val="0058331C"/>
    <w:rsid w:val="00583ADB"/>
    <w:rsid w:val="00583FB6"/>
    <w:rsid w:val="0058443A"/>
    <w:rsid w:val="005846AE"/>
    <w:rsid w:val="005846EA"/>
    <w:rsid w:val="005861A0"/>
    <w:rsid w:val="00586A82"/>
    <w:rsid w:val="00587199"/>
    <w:rsid w:val="00590013"/>
    <w:rsid w:val="005914AD"/>
    <w:rsid w:val="005916BD"/>
    <w:rsid w:val="00591BF0"/>
    <w:rsid w:val="00591FDF"/>
    <w:rsid w:val="0059241D"/>
    <w:rsid w:val="00592915"/>
    <w:rsid w:val="005929BC"/>
    <w:rsid w:val="00592C36"/>
    <w:rsid w:val="00594B74"/>
    <w:rsid w:val="005954EB"/>
    <w:rsid w:val="00595E86"/>
    <w:rsid w:val="0059634C"/>
    <w:rsid w:val="0059680A"/>
    <w:rsid w:val="00596942"/>
    <w:rsid w:val="00596E86"/>
    <w:rsid w:val="005972F3"/>
    <w:rsid w:val="00597855"/>
    <w:rsid w:val="005A025B"/>
    <w:rsid w:val="005A03FE"/>
    <w:rsid w:val="005A04F5"/>
    <w:rsid w:val="005A0F69"/>
    <w:rsid w:val="005A1C47"/>
    <w:rsid w:val="005A288B"/>
    <w:rsid w:val="005A29C0"/>
    <w:rsid w:val="005A29FA"/>
    <w:rsid w:val="005A2A53"/>
    <w:rsid w:val="005A2DCD"/>
    <w:rsid w:val="005A2E7D"/>
    <w:rsid w:val="005A3082"/>
    <w:rsid w:val="005A3C23"/>
    <w:rsid w:val="005A441D"/>
    <w:rsid w:val="005A4B07"/>
    <w:rsid w:val="005A5151"/>
    <w:rsid w:val="005A5827"/>
    <w:rsid w:val="005A6215"/>
    <w:rsid w:val="005A67DA"/>
    <w:rsid w:val="005A784F"/>
    <w:rsid w:val="005A78DE"/>
    <w:rsid w:val="005A7A1F"/>
    <w:rsid w:val="005B0187"/>
    <w:rsid w:val="005B06FD"/>
    <w:rsid w:val="005B072C"/>
    <w:rsid w:val="005B1455"/>
    <w:rsid w:val="005B157C"/>
    <w:rsid w:val="005B1F45"/>
    <w:rsid w:val="005B3190"/>
    <w:rsid w:val="005B39FA"/>
    <w:rsid w:val="005B45CF"/>
    <w:rsid w:val="005B4F71"/>
    <w:rsid w:val="005B51B6"/>
    <w:rsid w:val="005B591C"/>
    <w:rsid w:val="005B5B71"/>
    <w:rsid w:val="005B6497"/>
    <w:rsid w:val="005B6BB6"/>
    <w:rsid w:val="005B720A"/>
    <w:rsid w:val="005C0710"/>
    <w:rsid w:val="005C09CD"/>
    <w:rsid w:val="005C11F2"/>
    <w:rsid w:val="005C18F9"/>
    <w:rsid w:val="005C2B41"/>
    <w:rsid w:val="005C39EE"/>
    <w:rsid w:val="005C3DA1"/>
    <w:rsid w:val="005C5B43"/>
    <w:rsid w:val="005C5BB2"/>
    <w:rsid w:val="005C6E2D"/>
    <w:rsid w:val="005C7A9D"/>
    <w:rsid w:val="005C7DB0"/>
    <w:rsid w:val="005D0DCD"/>
    <w:rsid w:val="005D10DF"/>
    <w:rsid w:val="005D26BE"/>
    <w:rsid w:val="005D3242"/>
    <w:rsid w:val="005D354A"/>
    <w:rsid w:val="005D42BC"/>
    <w:rsid w:val="005D44B0"/>
    <w:rsid w:val="005D4C85"/>
    <w:rsid w:val="005D5007"/>
    <w:rsid w:val="005D509F"/>
    <w:rsid w:val="005D56F3"/>
    <w:rsid w:val="005D6187"/>
    <w:rsid w:val="005D65AF"/>
    <w:rsid w:val="005D6B77"/>
    <w:rsid w:val="005D6BDC"/>
    <w:rsid w:val="005D6EE0"/>
    <w:rsid w:val="005D6FA4"/>
    <w:rsid w:val="005D7B17"/>
    <w:rsid w:val="005D7F3E"/>
    <w:rsid w:val="005E0955"/>
    <w:rsid w:val="005E0A83"/>
    <w:rsid w:val="005E14E9"/>
    <w:rsid w:val="005E2223"/>
    <w:rsid w:val="005E2F1A"/>
    <w:rsid w:val="005E2F6E"/>
    <w:rsid w:val="005E2FF9"/>
    <w:rsid w:val="005E3B74"/>
    <w:rsid w:val="005E4454"/>
    <w:rsid w:val="005E4718"/>
    <w:rsid w:val="005E65EC"/>
    <w:rsid w:val="005E67F3"/>
    <w:rsid w:val="005E68C1"/>
    <w:rsid w:val="005E6A75"/>
    <w:rsid w:val="005E7019"/>
    <w:rsid w:val="005E7604"/>
    <w:rsid w:val="005E7C2F"/>
    <w:rsid w:val="005E7DCF"/>
    <w:rsid w:val="005F0486"/>
    <w:rsid w:val="005F04D4"/>
    <w:rsid w:val="005F1BA7"/>
    <w:rsid w:val="005F216C"/>
    <w:rsid w:val="005F23ED"/>
    <w:rsid w:val="005F2F82"/>
    <w:rsid w:val="005F3889"/>
    <w:rsid w:val="005F3E8E"/>
    <w:rsid w:val="005F46F6"/>
    <w:rsid w:val="005F4BAA"/>
    <w:rsid w:val="005F50CC"/>
    <w:rsid w:val="005F5365"/>
    <w:rsid w:val="005F557E"/>
    <w:rsid w:val="005F56A3"/>
    <w:rsid w:val="005F5A91"/>
    <w:rsid w:val="005F6314"/>
    <w:rsid w:val="005F657F"/>
    <w:rsid w:val="005F6731"/>
    <w:rsid w:val="005F7B65"/>
    <w:rsid w:val="005F7E17"/>
    <w:rsid w:val="0060091F"/>
    <w:rsid w:val="006009ED"/>
    <w:rsid w:val="006012C9"/>
    <w:rsid w:val="00601667"/>
    <w:rsid w:val="0060197B"/>
    <w:rsid w:val="0060207B"/>
    <w:rsid w:val="006025DD"/>
    <w:rsid w:val="0060299F"/>
    <w:rsid w:val="00603065"/>
    <w:rsid w:val="00603889"/>
    <w:rsid w:val="006040A1"/>
    <w:rsid w:val="006041B3"/>
    <w:rsid w:val="00604523"/>
    <w:rsid w:val="00604E82"/>
    <w:rsid w:val="0060594D"/>
    <w:rsid w:val="0060600E"/>
    <w:rsid w:val="00606456"/>
    <w:rsid w:val="00606B8B"/>
    <w:rsid w:val="00606C76"/>
    <w:rsid w:val="00611648"/>
    <w:rsid w:val="00611CC4"/>
    <w:rsid w:val="00611DE9"/>
    <w:rsid w:val="00612B87"/>
    <w:rsid w:val="00612D65"/>
    <w:rsid w:val="006133DF"/>
    <w:rsid w:val="0061347B"/>
    <w:rsid w:val="00613C8D"/>
    <w:rsid w:val="0061400E"/>
    <w:rsid w:val="006146A5"/>
    <w:rsid w:val="00615AB2"/>
    <w:rsid w:val="00615E3B"/>
    <w:rsid w:val="00615FF3"/>
    <w:rsid w:val="00616E1D"/>
    <w:rsid w:val="00616F5E"/>
    <w:rsid w:val="00617034"/>
    <w:rsid w:val="0061705D"/>
    <w:rsid w:val="006174BE"/>
    <w:rsid w:val="00617E16"/>
    <w:rsid w:val="00617F7D"/>
    <w:rsid w:val="006213F6"/>
    <w:rsid w:val="00621638"/>
    <w:rsid w:val="00622450"/>
    <w:rsid w:val="00622639"/>
    <w:rsid w:val="00623739"/>
    <w:rsid w:val="006240E6"/>
    <w:rsid w:val="006241D9"/>
    <w:rsid w:val="0062455A"/>
    <w:rsid w:val="00624B23"/>
    <w:rsid w:val="00624F85"/>
    <w:rsid w:val="00625318"/>
    <w:rsid w:val="006256CE"/>
    <w:rsid w:val="006266B6"/>
    <w:rsid w:val="00626EF6"/>
    <w:rsid w:val="00626F58"/>
    <w:rsid w:val="006271F7"/>
    <w:rsid w:val="006300D3"/>
    <w:rsid w:val="00630236"/>
    <w:rsid w:val="006311E2"/>
    <w:rsid w:val="00631599"/>
    <w:rsid w:val="00631777"/>
    <w:rsid w:val="00631CAC"/>
    <w:rsid w:val="00631D97"/>
    <w:rsid w:val="00632091"/>
    <w:rsid w:val="00632667"/>
    <w:rsid w:val="00632F5F"/>
    <w:rsid w:val="00633631"/>
    <w:rsid w:val="006336B2"/>
    <w:rsid w:val="0063376C"/>
    <w:rsid w:val="00633E3E"/>
    <w:rsid w:val="00635104"/>
    <w:rsid w:val="00635155"/>
    <w:rsid w:val="00635A53"/>
    <w:rsid w:val="00635EE2"/>
    <w:rsid w:val="00636EC2"/>
    <w:rsid w:val="00637451"/>
    <w:rsid w:val="00637F55"/>
    <w:rsid w:val="00637FAB"/>
    <w:rsid w:val="00640AFC"/>
    <w:rsid w:val="00640C97"/>
    <w:rsid w:val="00641226"/>
    <w:rsid w:val="006414E6"/>
    <w:rsid w:val="0064168E"/>
    <w:rsid w:val="00641BCB"/>
    <w:rsid w:val="00642692"/>
    <w:rsid w:val="00642C9F"/>
    <w:rsid w:val="00643401"/>
    <w:rsid w:val="00643D06"/>
    <w:rsid w:val="006441EE"/>
    <w:rsid w:val="006445B1"/>
    <w:rsid w:val="00644D29"/>
    <w:rsid w:val="0064579D"/>
    <w:rsid w:val="006461FC"/>
    <w:rsid w:val="006468E4"/>
    <w:rsid w:val="00646B9B"/>
    <w:rsid w:val="0064717C"/>
    <w:rsid w:val="006479D9"/>
    <w:rsid w:val="00650A11"/>
    <w:rsid w:val="00650EAB"/>
    <w:rsid w:val="0065154B"/>
    <w:rsid w:val="0065248B"/>
    <w:rsid w:val="00652C77"/>
    <w:rsid w:val="00653119"/>
    <w:rsid w:val="00653D4A"/>
    <w:rsid w:val="00654BC0"/>
    <w:rsid w:val="006559F3"/>
    <w:rsid w:val="00656679"/>
    <w:rsid w:val="00656F1A"/>
    <w:rsid w:val="00657B18"/>
    <w:rsid w:val="00661700"/>
    <w:rsid w:val="006619EE"/>
    <w:rsid w:val="00662437"/>
    <w:rsid w:val="006628F6"/>
    <w:rsid w:val="00662A6E"/>
    <w:rsid w:val="00662C51"/>
    <w:rsid w:val="00662EE9"/>
    <w:rsid w:val="00662F8A"/>
    <w:rsid w:val="0066400D"/>
    <w:rsid w:val="006642B3"/>
    <w:rsid w:val="006645E6"/>
    <w:rsid w:val="006649DB"/>
    <w:rsid w:val="00664E0D"/>
    <w:rsid w:val="00664EFA"/>
    <w:rsid w:val="00666CE4"/>
    <w:rsid w:val="00666F13"/>
    <w:rsid w:val="00667080"/>
    <w:rsid w:val="00667731"/>
    <w:rsid w:val="00667A37"/>
    <w:rsid w:val="00667C2C"/>
    <w:rsid w:val="00667E25"/>
    <w:rsid w:val="00670647"/>
    <w:rsid w:val="0067317B"/>
    <w:rsid w:val="006736BC"/>
    <w:rsid w:val="00673CFE"/>
    <w:rsid w:val="00673EBF"/>
    <w:rsid w:val="00674083"/>
    <w:rsid w:val="006749E2"/>
    <w:rsid w:val="00674D6B"/>
    <w:rsid w:val="00675108"/>
    <w:rsid w:val="0067548E"/>
    <w:rsid w:val="00676232"/>
    <w:rsid w:val="0067637D"/>
    <w:rsid w:val="00676386"/>
    <w:rsid w:val="0067638A"/>
    <w:rsid w:val="00676EB8"/>
    <w:rsid w:val="0067777A"/>
    <w:rsid w:val="00677E41"/>
    <w:rsid w:val="00680D0B"/>
    <w:rsid w:val="00680F1E"/>
    <w:rsid w:val="00681305"/>
    <w:rsid w:val="00681533"/>
    <w:rsid w:val="006822B0"/>
    <w:rsid w:val="0068278C"/>
    <w:rsid w:val="00683230"/>
    <w:rsid w:val="00683469"/>
    <w:rsid w:val="00683A66"/>
    <w:rsid w:val="00683A7E"/>
    <w:rsid w:val="00683B86"/>
    <w:rsid w:val="00683ED3"/>
    <w:rsid w:val="00683F3A"/>
    <w:rsid w:val="00686406"/>
    <w:rsid w:val="0068647E"/>
    <w:rsid w:val="006868C0"/>
    <w:rsid w:val="00686A06"/>
    <w:rsid w:val="00690C2B"/>
    <w:rsid w:val="00690DF6"/>
    <w:rsid w:val="00690F65"/>
    <w:rsid w:val="00691623"/>
    <w:rsid w:val="006917A1"/>
    <w:rsid w:val="00692EE8"/>
    <w:rsid w:val="00693415"/>
    <w:rsid w:val="00693A71"/>
    <w:rsid w:val="00694AAE"/>
    <w:rsid w:val="0069523B"/>
    <w:rsid w:val="00695BE5"/>
    <w:rsid w:val="00696204"/>
    <w:rsid w:val="0069643C"/>
    <w:rsid w:val="00697495"/>
    <w:rsid w:val="006979BF"/>
    <w:rsid w:val="00697A40"/>
    <w:rsid w:val="00697B0F"/>
    <w:rsid w:val="00697D2E"/>
    <w:rsid w:val="00697E9A"/>
    <w:rsid w:val="006A0154"/>
    <w:rsid w:val="006A0356"/>
    <w:rsid w:val="006A2150"/>
    <w:rsid w:val="006A281F"/>
    <w:rsid w:val="006A35C4"/>
    <w:rsid w:val="006A38CD"/>
    <w:rsid w:val="006A3AA6"/>
    <w:rsid w:val="006A3C4F"/>
    <w:rsid w:val="006A46FB"/>
    <w:rsid w:val="006A4961"/>
    <w:rsid w:val="006A5267"/>
    <w:rsid w:val="006A61E8"/>
    <w:rsid w:val="006A6355"/>
    <w:rsid w:val="006A64B1"/>
    <w:rsid w:val="006A6A0C"/>
    <w:rsid w:val="006A6B91"/>
    <w:rsid w:val="006A6F6A"/>
    <w:rsid w:val="006B10A9"/>
    <w:rsid w:val="006B3FFF"/>
    <w:rsid w:val="006B435B"/>
    <w:rsid w:val="006B49E7"/>
    <w:rsid w:val="006B4DC9"/>
    <w:rsid w:val="006B5073"/>
    <w:rsid w:val="006B5212"/>
    <w:rsid w:val="006B5BF6"/>
    <w:rsid w:val="006B5F93"/>
    <w:rsid w:val="006B78B9"/>
    <w:rsid w:val="006B7EE6"/>
    <w:rsid w:val="006C056F"/>
    <w:rsid w:val="006C06A1"/>
    <w:rsid w:val="006C1E1D"/>
    <w:rsid w:val="006C2A2E"/>
    <w:rsid w:val="006C2A6D"/>
    <w:rsid w:val="006C327F"/>
    <w:rsid w:val="006C35DB"/>
    <w:rsid w:val="006C362E"/>
    <w:rsid w:val="006C3739"/>
    <w:rsid w:val="006C3DAC"/>
    <w:rsid w:val="006C3E2B"/>
    <w:rsid w:val="006C47AD"/>
    <w:rsid w:val="006C4C48"/>
    <w:rsid w:val="006C57D3"/>
    <w:rsid w:val="006C5AFE"/>
    <w:rsid w:val="006C5C89"/>
    <w:rsid w:val="006C5D09"/>
    <w:rsid w:val="006C5E8E"/>
    <w:rsid w:val="006C6E2F"/>
    <w:rsid w:val="006C6F1E"/>
    <w:rsid w:val="006C6F70"/>
    <w:rsid w:val="006C7002"/>
    <w:rsid w:val="006C7204"/>
    <w:rsid w:val="006D02D8"/>
    <w:rsid w:val="006D116E"/>
    <w:rsid w:val="006D13E0"/>
    <w:rsid w:val="006D156E"/>
    <w:rsid w:val="006D1D46"/>
    <w:rsid w:val="006D1E24"/>
    <w:rsid w:val="006D2400"/>
    <w:rsid w:val="006D327B"/>
    <w:rsid w:val="006D3574"/>
    <w:rsid w:val="006D3969"/>
    <w:rsid w:val="006D4602"/>
    <w:rsid w:val="006D5037"/>
    <w:rsid w:val="006D5674"/>
    <w:rsid w:val="006D56AF"/>
    <w:rsid w:val="006D5BBC"/>
    <w:rsid w:val="006D622F"/>
    <w:rsid w:val="006D6409"/>
    <w:rsid w:val="006D69DE"/>
    <w:rsid w:val="006D6E6B"/>
    <w:rsid w:val="006D73B0"/>
    <w:rsid w:val="006D7496"/>
    <w:rsid w:val="006D7919"/>
    <w:rsid w:val="006D7AAC"/>
    <w:rsid w:val="006E0B17"/>
    <w:rsid w:val="006E0FD6"/>
    <w:rsid w:val="006E11E5"/>
    <w:rsid w:val="006E1437"/>
    <w:rsid w:val="006E1A3A"/>
    <w:rsid w:val="006E3151"/>
    <w:rsid w:val="006E35F6"/>
    <w:rsid w:val="006E39D0"/>
    <w:rsid w:val="006E4231"/>
    <w:rsid w:val="006E4787"/>
    <w:rsid w:val="006E5681"/>
    <w:rsid w:val="006F0957"/>
    <w:rsid w:val="006F09FE"/>
    <w:rsid w:val="006F1832"/>
    <w:rsid w:val="006F1DFB"/>
    <w:rsid w:val="006F2060"/>
    <w:rsid w:val="006F21BF"/>
    <w:rsid w:val="006F2D2B"/>
    <w:rsid w:val="006F3C1A"/>
    <w:rsid w:val="006F4942"/>
    <w:rsid w:val="006F4B16"/>
    <w:rsid w:val="006F507A"/>
    <w:rsid w:val="006F619E"/>
    <w:rsid w:val="006F6B42"/>
    <w:rsid w:val="006F702F"/>
    <w:rsid w:val="006F7564"/>
    <w:rsid w:val="006F79E9"/>
    <w:rsid w:val="00700169"/>
    <w:rsid w:val="00700471"/>
    <w:rsid w:val="00700F2E"/>
    <w:rsid w:val="00700F76"/>
    <w:rsid w:val="00701DD8"/>
    <w:rsid w:val="00701E8C"/>
    <w:rsid w:val="007036E3"/>
    <w:rsid w:val="007037D7"/>
    <w:rsid w:val="007039CB"/>
    <w:rsid w:val="00703AAF"/>
    <w:rsid w:val="00703C81"/>
    <w:rsid w:val="00704F0D"/>
    <w:rsid w:val="007053A0"/>
    <w:rsid w:val="0070656F"/>
    <w:rsid w:val="00706DC8"/>
    <w:rsid w:val="007070D5"/>
    <w:rsid w:val="007079A2"/>
    <w:rsid w:val="00707F63"/>
    <w:rsid w:val="00710AA7"/>
    <w:rsid w:val="0071131C"/>
    <w:rsid w:val="007116E4"/>
    <w:rsid w:val="00711852"/>
    <w:rsid w:val="00711BF8"/>
    <w:rsid w:val="00711EDB"/>
    <w:rsid w:val="00712289"/>
    <w:rsid w:val="007126C4"/>
    <w:rsid w:val="00712874"/>
    <w:rsid w:val="00712E69"/>
    <w:rsid w:val="007130DB"/>
    <w:rsid w:val="0071423D"/>
    <w:rsid w:val="0071483D"/>
    <w:rsid w:val="00714CAB"/>
    <w:rsid w:val="00714DD9"/>
    <w:rsid w:val="00714DDF"/>
    <w:rsid w:val="00714E6B"/>
    <w:rsid w:val="00715446"/>
    <w:rsid w:val="00717115"/>
    <w:rsid w:val="0071725E"/>
    <w:rsid w:val="00717327"/>
    <w:rsid w:val="00717368"/>
    <w:rsid w:val="00720B27"/>
    <w:rsid w:val="007218C3"/>
    <w:rsid w:val="00721A65"/>
    <w:rsid w:val="00721B98"/>
    <w:rsid w:val="007239DF"/>
    <w:rsid w:val="007243F8"/>
    <w:rsid w:val="007248EE"/>
    <w:rsid w:val="00724B99"/>
    <w:rsid w:val="007253B3"/>
    <w:rsid w:val="00725517"/>
    <w:rsid w:val="00726047"/>
    <w:rsid w:val="00726360"/>
    <w:rsid w:val="00726A8E"/>
    <w:rsid w:val="00726B81"/>
    <w:rsid w:val="00727A67"/>
    <w:rsid w:val="007304D1"/>
    <w:rsid w:val="0073074D"/>
    <w:rsid w:val="0073130B"/>
    <w:rsid w:val="00731367"/>
    <w:rsid w:val="007316E6"/>
    <w:rsid w:val="007317C4"/>
    <w:rsid w:val="00731DD3"/>
    <w:rsid w:val="00732D8D"/>
    <w:rsid w:val="0073308A"/>
    <w:rsid w:val="007330AD"/>
    <w:rsid w:val="00733E26"/>
    <w:rsid w:val="00733FD9"/>
    <w:rsid w:val="007341CF"/>
    <w:rsid w:val="00734449"/>
    <w:rsid w:val="0073456F"/>
    <w:rsid w:val="00735592"/>
    <w:rsid w:val="007357AE"/>
    <w:rsid w:val="00735F58"/>
    <w:rsid w:val="007372E9"/>
    <w:rsid w:val="00737AF2"/>
    <w:rsid w:val="00737B10"/>
    <w:rsid w:val="00737B12"/>
    <w:rsid w:val="00737C7C"/>
    <w:rsid w:val="00740CD0"/>
    <w:rsid w:val="0074170E"/>
    <w:rsid w:val="0074249E"/>
    <w:rsid w:val="007428E9"/>
    <w:rsid w:val="00742918"/>
    <w:rsid w:val="007429F4"/>
    <w:rsid w:val="00742CAE"/>
    <w:rsid w:val="00742D59"/>
    <w:rsid w:val="007447CD"/>
    <w:rsid w:val="00745A3C"/>
    <w:rsid w:val="00746D2A"/>
    <w:rsid w:val="00746EE9"/>
    <w:rsid w:val="00746F91"/>
    <w:rsid w:val="00747726"/>
    <w:rsid w:val="00747AAD"/>
    <w:rsid w:val="00751168"/>
    <w:rsid w:val="00751A7D"/>
    <w:rsid w:val="00751AE2"/>
    <w:rsid w:val="00751D54"/>
    <w:rsid w:val="00753151"/>
    <w:rsid w:val="0075346D"/>
    <w:rsid w:val="00753505"/>
    <w:rsid w:val="00754055"/>
    <w:rsid w:val="007548C1"/>
    <w:rsid w:val="007548DD"/>
    <w:rsid w:val="0075561D"/>
    <w:rsid w:val="0075594E"/>
    <w:rsid w:val="00756479"/>
    <w:rsid w:val="0075742C"/>
    <w:rsid w:val="0076103F"/>
    <w:rsid w:val="0076137D"/>
    <w:rsid w:val="00761DB3"/>
    <w:rsid w:val="007620E6"/>
    <w:rsid w:val="00762145"/>
    <w:rsid w:val="00762204"/>
    <w:rsid w:val="00762324"/>
    <w:rsid w:val="0076266F"/>
    <w:rsid w:val="0076273A"/>
    <w:rsid w:val="00762E79"/>
    <w:rsid w:val="00763018"/>
    <w:rsid w:val="00763061"/>
    <w:rsid w:val="00763E09"/>
    <w:rsid w:val="007654DD"/>
    <w:rsid w:val="00766B60"/>
    <w:rsid w:val="007704BE"/>
    <w:rsid w:val="00771598"/>
    <w:rsid w:val="007716B6"/>
    <w:rsid w:val="007716CE"/>
    <w:rsid w:val="00771E19"/>
    <w:rsid w:val="00771F86"/>
    <w:rsid w:val="0077222C"/>
    <w:rsid w:val="007728A2"/>
    <w:rsid w:val="00772BAB"/>
    <w:rsid w:val="007730FF"/>
    <w:rsid w:val="007744AD"/>
    <w:rsid w:val="007748FD"/>
    <w:rsid w:val="00774C21"/>
    <w:rsid w:val="00774E02"/>
    <w:rsid w:val="00774F45"/>
    <w:rsid w:val="0077577A"/>
    <w:rsid w:val="00775ED7"/>
    <w:rsid w:val="007767BA"/>
    <w:rsid w:val="00776C8A"/>
    <w:rsid w:val="00777999"/>
    <w:rsid w:val="007813E0"/>
    <w:rsid w:val="0078157A"/>
    <w:rsid w:val="0078159B"/>
    <w:rsid w:val="0078188A"/>
    <w:rsid w:val="00782199"/>
    <w:rsid w:val="00782A5A"/>
    <w:rsid w:val="00782BC9"/>
    <w:rsid w:val="00782E0A"/>
    <w:rsid w:val="00782FEE"/>
    <w:rsid w:val="007836FE"/>
    <w:rsid w:val="00783D20"/>
    <w:rsid w:val="00784623"/>
    <w:rsid w:val="007849CE"/>
    <w:rsid w:val="00784D64"/>
    <w:rsid w:val="00785586"/>
    <w:rsid w:val="0078640D"/>
    <w:rsid w:val="00786760"/>
    <w:rsid w:val="00786C53"/>
    <w:rsid w:val="00786D24"/>
    <w:rsid w:val="00787315"/>
    <w:rsid w:val="00787496"/>
    <w:rsid w:val="007877D5"/>
    <w:rsid w:val="00790945"/>
    <w:rsid w:val="0079128D"/>
    <w:rsid w:val="00791944"/>
    <w:rsid w:val="00791CFD"/>
    <w:rsid w:val="007926B0"/>
    <w:rsid w:val="007929B4"/>
    <w:rsid w:val="00792B28"/>
    <w:rsid w:val="00793544"/>
    <w:rsid w:val="007937CE"/>
    <w:rsid w:val="00793F58"/>
    <w:rsid w:val="00794125"/>
    <w:rsid w:val="00794DD8"/>
    <w:rsid w:val="00794F9C"/>
    <w:rsid w:val="007955E9"/>
    <w:rsid w:val="007956A3"/>
    <w:rsid w:val="007964AC"/>
    <w:rsid w:val="00796D99"/>
    <w:rsid w:val="00796F70"/>
    <w:rsid w:val="00797AEB"/>
    <w:rsid w:val="007A0980"/>
    <w:rsid w:val="007A1A6B"/>
    <w:rsid w:val="007A1A9F"/>
    <w:rsid w:val="007A22E7"/>
    <w:rsid w:val="007A2B53"/>
    <w:rsid w:val="007A2E87"/>
    <w:rsid w:val="007A30FE"/>
    <w:rsid w:val="007A361F"/>
    <w:rsid w:val="007A3D60"/>
    <w:rsid w:val="007A40CB"/>
    <w:rsid w:val="007A423C"/>
    <w:rsid w:val="007A4AA7"/>
    <w:rsid w:val="007A4C08"/>
    <w:rsid w:val="007A515C"/>
    <w:rsid w:val="007A5619"/>
    <w:rsid w:val="007A5F97"/>
    <w:rsid w:val="007A66C1"/>
    <w:rsid w:val="007A6AE8"/>
    <w:rsid w:val="007A73F0"/>
    <w:rsid w:val="007A752B"/>
    <w:rsid w:val="007A75FE"/>
    <w:rsid w:val="007A7680"/>
    <w:rsid w:val="007A78A8"/>
    <w:rsid w:val="007A7CA2"/>
    <w:rsid w:val="007B03A8"/>
    <w:rsid w:val="007B0491"/>
    <w:rsid w:val="007B057B"/>
    <w:rsid w:val="007B08E4"/>
    <w:rsid w:val="007B12C7"/>
    <w:rsid w:val="007B281A"/>
    <w:rsid w:val="007B3149"/>
    <w:rsid w:val="007B4428"/>
    <w:rsid w:val="007B4F7B"/>
    <w:rsid w:val="007B5036"/>
    <w:rsid w:val="007B55E4"/>
    <w:rsid w:val="007B5FE9"/>
    <w:rsid w:val="007B6419"/>
    <w:rsid w:val="007B668B"/>
    <w:rsid w:val="007B6704"/>
    <w:rsid w:val="007B703A"/>
    <w:rsid w:val="007B7131"/>
    <w:rsid w:val="007B76B6"/>
    <w:rsid w:val="007B774F"/>
    <w:rsid w:val="007B794F"/>
    <w:rsid w:val="007C06CF"/>
    <w:rsid w:val="007C07A8"/>
    <w:rsid w:val="007C0FB0"/>
    <w:rsid w:val="007C1A04"/>
    <w:rsid w:val="007C28F2"/>
    <w:rsid w:val="007C2ECA"/>
    <w:rsid w:val="007C3369"/>
    <w:rsid w:val="007C33EB"/>
    <w:rsid w:val="007C3730"/>
    <w:rsid w:val="007C3A25"/>
    <w:rsid w:val="007C4C1C"/>
    <w:rsid w:val="007C53EB"/>
    <w:rsid w:val="007C5FF2"/>
    <w:rsid w:val="007C6615"/>
    <w:rsid w:val="007C6BC1"/>
    <w:rsid w:val="007C77E1"/>
    <w:rsid w:val="007C7AA4"/>
    <w:rsid w:val="007C7B42"/>
    <w:rsid w:val="007C7F1F"/>
    <w:rsid w:val="007D2318"/>
    <w:rsid w:val="007D3990"/>
    <w:rsid w:val="007D44E7"/>
    <w:rsid w:val="007D4675"/>
    <w:rsid w:val="007D4699"/>
    <w:rsid w:val="007D486D"/>
    <w:rsid w:val="007D4AF5"/>
    <w:rsid w:val="007D63CE"/>
    <w:rsid w:val="007D68AC"/>
    <w:rsid w:val="007D6E6C"/>
    <w:rsid w:val="007D772E"/>
    <w:rsid w:val="007D7998"/>
    <w:rsid w:val="007E035F"/>
    <w:rsid w:val="007E048A"/>
    <w:rsid w:val="007E0769"/>
    <w:rsid w:val="007E2090"/>
    <w:rsid w:val="007E3442"/>
    <w:rsid w:val="007E405A"/>
    <w:rsid w:val="007E436D"/>
    <w:rsid w:val="007E5D7E"/>
    <w:rsid w:val="007E605E"/>
    <w:rsid w:val="007E66CD"/>
    <w:rsid w:val="007E69FD"/>
    <w:rsid w:val="007E6A34"/>
    <w:rsid w:val="007E6A5E"/>
    <w:rsid w:val="007E6AAE"/>
    <w:rsid w:val="007E6B3B"/>
    <w:rsid w:val="007E6F1C"/>
    <w:rsid w:val="007E6F94"/>
    <w:rsid w:val="007E7E11"/>
    <w:rsid w:val="007E7EFF"/>
    <w:rsid w:val="007F169F"/>
    <w:rsid w:val="007F17BF"/>
    <w:rsid w:val="007F2ED1"/>
    <w:rsid w:val="007F306F"/>
    <w:rsid w:val="007F3749"/>
    <w:rsid w:val="007F3B61"/>
    <w:rsid w:val="007F4C5C"/>
    <w:rsid w:val="007F5586"/>
    <w:rsid w:val="007F640E"/>
    <w:rsid w:val="007F6996"/>
    <w:rsid w:val="007F6A87"/>
    <w:rsid w:val="007F716C"/>
    <w:rsid w:val="007F73EC"/>
    <w:rsid w:val="007F743D"/>
    <w:rsid w:val="007F7B71"/>
    <w:rsid w:val="007F7D6D"/>
    <w:rsid w:val="0080007B"/>
    <w:rsid w:val="00800580"/>
    <w:rsid w:val="00801297"/>
    <w:rsid w:val="00801428"/>
    <w:rsid w:val="0080142C"/>
    <w:rsid w:val="0080185D"/>
    <w:rsid w:val="00801C5A"/>
    <w:rsid w:val="0080277F"/>
    <w:rsid w:val="008027EB"/>
    <w:rsid w:val="00803C3A"/>
    <w:rsid w:val="008050E8"/>
    <w:rsid w:val="0080591C"/>
    <w:rsid w:val="0080594A"/>
    <w:rsid w:val="0080646B"/>
    <w:rsid w:val="00806C56"/>
    <w:rsid w:val="00810510"/>
    <w:rsid w:val="00810608"/>
    <w:rsid w:val="00810801"/>
    <w:rsid w:val="00810955"/>
    <w:rsid w:val="008109D1"/>
    <w:rsid w:val="00810C92"/>
    <w:rsid w:val="00810E84"/>
    <w:rsid w:val="008110F0"/>
    <w:rsid w:val="00811A1F"/>
    <w:rsid w:val="0081213D"/>
    <w:rsid w:val="00813CF2"/>
    <w:rsid w:val="00814511"/>
    <w:rsid w:val="0081454D"/>
    <w:rsid w:val="00814755"/>
    <w:rsid w:val="008148E5"/>
    <w:rsid w:val="00815918"/>
    <w:rsid w:val="008163A1"/>
    <w:rsid w:val="0081656B"/>
    <w:rsid w:val="00816614"/>
    <w:rsid w:val="00816620"/>
    <w:rsid w:val="008168C0"/>
    <w:rsid w:val="008169F3"/>
    <w:rsid w:val="00817BDE"/>
    <w:rsid w:val="00820148"/>
    <w:rsid w:val="00820E72"/>
    <w:rsid w:val="00821481"/>
    <w:rsid w:val="00821EFA"/>
    <w:rsid w:val="00822488"/>
    <w:rsid w:val="00822871"/>
    <w:rsid w:val="00822DBB"/>
    <w:rsid w:val="008236AA"/>
    <w:rsid w:val="00823984"/>
    <w:rsid w:val="008243B1"/>
    <w:rsid w:val="008246E5"/>
    <w:rsid w:val="00825B07"/>
    <w:rsid w:val="00825D97"/>
    <w:rsid w:val="00825F3F"/>
    <w:rsid w:val="00826329"/>
    <w:rsid w:val="0082673D"/>
    <w:rsid w:val="00826E87"/>
    <w:rsid w:val="0082715B"/>
    <w:rsid w:val="0082728A"/>
    <w:rsid w:val="00830060"/>
    <w:rsid w:val="00830214"/>
    <w:rsid w:val="008303ED"/>
    <w:rsid w:val="008306D0"/>
    <w:rsid w:val="00830845"/>
    <w:rsid w:val="00830B61"/>
    <w:rsid w:val="00830B76"/>
    <w:rsid w:val="00831031"/>
    <w:rsid w:val="00831288"/>
    <w:rsid w:val="008313C3"/>
    <w:rsid w:val="00831595"/>
    <w:rsid w:val="00831B01"/>
    <w:rsid w:val="00832224"/>
    <w:rsid w:val="00832520"/>
    <w:rsid w:val="00832641"/>
    <w:rsid w:val="00832745"/>
    <w:rsid w:val="00832964"/>
    <w:rsid w:val="0083296C"/>
    <w:rsid w:val="0083305E"/>
    <w:rsid w:val="00833B2E"/>
    <w:rsid w:val="0083474E"/>
    <w:rsid w:val="00834930"/>
    <w:rsid w:val="008349CD"/>
    <w:rsid w:val="00835C66"/>
    <w:rsid w:val="00836FD1"/>
    <w:rsid w:val="0083755E"/>
    <w:rsid w:val="0083766C"/>
    <w:rsid w:val="00837A05"/>
    <w:rsid w:val="00837ECC"/>
    <w:rsid w:val="008408A9"/>
    <w:rsid w:val="00840C95"/>
    <w:rsid w:val="00841661"/>
    <w:rsid w:val="00841EEA"/>
    <w:rsid w:val="0084207A"/>
    <w:rsid w:val="00842525"/>
    <w:rsid w:val="008439D4"/>
    <w:rsid w:val="00843D83"/>
    <w:rsid w:val="008440A0"/>
    <w:rsid w:val="00844F0F"/>
    <w:rsid w:val="0084525D"/>
    <w:rsid w:val="008459C0"/>
    <w:rsid w:val="00846062"/>
    <w:rsid w:val="008460E7"/>
    <w:rsid w:val="00846B6D"/>
    <w:rsid w:val="00846C37"/>
    <w:rsid w:val="0084705D"/>
    <w:rsid w:val="00851245"/>
    <w:rsid w:val="00852484"/>
    <w:rsid w:val="00852D1A"/>
    <w:rsid w:val="00852DCD"/>
    <w:rsid w:val="00854116"/>
    <w:rsid w:val="00854484"/>
    <w:rsid w:val="00854570"/>
    <w:rsid w:val="00855FA8"/>
    <w:rsid w:val="0085627C"/>
    <w:rsid w:val="00856C3D"/>
    <w:rsid w:val="0085754C"/>
    <w:rsid w:val="00857FA0"/>
    <w:rsid w:val="00860C7B"/>
    <w:rsid w:val="00861254"/>
    <w:rsid w:val="00861AB5"/>
    <w:rsid w:val="00862E86"/>
    <w:rsid w:val="00863013"/>
    <w:rsid w:val="00863311"/>
    <w:rsid w:val="0086485D"/>
    <w:rsid w:val="008651BA"/>
    <w:rsid w:val="008655E8"/>
    <w:rsid w:val="00865C97"/>
    <w:rsid w:val="00866970"/>
    <w:rsid w:val="00866FEA"/>
    <w:rsid w:val="008670CD"/>
    <w:rsid w:val="008670D9"/>
    <w:rsid w:val="0086730A"/>
    <w:rsid w:val="00867871"/>
    <w:rsid w:val="0087034C"/>
    <w:rsid w:val="008711C8"/>
    <w:rsid w:val="008715A0"/>
    <w:rsid w:val="008716EC"/>
    <w:rsid w:val="00871829"/>
    <w:rsid w:val="0087197C"/>
    <w:rsid w:val="00871DC0"/>
    <w:rsid w:val="008722E5"/>
    <w:rsid w:val="0087338B"/>
    <w:rsid w:val="0087378A"/>
    <w:rsid w:val="00873F72"/>
    <w:rsid w:val="0087431E"/>
    <w:rsid w:val="008746A5"/>
    <w:rsid w:val="00874CB6"/>
    <w:rsid w:val="008756E1"/>
    <w:rsid w:val="00875D54"/>
    <w:rsid w:val="00876386"/>
    <w:rsid w:val="00876DDA"/>
    <w:rsid w:val="00876F8D"/>
    <w:rsid w:val="008772D8"/>
    <w:rsid w:val="00877600"/>
    <w:rsid w:val="008778A2"/>
    <w:rsid w:val="00877A79"/>
    <w:rsid w:val="0088000D"/>
    <w:rsid w:val="0088030B"/>
    <w:rsid w:val="00880BE2"/>
    <w:rsid w:val="00880D14"/>
    <w:rsid w:val="00880DBE"/>
    <w:rsid w:val="00880DF4"/>
    <w:rsid w:val="00881A50"/>
    <w:rsid w:val="008822C4"/>
    <w:rsid w:val="00882B4B"/>
    <w:rsid w:val="00882CE8"/>
    <w:rsid w:val="00882E0F"/>
    <w:rsid w:val="00883063"/>
    <w:rsid w:val="00883231"/>
    <w:rsid w:val="008837BA"/>
    <w:rsid w:val="008837CC"/>
    <w:rsid w:val="008846AC"/>
    <w:rsid w:val="008849BF"/>
    <w:rsid w:val="00884C47"/>
    <w:rsid w:val="008850A5"/>
    <w:rsid w:val="008852EE"/>
    <w:rsid w:val="00885A7E"/>
    <w:rsid w:val="008863FE"/>
    <w:rsid w:val="008864D5"/>
    <w:rsid w:val="008872E4"/>
    <w:rsid w:val="00887360"/>
    <w:rsid w:val="00887F75"/>
    <w:rsid w:val="00890AEC"/>
    <w:rsid w:val="00890BCD"/>
    <w:rsid w:val="0089135F"/>
    <w:rsid w:val="00891401"/>
    <w:rsid w:val="00891437"/>
    <w:rsid w:val="008917CA"/>
    <w:rsid w:val="008920EB"/>
    <w:rsid w:val="00892A3C"/>
    <w:rsid w:val="00892DE4"/>
    <w:rsid w:val="00892F9F"/>
    <w:rsid w:val="0089331A"/>
    <w:rsid w:val="00893678"/>
    <w:rsid w:val="00893958"/>
    <w:rsid w:val="0089406F"/>
    <w:rsid w:val="00894ED7"/>
    <w:rsid w:val="00895997"/>
    <w:rsid w:val="00896885"/>
    <w:rsid w:val="00896917"/>
    <w:rsid w:val="0089728F"/>
    <w:rsid w:val="00897448"/>
    <w:rsid w:val="00897869"/>
    <w:rsid w:val="008A04E0"/>
    <w:rsid w:val="008A0730"/>
    <w:rsid w:val="008A08FD"/>
    <w:rsid w:val="008A0B86"/>
    <w:rsid w:val="008A0C69"/>
    <w:rsid w:val="008A1733"/>
    <w:rsid w:val="008A238B"/>
    <w:rsid w:val="008A2532"/>
    <w:rsid w:val="008A3AA8"/>
    <w:rsid w:val="008A43C7"/>
    <w:rsid w:val="008A4D62"/>
    <w:rsid w:val="008A50BB"/>
    <w:rsid w:val="008A514E"/>
    <w:rsid w:val="008A55AE"/>
    <w:rsid w:val="008A5B98"/>
    <w:rsid w:val="008A5C17"/>
    <w:rsid w:val="008A5D95"/>
    <w:rsid w:val="008A6055"/>
    <w:rsid w:val="008B08CE"/>
    <w:rsid w:val="008B0FBE"/>
    <w:rsid w:val="008B1F9C"/>
    <w:rsid w:val="008B21FD"/>
    <w:rsid w:val="008B2DCF"/>
    <w:rsid w:val="008B37D4"/>
    <w:rsid w:val="008B46DF"/>
    <w:rsid w:val="008B567A"/>
    <w:rsid w:val="008B5FB5"/>
    <w:rsid w:val="008B6145"/>
    <w:rsid w:val="008B6604"/>
    <w:rsid w:val="008B75E3"/>
    <w:rsid w:val="008B7FAC"/>
    <w:rsid w:val="008C04EB"/>
    <w:rsid w:val="008C0693"/>
    <w:rsid w:val="008C15B2"/>
    <w:rsid w:val="008C178B"/>
    <w:rsid w:val="008C1A0D"/>
    <w:rsid w:val="008C1CD1"/>
    <w:rsid w:val="008C2A4D"/>
    <w:rsid w:val="008C2D31"/>
    <w:rsid w:val="008C30E4"/>
    <w:rsid w:val="008C3374"/>
    <w:rsid w:val="008C3840"/>
    <w:rsid w:val="008C397C"/>
    <w:rsid w:val="008C4A99"/>
    <w:rsid w:val="008C5201"/>
    <w:rsid w:val="008C5C09"/>
    <w:rsid w:val="008C6BD4"/>
    <w:rsid w:val="008C78D6"/>
    <w:rsid w:val="008D03E0"/>
    <w:rsid w:val="008D0ECD"/>
    <w:rsid w:val="008D1660"/>
    <w:rsid w:val="008D1BD3"/>
    <w:rsid w:val="008D1E7F"/>
    <w:rsid w:val="008D207A"/>
    <w:rsid w:val="008D3721"/>
    <w:rsid w:val="008D3DBA"/>
    <w:rsid w:val="008D4BC8"/>
    <w:rsid w:val="008D50DF"/>
    <w:rsid w:val="008D559E"/>
    <w:rsid w:val="008D5D96"/>
    <w:rsid w:val="008D5F45"/>
    <w:rsid w:val="008D60AF"/>
    <w:rsid w:val="008D62FD"/>
    <w:rsid w:val="008D7253"/>
    <w:rsid w:val="008D72D6"/>
    <w:rsid w:val="008D76D2"/>
    <w:rsid w:val="008E0FBB"/>
    <w:rsid w:val="008E1E38"/>
    <w:rsid w:val="008E24E7"/>
    <w:rsid w:val="008E28B2"/>
    <w:rsid w:val="008E295D"/>
    <w:rsid w:val="008E2F41"/>
    <w:rsid w:val="008E36CD"/>
    <w:rsid w:val="008E3B39"/>
    <w:rsid w:val="008E3BE6"/>
    <w:rsid w:val="008E3C23"/>
    <w:rsid w:val="008E3C52"/>
    <w:rsid w:val="008E4C62"/>
    <w:rsid w:val="008E4C70"/>
    <w:rsid w:val="008E75BB"/>
    <w:rsid w:val="008F008E"/>
    <w:rsid w:val="008F0258"/>
    <w:rsid w:val="008F1536"/>
    <w:rsid w:val="008F1DD7"/>
    <w:rsid w:val="008F2012"/>
    <w:rsid w:val="008F280F"/>
    <w:rsid w:val="008F3A6F"/>
    <w:rsid w:val="008F4053"/>
    <w:rsid w:val="008F42BD"/>
    <w:rsid w:val="008F4E02"/>
    <w:rsid w:val="008F56EC"/>
    <w:rsid w:val="008F59D2"/>
    <w:rsid w:val="008F5B84"/>
    <w:rsid w:val="008F6923"/>
    <w:rsid w:val="008F764C"/>
    <w:rsid w:val="008F7A4C"/>
    <w:rsid w:val="00900307"/>
    <w:rsid w:val="0090060E"/>
    <w:rsid w:val="00900AA4"/>
    <w:rsid w:val="00900BB4"/>
    <w:rsid w:val="00901624"/>
    <w:rsid w:val="00902408"/>
    <w:rsid w:val="00902416"/>
    <w:rsid w:val="009028EC"/>
    <w:rsid w:val="00902A8D"/>
    <w:rsid w:val="00903E30"/>
    <w:rsid w:val="009043FB"/>
    <w:rsid w:val="00904FB7"/>
    <w:rsid w:val="00905047"/>
    <w:rsid w:val="00905370"/>
    <w:rsid w:val="009077FF"/>
    <w:rsid w:val="00911243"/>
    <w:rsid w:val="009119F3"/>
    <w:rsid w:val="00911BA0"/>
    <w:rsid w:val="0091256C"/>
    <w:rsid w:val="00912A61"/>
    <w:rsid w:val="009131B5"/>
    <w:rsid w:val="009134C1"/>
    <w:rsid w:val="00913CC3"/>
    <w:rsid w:val="0091450E"/>
    <w:rsid w:val="009147D7"/>
    <w:rsid w:val="00914C43"/>
    <w:rsid w:val="00915C69"/>
    <w:rsid w:val="00915F4C"/>
    <w:rsid w:val="00916D39"/>
    <w:rsid w:val="00916E62"/>
    <w:rsid w:val="00916EB1"/>
    <w:rsid w:val="009178BA"/>
    <w:rsid w:val="0092063D"/>
    <w:rsid w:val="00920694"/>
    <w:rsid w:val="0092084A"/>
    <w:rsid w:val="00920A1F"/>
    <w:rsid w:val="00920DA7"/>
    <w:rsid w:val="009212F1"/>
    <w:rsid w:val="00922123"/>
    <w:rsid w:val="00922839"/>
    <w:rsid w:val="009228AB"/>
    <w:rsid w:val="00924DB7"/>
    <w:rsid w:val="00925294"/>
    <w:rsid w:val="00925476"/>
    <w:rsid w:val="009254C0"/>
    <w:rsid w:val="009258A6"/>
    <w:rsid w:val="009259E1"/>
    <w:rsid w:val="00930428"/>
    <w:rsid w:val="0093067B"/>
    <w:rsid w:val="00931A4D"/>
    <w:rsid w:val="009320B5"/>
    <w:rsid w:val="00932888"/>
    <w:rsid w:val="00932EA5"/>
    <w:rsid w:val="00932FA6"/>
    <w:rsid w:val="0093381D"/>
    <w:rsid w:val="009357E8"/>
    <w:rsid w:val="00935B0D"/>
    <w:rsid w:val="00935C85"/>
    <w:rsid w:val="0093636A"/>
    <w:rsid w:val="00936891"/>
    <w:rsid w:val="00937277"/>
    <w:rsid w:val="009376BD"/>
    <w:rsid w:val="0094012D"/>
    <w:rsid w:val="009409E0"/>
    <w:rsid w:val="00940A6C"/>
    <w:rsid w:val="00940AC8"/>
    <w:rsid w:val="00941A73"/>
    <w:rsid w:val="00941BEC"/>
    <w:rsid w:val="00941D58"/>
    <w:rsid w:val="009424A5"/>
    <w:rsid w:val="009426FC"/>
    <w:rsid w:val="00942AF8"/>
    <w:rsid w:val="0094364F"/>
    <w:rsid w:val="00943F93"/>
    <w:rsid w:val="00945F08"/>
    <w:rsid w:val="00946CD7"/>
    <w:rsid w:val="009474A9"/>
    <w:rsid w:val="0094774A"/>
    <w:rsid w:val="00947873"/>
    <w:rsid w:val="00950754"/>
    <w:rsid w:val="00951239"/>
    <w:rsid w:val="0095183A"/>
    <w:rsid w:val="00951895"/>
    <w:rsid w:val="00952287"/>
    <w:rsid w:val="009522D8"/>
    <w:rsid w:val="00952503"/>
    <w:rsid w:val="00952672"/>
    <w:rsid w:val="00952C27"/>
    <w:rsid w:val="00953203"/>
    <w:rsid w:val="00953908"/>
    <w:rsid w:val="00953AD1"/>
    <w:rsid w:val="0095417B"/>
    <w:rsid w:val="009550D6"/>
    <w:rsid w:val="00955A18"/>
    <w:rsid w:val="00955BEB"/>
    <w:rsid w:val="009568B7"/>
    <w:rsid w:val="00956E33"/>
    <w:rsid w:val="009570D1"/>
    <w:rsid w:val="0095756B"/>
    <w:rsid w:val="00957742"/>
    <w:rsid w:val="00957DD8"/>
    <w:rsid w:val="00961112"/>
    <w:rsid w:val="009628F5"/>
    <w:rsid w:val="009629F7"/>
    <w:rsid w:val="00962E8E"/>
    <w:rsid w:val="009637D8"/>
    <w:rsid w:val="00963C0C"/>
    <w:rsid w:val="00963C93"/>
    <w:rsid w:val="00963ED1"/>
    <w:rsid w:val="00965740"/>
    <w:rsid w:val="00965DEC"/>
    <w:rsid w:val="0096627F"/>
    <w:rsid w:val="00966853"/>
    <w:rsid w:val="00966B34"/>
    <w:rsid w:val="00967172"/>
    <w:rsid w:val="00967586"/>
    <w:rsid w:val="0096794E"/>
    <w:rsid w:val="00967BD4"/>
    <w:rsid w:val="00970856"/>
    <w:rsid w:val="009710CB"/>
    <w:rsid w:val="009716BA"/>
    <w:rsid w:val="0097307C"/>
    <w:rsid w:val="009734F5"/>
    <w:rsid w:val="00973BC3"/>
    <w:rsid w:val="00973E9E"/>
    <w:rsid w:val="00973F4B"/>
    <w:rsid w:val="00974DDB"/>
    <w:rsid w:val="00974FE6"/>
    <w:rsid w:val="00975279"/>
    <w:rsid w:val="00975567"/>
    <w:rsid w:val="00975662"/>
    <w:rsid w:val="009759A4"/>
    <w:rsid w:val="009760C2"/>
    <w:rsid w:val="00976D44"/>
    <w:rsid w:val="00976EC2"/>
    <w:rsid w:val="00980BFB"/>
    <w:rsid w:val="00980F02"/>
    <w:rsid w:val="009827B7"/>
    <w:rsid w:val="00983604"/>
    <w:rsid w:val="00984B19"/>
    <w:rsid w:val="00984F6F"/>
    <w:rsid w:val="00985452"/>
    <w:rsid w:val="0098570A"/>
    <w:rsid w:val="009866CE"/>
    <w:rsid w:val="0098690A"/>
    <w:rsid w:val="00986B2F"/>
    <w:rsid w:val="009876B2"/>
    <w:rsid w:val="00990DCB"/>
    <w:rsid w:val="00991447"/>
    <w:rsid w:val="00991E4F"/>
    <w:rsid w:val="00993B25"/>
    <w:rsid w:val="00993D26"/>
    <w:rsid w:val="00993DC3"/>
    <w:rsid w:val="00993E05"/>
    <w:rsid w:val="00994596"/>
    <w:rsid w:val="0099463C"/>
    <w:rsid w:val="00994D79"/>
    <w:rsid w:val="00994FE8"/>
    <w:rsid w:val="009964CA"/>
    <w:rsid w:val="00997B38"/>
    <w:rsid w:val="009A01B4"/>
    <w:rsid w:val="009A0DAC"/>
    <w:rsid w:val="009A184D"/>
    <w:rsid w:val="009A194D"/>
    <w:rsid w:val="009A21B9"/>
    <w:rsid w:val="009A2232"/>
    <w:rsid w:val="009A28A0"/>
    <w:rsid w:val="009A2C0D"/>
    <w:rsid w:val="009A2F08"/>
    <w:rsid w:val="009A31B0"/>
    <w:rsid w:val="009A3BE1"/>
    <w:rsid w:val="009A4E84"/>
    <w:rsid w:val="009A5463"/>
    <w:rsid w:val="009A5561"/>
    <w:rsid w:val="009A5774"/>
    <w:rsid w:val="009A57ED"/>
    <w:rsid w:val="009A5DB0"/>
    <w:rsid w:val="009A61D3"/>
    <w:rsid w:val="009A7438"/>
    <w:rsid w:val="009A7600"/>
    <w:rsid w:val="009A7717"/>
    <w:rsid w:val="009B19DA"/>
    <w:rsid w:val="009B1E34"/>
    <w:rsid w:val="009B21F8"/>
    <w:rsid w:val="009B33ED"/>
    <w:rsid w:val="009B3539"/>
    <w:rsid w:val="009B3BB2"/>
    <w:rsid w:val="009B3BEF"/>
    <w:rsid w:val="009B3E7B"/>
    <w:rsid w:val="009B4189"/>
    <w:rsid w:val="009B48A2"/>
    <w:rsid w:val="009B500B"/>
    <w:rsid w:val="009B5B5E"/>
    <w:rsid w:val="009B6137"/>
    <w:rsid w:val="009B622B"/>
    <w:rsid w:val="009B6748"/>
    <w:rsid w:val="009B70A3"/>
    <w:rsid w:val="009C0879"/>
    <w:rsid w:val="009C0BC2"/>
    <w:rsid w:val="009C1032"/>
    <w:rsid w:val="009C1319"/>
    <w:rsid w:val="009C1ED7"/>
    <w:rsid w:val="009C1FF9"/>
    <w:rsid w:val="009C2EF2"/>
    <w:rsid w:val="009C3727"/>
    <w:rsid w:val="009C37E7"/>
    <w:rsid w:val="009C436E"/>
    <w:rsid w:val="009C49CE"/>
    <w:rsid w:val="009C5CD6"/>
    <w:rsid w:val="009C6875"/>
    <w:rsid w:val="009C6BFE"/>
    <w:rsid w:val="009C73A7"/>
    <w:rsid w:val="009C7747"/>
    <w:rsid w:val="009C7784"/>
    <w:rsid w:val="009D018F"/>
    <w:rsid w:val="009D0979"/>
    <w:rsid w:val="009D17B6"/>
    <w:rsid w:val="009D18A5"/>
    <w:rsid w:val="009D1CC4"/>
    <w:rsid w:val="009D289C"/>
    <w:rsid w:val="009D28DB"/>
    <w:rsid w:val="009D2B2D"/>
    <w:rsid w:val="009D2C35"/>
    <w:rsid w:val="009D3253"/>
    <w:rsid w:val="009D4439"/>
    <w:rsid w:val="009D44F1"/>
    <w:rsid w:val="009D4902"/>
    <w:rsid w:val="009D4A1E"/>
    <w:rsid w:val="009D4A4C"/>
    <w:rsid w:val="009D4D5B"/>
    <w:rsid w:val="009D4D93"/>
    <w:rsid w:val="009D4FBB"/>
    <w:rsid w:val="009D514D"/>
    <w:rsid w:val="009D545F"/>
    <w:rsid w:val="009D551E"/>
    <w:rsid w:val="009D58EA"/>
    <w:rsid w:val="009D5F82"/>
    <w:rsid w:val="009D5FDA"/>
    <w:rsid w:val="009D6B7D"/>
    <w:rsid w:val="009D6F66"/>
    <w:rsid w:val="009D71F5"/>
    <w:rsid w:val="009D7270"/>
    <w:rsid w:val="009D7567"/>
    <w:rsid w:val="009D7598"/>
    <w:rsid w:val="009D7814"/>
    <w:rsid w:val="009D79C1"/>
    <w:rsid w:val="009E0145"/>
    <w:rsid w:val="009E0213"/>
    <w:rsid w:val="009E048D"/>
    <w:rsid w:val="009E1B05"/>
    <w:rsid w:val="009E1CDF"/>
    <w:rsid w:val="009E2016"/>
    <w:rsid w:val="009E2028"/>
    <w:rsid w:val="009E2236"/>
    <w:rsid w:val="009E25E2"/>
    <w:rsid w:val="009E2747"/>
    <w:rsid w:val="009E274F"/>
    <w:rsid w:val="009E2A58"/>
    <w:rsid w:val="009E38A2"/>
    <w:rsid w:val="009E3BA7"/>
    <w:rsid w:val="009E47D1"/>
    <w:rsid w:val="009E4AC9"/>
    <w:rsid w:val="009E4AE4"/>
    <w:rsid w:val="009E4F54"/>
    <w:rsid w:val="009E5268"/>
    <w:rsid w:val="009E5D12"/>
    <w:rsid w:val="009E67A4"/>
    <w:rsid w:val="009E6ABB"/>
    <w:rsid w:val="009E6B4E"/>
    <w:rsid w:val="009E7330"/>
    <w:rsid w:val="009E74A3"/>
    <w:rsid w:val="009E7604"/>
    <w:rsid w:val="009E7669"/>
    <w:rsid w:val="009F0300"/>
    <w:rsid w:val="009F0DDF"/>
    <w:rsid w:val="009F0E2B"/>
    <w:rsid w:val="009F10AB"/>
    <w:rsid w:val="009F138C"/>
    <w:rsid w:val="009F1943"/>
    <w:rsid w:val="009F2D99"/>
    <w:rsid w:val="009F2DF8"/>
    <w:rsid w:val="009F34D1"/>
    <w:rsid w:val="009F34E3"/>
    <w:rsid w:val="009F3839"/>
    <w:rsid w:val="009F60E9"/>
    <w:rsid w:val="009F736C"/>
    <w:rsid w:val="009F772E"/>
    <w:rsid w:val="009F79E0"/>
    <w:rsid w:val="009F7F8B"/>
    <w:rsid w:val="00A00023"/>
    <w:rsid w:val="00A0010B"/>
    <w:rsid w:val="00A00ABB"/>
    <w:rsid w:val="00A00D80"/>
    <w:rsid w:val="00A01D2E"/>
    <w:rsid w:val="00A02250"/>
    <w:rsid w:val="00A03872"/>
    <w:rsid w:val="00A03EAC"/>
    <w:rsid w:val="00A04CEE"/>
    <w:rsid w:val="00A053B3"/>
    <w:rsid w:val="00A05563"/>
    <w:rsid w:val="00A05C83"/>
    <w:rsid w:val="00A06708"/>
    <w:rsid w:val="00A070AA"/>
    <w:rsid w:val="00A075FE"/>
    <w:rsid w:val="00A0760D"/>
    <w:rsid w:val="00A0773D"/>
    <w:rsid w:val="00A079E6"/>
    <w:rsid w:val="00A07A6F"/>
    <w:rsid w:val="00A102D6"/>
    <w:rsid w:val="00A10930"/>
    <w:rsid w:val="00A11329"/>
    <w:rsid w:val="00A11995"/>
    <w:rsid w:val="00A13329"/>
    <w:rsid w:val="00A13D4C"/>
    <w:rsid w:val="00A14013"/>
    <w:rsid w:val="00A146D0"/>
    <w:rsid w:val="00A149D4"/>
    <w:rsid w:val="00A149DF"/>
    <w:rsid w:val="00A15649"/>
    <w:rsid w:val="00A17508"/>
    <w:rsid w:val="00A21041"/>
    <w:rsid w:val="00A21157"/>
    <w:rsid w:val="00A21A5A"/>
    <w:rsid w:val="00A2219C"/>
    <w:rsid w:val="00A22F62"/>
    <w:rsid w:val="00A232FA"/>
    <w:rsid w:val="00A23520"/>
    <w:rsid w:val="00A23BF6"/>
    <w:rsid w:val="00A240BB"/>
    <w:rsid w:val="00A243BE"/>
    <w:rsid w:val="00A2458B"/>
    <w:rsid w:val="00A24819"/>
    <w:rsid w:val="00A24B66"/>
    <w:rsid w:val="00A24ED4"/>
    <w:rsid w:val="00A24FA3"/>
    <w:rsid w:val="00A25549"/>
    <w:rsid w:val="00A255B2"/>
    <w:rsid w:val="00A263B9"/>
    <w:rsid w:val="00A2705E"/>
    <w:rsid w:val="00A278F8"/>
    <w:rsid w:val="00A27E32"/>
    <w:rsid w:val="00A30314"/>
    <w:rsid w:val="00A303C3"/>
    <w:rsid w:val="00A30FAC"/>
    <w:rsid w:val="00A31470"/>
    <w:rsid w:val="00A3195D"/>
    <w:rsid w:val="00A31A36"/>
    <w:rsid w:val="00A31A42"/>
    <w:rsid w:val="00A32046"/>
    <w:rsid w:val="00A32964"/>
    <w:rsid w:val="00A32C55"/>
    <w:rsid w:val="00A339BF"/>
    <w:rsid w:val="00A33C2A"/>
    <w:rsid w:val="00A33DFC"/>
    <w:rsid w:val="00A34216"/>
    <w:rsid w:val="00A34BA0"/>
    <w:rsid w:val="00A34BCA"/>
    <w:rsid w:val="00A35249"/>
    <w:rsid w:val="00A35361"/>
    <w:rsid w:val="00A357B3"/>
    <w:rsid w:val="00A359E4"/>
    <w:rsid w:val="00A35F89"/>
    <w:rsid w:val="00A362DB"/>
    <w:rsid w:val="00A3653A"/>
    <w:rsid w:val="00A365EF"/>
    <w:rsid w:val="00A36C2A"/>
    <w:rsid w:val="00A374BE"/>
    <w:rsid w:val="00A379FA"/>
    <w:rsid w:val="00A4149B"/>
    <w:rsid w:val="00A41A9B"/>
    <w:rsid w:val="00A41EDA"/>
    <w:rsid w:val="00A4348B"/>
    <w:rsid w:val="00A43B1A"/>
    <w:rsid w:val="00A43D4F"/>
    <w:rsid w:val="00A43F00"/>
    <w:rsid w:val="00A44337"/>
    <w:rsid w:val="00A44BCB"/>
    <w:rsid w:val="00A45888"/>
    <w:rsid w:val="00A45C2A"/>
    <w:rsid w:val="00A45D78"/>
    <w:rsid w:val="00A45E3E"/>
    <w:rsid w:val="00A45F38"/>
    <w:rsid w:val="00A4623D"/>
    <w:rsid w:val="00A46D5F"/>
    <w:rsid w:val="00A470B5"/>
    <w:rsid w:val="00A47DF5"/>
    <w:rsid w:val="00A503B2"/>
    <w:rsid w:val="00A507F4"/>
    <w:rsid w:val="00A50855"/>
    <w:rsid w:val="00A50EB0"/>
    <w:rsid w:val="00A514F3"/>
    <w:rsid w:val="00A518CF"/>
    <w:rsid w:val="00A526BC"/>
    <w:rsid w:val="00A53902"/>
    <w:rsid w:val="00A542F3"/>
    <w:rsid w:val="00A54BCC"/>
    <w:rsid w:val="00A5579C"/>
    <w:rsid w:val="00A557D2"/>
    <w:rsid w:val="00A55922"/>
    <w:rsid w:val="00A55A48"/>
    <w:rsid w:val="00A56480"/>
    <w:rsid w:val="00A60E07"/>
    <w:rsid w:val="00A613AC"/>
    <w:rsid w:val="00A61A73"/>
    <w:rsid w:val="00A61CA4"/>
    <w:rsid w:val="00A61FEE"/>
    <w:rsid w:val="00A63249"/>
    <w:rsid w:val="00A6371D"/>
    <w:rsid w:val="00A639EF"/>
    <w:rsid w:val="00A63EDC"/>
    <w:rsid w:val="00A6487C"/>
    <w:rsid w:val="00A64C11"/>
    <w:rsid w:val="00A65011"/>
    <w:rsid w:val="00A6565C"/>
    <w:rsid w:val="00A65AF3"/>
    <w:rsid w:val="00A65E18"/>
    <w:rsid w:val="00A66D64"/>
    <w:rsid w:val="00A66FA9"/>
    <w:rsid w:val="00A678F7"/>
    <w:rsid w:val="00A70DC6"/>
    <w:rsid w:val="00A71561"/>
    <w:rsid w:val="00A71FEA"/>
    <w:rsid w:val="00A7201A"/>
    <w:rsid w:val="00A720B3"/>
    <w:rsid w:val="00A736E6"/>
    <w:rsid w:val="00A73B0D"/>
    <w:rsid w:val="00A73B72"/>
    <w:rsid w:val="00A73F79"/>
    <w:rsid w:val="00A7445A"/>
    <w:rsid w:val="00A74866"/>
    <w:rsid w:val="00A748C4"/>
    <w:rsid w:val="00A74ADB"/>
    <w:rsid w:val="00A74FFA"/>
    <w:rsid w:val="00A75FC2"/>
    <w:rsid w:val="00A76852"/>
    <w:rsid w:val="00A774CC"/>
    <w:rsid w:val="00A77A03"/>
    <w:rsid w:val="00A77E62"/>
    <w:rsid w:val="00A81304"/>
    <w:rsid w:val="00A81E49"/>
    <w:rsid w:val="00A827C8"/>
    <w:rsid w:val="00A82C1C"/>
    <w:rsid w:val="00A83A7C"/>
    <w:rsid w:val="00A83E95"/>
    <w:rsid w:val="00A84359"/>
    <w:rsid w:val="00A845E0"/>
    <w:rsid w:val="00A848D2"/>
    <w:rsid w:val="00A84B9D"/>
    <w:rsid w:val="00A85160"/>
    <w:rsid w:val="00A8604B"/>
    <w:rsid w:val="00A86074"/>
    <w:rsid w:val="00A86199"/>
    <w:rsid w:val="00A8662E"/>
    <w:rsid w:val="00A86B2C"/>
    <w:rsid w:val="00A86BF4"/>
    <w:rsid w:val="00A87257"/>
    <w:rsid w:val="00A87726"/>
    <w:rsid w:val="00A87975"/>
    <w:rsid w:val="00A87C26"/>
    <w:rsid w:val="00A90543"/>
    <w:rsid w:val="00A90B09"/>
    <w:rsid w:val="00A90C56"/>
    <w:rsid w:val="00A91308"/>
    <w:rsid w:val="00A91548"/>
    <w:rsid w:val="00A9159C"/>
    <w:rsid w:val="00A91F8D"/>
    <w:rsid w:val="00A925C1"/>
    <w:rsid w:val="00A929F0"/>
    <w:rsid w:val="00A931DC"/>
    <w:rsid w:val="00A94643"/>
    <w:rsid w:val="00A9478D"/>
    <w:rsid w:val="00A9500B"/>
    <w:rsid w:val="00A953F9"/>
    <w:rsid w:val="00A95CA7"/>
    <w:rsid w:val="00A95DE6"/>
    <w:rsid w:val="00A960E3"/>
    <w:rsid w:val="00A9657C"/>
    <w:rsid w:val="00A96B77"/>
    <w:rsid w:val="00A97A92"/>
    <w:rsid w:val="00AA0DE9"/>
    <w:rsid w:val="00AA11A7"/>
    <w:rsid w:val="00AA1554"/>
    <w:rsid w:val="00AA25C2"/>
    <w:rsid w:val="00AA2B2C"/>
    <w:rsid w:val="00AA2CE7"/>
    <w:rsid w:val="00AA33A3"/>
    <w:rsid w:val="00AA37AD"/>
    <w:rsid w:val="00AA40AD"/>
    <w:rsid w:val="00AA4D09"/>
    <w:rsid w:val="00AA5754"/>
    <w:rsid w:val="00AA5C67"/>
    <w:rsid w:val="00AA6367"/>
    <w:rsid w:val="00AA6424"/>
    <w:rsid w:val="00AA6441"/>
    <w:rsid w:val="00AA7105"/>
    <w:rsid w:val="00AA74A7"/>
    <w:rsid w:val="00AA7660"/>
    <w:rsid w:val="00AB0CA9"/>
    <w:rsid w:val="00AB2228"/>
    <w:rsid w:val="00AB25A5"/>
    <w:rsid w:val="00AB2E1B"/>
    <w:rsid w:val="00AB3F88"/>
    <w:rsid w:val="00AB40AA"/>
    <w:rsid w:val="00AB5CE3"/>
    <w:rsid w:val="00AB621F"/>
    <w:rsid w:val="00AB693A"/>
    <w:rsid w:val="00AB720C"/>
    <w:rsid w:val="00AB7B5E"/>
    <w:rsid w:val="00AB7D66"/>
    <w:rsid w:val="00AB7E13"/>
    <w:rsid w:val="00AC001A"/>
    <w:rsid w:val="00AC0238"/>
    <w:rsid w:val="00AC0365"/>
    <w:rsid w:val="00AC067C"/>
    <w:rsid w:val="00AC0C35"/>
    <w:rsid w:val="00AC1521"/>
    <w:rsid w:val="00AC1A24"/>
    <w:rsid w:val="00AC2066"/>
    <w:rsid w:val="00AC2D8D"/>
    <w:rsid w:val="00AC3371"/>
    <w:rsid w:val="00AC389D"/>
    <w:rsid w:val="00AC464C"/>
    <w:rsid w:val="00AC50FF"/>
    <w:rsid w:val="00AC57B4"/>
    <w:rsid w:val="00AC57FF"/>
    <w:rsid w:val="00AC63D3"/>
    <w:rsid w:val="00AC65A6"/>
    <w:rsid w:val="00AC66CF"/>
    <w:rsid w:val="00AC67A9"/>
    <w:rsid w:val="00AC7762"/>
    <w:rsid w:val="00AD194F"/>
    <w:rsid w:val="00AD1D93"/>
    <w:rsid w:val="00AD2E84"/>
    <w:rsid w:val="00AD392E"/>
    <w:rsid w:val="00AD3DD5"/>
    <w:rsid w:val="00AD4488"/>
    <w:rsid w:val="00AD464B"/>
    <w:rsid w:val="00AD48AA"/>
    <w:rsid w:val="00AD5AA7"/>
    <w:rsid w:val="00AD6632"/>
    <w:rsid w:val="00AD67FC"/>
    <w:rsid w:val="00AD7D70"/>
    <w:rsid w:val="00AD7F36"/>
    <w:rsid w:val="00AE2732"/>
    <w:rsid w:val="00AE2BCB"/>
    <w:rsid w:val="00AE2E85"/>
    <w:rsid w:val="00AE3BCA"/>
    <w:rsid w:val="00AE3FFF"/>
    <w:rsid w:val="00AE40B4"/>
    <w:rsid w:val="00AE48A3"/>
    <w:rsid w:val="00AE6C99"/>
    <w:rsid w:val="00AE7EFF"/>
    <w:rsid w:val="00AF172F"/>
    <w:rsid w:val="00AF1B73"/>
    <w:rsid w:val="00AF1CBA"/>
    <w:rsid w:val="00AF1EA7"/>
    <w:rsid w:val="00AF299A"/>
    <w:rsid w:val="00AF2AD7"/>
    <w:rsid w:val="00AF2D1B"/>
    <w:rsid w:val="00AF3247"/>
    <w:rsid w:val="00AF32F2"/>
    <w:rsid w:val="00AF3AE8"/>
    <w:rsid w:val="00AF3F35"/>
    <w:rsid w:val="00AF4D0B"/>
    <w:rsid w:val="00AF5A4E"/>
    <w:rsid w:val="00AF605A"/>
    <w:rsid w:val="00AF622A"/>
    <w:rsid w:val="00AF6B15"/>
    <w:rsid w:val="00AF73D5"/>
    <w:rsid w:val="00AF7A63"/>
    <w:rsid w:val="00B00D84"/>
    <w:rsid w:val="00B01344"/>
    <w:rsid w:val="00B01AD4"/>
    <w:rsid w:val="00B020C4"/>
    <w:rsid w:val="00B02D9E"/>
    <w:rsid w:val="00B032A1"/>
    <w:rsid w:val="00B03563"/>
    <w:rsid w:val="00B05206"/>
    <w:rsid w:val="00B06AC2"/>
    <w:rsid w:val="00B06B80"/>
    <w:rsid w:val="00B06CDD"/>
    <w:rsid w:val="00B0752B"/>
    <w:rsid w:val="00B07A65"/>
    <w:rsid w:val="00B104A4"/>
    <w:rsid w:val="00B11587"/>
    <w:rsid w:val="00B1308F"/>
    <w:rsid w:val="00B13203"/>
    <w:rsid w:val="00B13839"/>
    <w:rsid w:val="00B13CB7"/>
    <w:rsid w:val="00B15B5B"/>
    <w:rsid w:val="00B15B85"/>
    <w:rsid w:val="00B15DD6"/>
    <w:rsid w:val="00B1654D"/>
    <w:rsid w:val="00B16688"/>
    <w:rsid w:val="00B17258"/>
    <w:rsid w:val="00B17EC8"/>
    <w:rsid w:val="00B205A6"/>
    <w:rsid w:val="00B20E23"/>
    <w:rsid w:val="00B210E5"/>
    <w:rsid w:val="00B21638"/>
    <w:rsid w:val="00B216B9"/>
    <w:rsid w:val="00B21B30"/>
    <w:rsid w:val="00B21C42"/>
    <w:rsid w:val="00B22342"/>
    <w:rsid w:val="00B223A7"/>
    <w:rsid w:val="00B22903"/>
    <w:rsid w:val="00B22A93"/>
    <w:rsid w:val="00B23364"/>
    <w:rsid w:val="00B234BB"/>
    <w:rsid w:val="00B2362D"/>
    <w:rsid w:val="00B239E4"/>
    <w:rsid w:val="00B23EA6"/>
    <w:rsid w:val="00B245C6"/>
    <w:rsid w:val="00B247B5"/>
    <w:rsid w:val="00B24886"/>
    <w:rsid w:val="00B249FB"/>
    <w:rsid w:val="00B25789"/>
    <w:rsid w:val="00B25905"/>
    <w:rsid w:val="00B25C2E"/>
    <w:rsid w:val="00B25F1B"/>
    <w:rsid w:val="00B26249"/>
    <w:rsid w:val="00B27572"/>
    <w:rsid w:val="00B2780A"/>
    <w:rsid w:val="00B27C16"/>
    <w:rsid w:val="00B304FD"/>
    <w:rsid w:val="00B30780"/>
    <w:rsid w:val="00B309B9"/>
    <w:rsid w:val="00B311C7"/>
    <w:rsid w:val="00B3122D"/>
    <w:rsid w:val="00B31338"/>
    <w:rsid w:val="00B31E92"/>
    <w:rsid w:val="00B324FD"/>
    <w:rsid w:val="00B3309E"/>
    <w:rsid w:val="00B33D03"/>
    <w:rsid w:val="00B33EC8"/>
    <w:rsid w:val="00B3411C"/>
    <w:rsid w:val="00B342EB"/>
    <w:rsid w:val="00B3566B"/>
    <w:rsid w:val="00B357A5"/>
    <w:rsid w:val="00B36298"/>
    <w:rsid w:val="00B3659D"/>
    <w:rsid w:val="00B36799"/>
    <w:rsid w:val="00B36CB4"/>
    <w:rsid w:val="00B377DC"/>
    <w:rsid w:val="00B37948"/>
    <w:rsid w:val="00B37DFA"/>
    <w:rsid w:val="00B4051F"/>
    <w:rsid w:val="00B405CE"/>
    <w:rsid w:val="00B40677"/>
    <w:rsid w:val="00B41BF5"/>
    <w:rsid w:val="00B4201F"/>
    <w:rsid w:val="00B42692"/>
    <w:rsid w:val="00B42ED3"/>
    <w:rsid w:val="00B42FC2"/>
    <w:rsid w:val="00B4347F"/>
    <w:rsid w:val="00B441FF"/>
    <w:rsid w:val="00B458E7"/>
    <w:rsid w:val="00B4723C"/>
    <w:rsid w:val="00B47589"/>
    <w:rsid w:val="00B4759B"/>
    <w:rsid w:val="00B50A4F"/>
    <w:rsid w:val="00B50D04"/>
    <w:rsid w:val="00B511F2"/>
    <w:rsid w:val="00B51843"/>
    <w:rsid w:val="00B52212"/>
    <w:rsid w:val="00B5287E"/>
    <w:rsid w:val="00B53BF8"/>
    <w:rsid w:val="00B53FB6"/>
    <w:rsid w:val="00B5480D"/>
    <w:rsid w:val="00B54BA5"/>
    <w:rsid w:val="00B54F01"/>
    <w:rsid w:val="00B553D5"/>
    <w:rsid w:val="00B5572D"/>
    <w:rsid w:val="00B558D9"/>
    <w:rsid w:val="00B558FC"/>
    <w:rsid w:val="00B55B81"/>
    <w:rsid w:val="00B55BE7"/>
    <w:rsid w:val="00B56607"/>
    <w:rsid w:val="00B56D44"/>
    <w:rsid w:val="00B56DCB"/>
    <w:rsid w:val="00B57FC2"/>
    <w:rsid w:val="00B606C1"/>
    <w:rsid w:val="00B607F1"/>
    <w:rsid w:val="00B612AF"/>
    <w:rsid w:val="00B614B8"/>
    <w:rsid w:val="00B628D9"/>
    <w:rsid w:val="00B629AE"/>
    <w:rsid w:val="00B6435C"/>
    <w:rsid w:val="00B6511B"/>
    <w:rsid w:val="00B6530E"/>
    <w:rsid w:val="00B65973"/>
    <w:rsid w:val="00B65A77"/>
    <w:rsid w:val="00B65D23"/>
    <w:rsid w:val="00B66093"/>
    <w:rsid w:val="00B66259"/>
    <w:rsid w:val="00B6639E"/>
    <w:rsid w:val="00B668A7"/>
    <w:rsid w:val="00B66A38"/>
    <w:rsid w:val="00B67699"/>
    <w:rsid w:val="00B67744"/>
    <w:rsid w:val="00B70F37"/>
    <w:rsid w:val="00B710D8"/>
    <w:rsid w:val="00B71840"/>
    <w:rsid w:val="00B71D6D"/>
    <w:rsid w:val="00B7359E"/>
    <w:rsid w:val="00B735E3"/>
    <w:rsid w:val="00B73916"/>
    <w:rsid w:val="00B7395C"/>
    <w:rsid w:val="00B74827"/>
    <w:rsid w:val="00B74869"/>
    <w:rsid w:val="00B74901"/>
    <w:rsid w:val="00B74D98"/>
    <w:rsid w:val="00B75630"/>
    <w:rsid w:val="00B75FED"/>
    <w:rsid w:val="00B76BFC"/>
    <w:rsid w:val="00B76F0B"/>
    <w:rsid w:val="00B77339"/>
    <w:rsid w:val="00B77AEA"/>
    <w:rsid w:val="00B77B6E"/>
    <w:rsid w:val="00B77F15"/>
    <w:rsid w:val="00B81905"/>
    <w:rsid w:val="00B81BD4"/>
    <w:rsid w:val="00B82329"/>
    <w:rsid w:val="00B830D4"/>
    <w:rsid w:val="00B8314E"/>
    <w:rsid w:val="00B83AE4"/>
    <w:rsid w:val="00B83C6E"/>
    <w:rsid w:val="00B8549C"/>
    <w:rsid w:val="00B85570"/>
    <w:rsid w:val="00B8594B"/>
    <w:rsid w:val="00B85BB5"/>
    <w:rsid w:val="00B86232"/>
    <w:rsid w:val="00B87253"/>
    <w:rsid w:val="00B87DBC"/>
    <w:rsid w:val="00B87DDA"/>
    <w:rsid w:val="00B915A3"/>
    <w:rsid w:val="00B916DF"/>
    <w:rsid w:val="00B918AD"/>
    <w:rsid w:val="00B91D27"/>
    <w:rsid w:val="00B9213E"/>
    <w:rsid w:val="00B92BAF"/>
    <w:rsid w:val="00B93175"/>
    <w:rsid w:val="00B935A0"/>
    <w:rsid w:val="00B93B19"/>
    <w:rsid w:val="00B93E48"/>
    <w:rsid w:val="00B93FC6"/>
    <w:rsid w:val="00B9448A"/>
    <w:rsid w:val="00B955E4"/>
    <w:rsid w:val="00B959E5"/>
    <w:rsid w:val="00B961E1"/>
    <w:rsid w:val="00B963F9"/>
    <w:rsid w:val="00B968CC"/>
    <w:rsid w:val="00BA0B0F"/>
    <w:rsid w:val="00BA0E34"/>
    <w:rsid w:val="00BA0E71"/>
    <w:rsid w:val="00BA151C"/>
    <w:rsid w:val="00BA1C6B"/>
    <w:rsid w:val="00BA1D33"/>
    <w:rsid w:val="00BA2932"/>
    <w:rsid w:val="00BA2C08"/>
    <w:rsid w:val="00BA3B57"/>
    <w:rsid w:val="00BA3E93"/>
    <w:rsid w:val="00BA4702"/>
    <w:rsid w:val="00BA473A"/>
    <w:rsid w:val="00BA4C83"/>
    <w:rsid w:val="00BA560E"/>
    <w:rsid w:val="00BA5662"/>
    <w:rsid w:val="00BA56B9"/>
    <w:rsid w:val="00BA5752"/>
    <w:rsid w:val="00BA5FD4"/>
    <w:rsid w:val="00BA6128"/>
    <w:rsid w:val="00BA7DD0"/>
    <w:rsid w:val="00BB01AF"/>
    <w:rsid w:val="00BB041A"/>
    <w:rsid w:val="00BB0B22"/>
    <w:rsid w:val="00BB0D6F"/>
    <w:rsid w:val="00BB1691"/>
    <w:rsid w:val="00BB1873"/>
    <w:rsid w:val="00BB2885"/>
    <w:rsid w:val="00BB30B8"/>
    <w:rsid w:val="00BB32A5"/>
    <w:rsid w:val="00BB3FA8"/>
    <w:rsid w:val="00BB4104"/>
    <w:rsid w:val="00BB463F"/>
    <w:rsid w:val="00BB54C1"/>
    <w:rsid w:val="00BB55BC"/>
    <w:rsid w:val="00BB5D99"/>
    <w:rsid w:val="00BB6429"/>
    <w:rsid w:val="00BB64C2"/>
    <w:rsid w:val="00BB67F3"/>
    <w:rsid w:val="00BB77D9"/>
    <w:rsid w:val="00BB7CE5"/>
    <w:rsid w:val="00BC0455"/>
    <w:rsid w:val="00BC0741"/>
    <w:rsid w:val="00BC084E"/>
    <w:rsid w:val="00BC11C6"/>
    <w:rsid w:val="00BC198C"/>
    <w:rsid w:val="00BC1CB2"/>
    <w:rsid w:val="00BC1F64"/>
    <w:rsid w:val="00BC20CE"/>
    <w:rsid w:val="00BC2519"/>
    <w:rsid w:val="00BC2876"/>
    <w:rsid w:val="00BC3DF6"/>
    <w:rsid w:val="00BC3E52"/>
    <w:rsid w:val="00BC48C4"/>
    <w:rsid w:val="00BC4EB7"/>
    <w:rsid w:val="00BC50F5"/>
    <w:rsid w:val="00BC510A"/>
    <w:rsid w:val="00BC55AA"/>
    <w:rsid w:val="00BC588B"/>
    <w:rsid w:val="00BC6F2F"/>
    <w:rsid w:val="00BC7AD4"/>
    <w:rsid w:val="00BC7D8E"/>
    <w:rsid w:val="00BD0482"/>
    <w:rsid w:val="00BD1836"/>
    <w:rsid w:val="00BD1C39"/>
    <w:rsid w:val="00BD2762"/>
    <w:rsid w:val="00BD2DBD"/>
    <w:rsid w:val="00BD2E28"/>
    <w:rsid w:val="00BD3416"/>
    <w:rsid w:val="00BD3D43"/>
    <w:rsid w:val="00BD3EAB"/>
    <w:rsid w:val="00BD4892"/>
    <w:rsid w:val="00BD55F5"/>
    <w:rsid w:val="00BD5A75"/>
    <w:rsid w:val="00BD620A"/>
    <w:rsid w:val="00BD640A"/>
    <w:rsid w:val="00BD6560"/>
    <w:rsid w:val="00BD6920"/>
    <w:rsid w:val="00BD6B43"/>
    <w:rsid w:val="00BE035C"/>
    <w:rsid w:val="00BE16CB"/>
    <w:rsid w:val="00BE2592"/>
    <w:rsid w:val="00BE2714"/>
    <w:rsid w:val="00BE2884"/>
    <w:rsid w:val="00BE3762"/>
    <w:rsid w:val="00BE3DE5"/>
    <w:rsid w:val="00BE4B2D"/>
    <w:rsid w:val="00BE4B2F"/>
    <w:rsid w:val="00BE4BAA"/>
    <w:rsid w:val="00BE4DED"/>
    <w:rsid w:val="00BE5270"/>
    <w:rsid w:val="00BE5740"/>
    <w:rsid w:val="00BE611E"/>
    <w:rsid w:val="00BE63E9"/>
    <w:rsid w:val="00BE651E"/>
    <w:rsid w:val="00BE6740"/>
    <w:rsid w:val="00BE6936"/>
    <w:rsid w:val="00BE6DA5"/>
    <w:rsid w:val="00BE735E"/>
    <w:rsid w:val="00BE75CE"/>
    <w:rsid w:val="00BE78B4"/>
    <w:rsid w:val="00BE79AE"/>
    <w:rsid w:val="00BE79F3"/>
    <w:rsid w:val="00BF06FE"/>
    <w:rsid w:val="00BF082E"/>
    <w:rsid w:val="00BF0BDC"/>
    <w:rsid w:val="00BF0F87"/>
    <w:rsid w:val="00BF10BA"/>
    <w:rsid w:val="00BF2096"/>
    <w:rsid w:val="00BF2371"/>
    <w:rsid w:val="00BF26C9"/>
    <w:rsid w:val="00BF318F"/>
    <w:rsid w:val="00BF3BA8"/>
    <w:rsid w:val="00BF4381"/>
    <w:rsid w:val="00BF6455"/>
    <w:rsid w:val="00BF69DB"/>
    <w:rsid w:val="00BF6D87"/>
    <w:rsid w:val="00BF7917"/>
    <w:rsid w:val="00BF7A38"/>
    <w:rsid w:val="00C00239"/>
    <w:rsid w:val="00C005A6"/>
    <w:rsid w:val="00C00EB6"/>
    <w:rsid w:val="00C01577"/>
    <w:rsid w:val="00C01667"/>
    <w:rsid w:val="00C0187E"/>
    <w:rsid w:val="00C023D9"/>
    <w:rsid w:val="00C02F5F"/>
    <w:rsid w:val="00C04824"/>
    <w:rsid w:val="00C04BAC"/>
    <w:rsid w:val="00C05E49"/>
    <w:rsid w:val="00C062F5"/>
    <w:rsid w:val="00C07151"/>
    <w:rsid w:val="00C078E9"/>
    <w:rsid w:val="00C10007"/>
    <w:rsid w:val="00C11120"/>
    <w:rsid w:val="00C11611"/>
    <w:rsid w:val="00C12D62"/>
    <w:rsid w:val="00C1322B"/>
    <w:rsid w:val="00C1455E"/>
    <w:rsid w:val="00C150A4"/>
    <w:rsid w:val="00C163DD"/>
    <w:rsid w:val="00C1643E"/>
    <w:rsid w:val="00C16BC4"/>
    <w:rsid w:val="00C17A4B"/>
    <w:rsid w:val="00C17E30"/>
    <w:rsid w:val="00C20D44"/>
    <w:rsid w:val="00C213BB"/>
    <w:rsid w:val="00C21738"/>
    <w:rsid w:val="00C21A07"/>
    <w:rsid w:val="00C224D7"/>
    <w:rsid w:val="00C228D1"/>
    <w:rsid w:val="00C22A75"/>
    <w:rsid w:val="00C22AC9"/>
    <w:rsid w:val="00C23173"/>
    <w:rsid w:val="00C23B89"/>
    <w:rsid w:val="00C244F9"/>
    <w:rsid w:val="00C24E26"/>
    <w:rsid w:val="00C2500F"/>
    <w:rsid w:val="00C25075"/>
    <w:rsid w:val="00C2557D"/>
    <w:rsid w:val="00C25F40"/>
    <w:rsid w:val="00C264C0"/>
    <w:rsid w:val="00C26871"/>
    <w:rsid w:val="00C26CB0"/>
    <w:rsid w:val="00C2738A"/>
    <w:rsid w:val="00C30478"/>
    <w:rsid w:val="00C30AB3"/>
    <w:rsid w:val="00C31D82"/>
    <w:rsid w:val="00C3216B"/>
    <w:rsid w:val="00C32F53"/>
    <w:rsid w:val="00C34174"/>
    <w:rsid w:val="00C34904"/>
    <w:rsid w:val="00C34C74"/>
    <w:rsid w:val="00C34EC4"/>
    <w:rsid w:val="00C350EB"/>
    <w:rsid w:val="00C35565"/>
    <w:rsid w:val="00C35A28"/>
    <w:rsid w:val="00C36E51"/>
    <w:rsid w:val="00C40EA0"/>
    <w:rsid w:val="00C40F7C"/>
    <w:rsid w:val="00C4135F"/>
    <w:rsid w:val="00C423C8"/>
    <w:rsid w:val="00C42597"/>
    <w:rsid w:val="00C42E3F"/>
    <w:rsid w:val="00C44173"/>
    <w:rsid w:val="00C44E7C"/>
    <w:rsid w:val="00C452A1"/>
    <w:rsid w:val="00C46005"/>
    <w:rsid w:val="00C46425"/>
    <w:rsid w:val="00C4666D"/>
    <w:rsid w:val="00C46E3F"/>
    <w:rsid w:val="00C47153"/>
    <w:rsid w:val="00C4789D"/>
    <w:rsid w:val="00C47A25"/>
    <w:rsid w:val="00C47ADB"/>
    <w:rsid w:val="00C50E46"/>
    <w:rsid w:val="00C5223F"/>
    <w:rsid w:val="00C52C38"/>
    <w:rsid w:val="00C52CB9"/>
    <w:rsid w:val="00C52D45"/>
    <w:rsid w:val="00C53042"/>
    <w:rsid w:val="00C53E65"/>
    <w:rsid w:val="00C53E89"/>
    <w:rsid w:val="00C5406F"/>
    <w:rsid w:val="00C540E7"/>
    <w:rsid w:val="00C54E25"/>
    <w:rsid w:val="00C61B3E"/>
    <w:rsid w:val="00C62A74"/>
    <w:rsid w:val="00C62C7F"/>
    <w:rsid w:val="00C62FC8"/>
    <w:rsid w:val="00C632A6"/>
    <w:rsid w:val="00C63A03"/>
    <w:rsid w:val="00C63A64"/>
    <w:rsid w:val="00C647B6"/>
    <w:rsid w:val="00C64E1C"/>
    <w:rsid w:val="00C64F8C"/>
    <w:rsid w:val="00C6586D"/>
    <w:rsid w:val="00C67011"/>
    <w:rsid w:val="00C672B2"/>
    <w:rsid w:val="00C67AED"/>
    <w:rsid w:val="00C7007A"/>
    <w:rsid w:val="00C7023F"/>
    <w:rsid w:val="00C70909"/>
    <w:rsid w:val="00C71180"/>
    <w:rsid w:val="00C71A39"/>
    <w:rsid w:val="00C72571"/>
    <w:rsid w:val="00C72CEE"/>
    <w:rsid w:val="00C72E98"/>
    <w:rsid w:val="00C749DC"/>
    <w:rsid w:val="00C74A03"/>
    <w:rsid w:val="00C74C7F"/>
    <w:rsid w:val="00C74D03"/>
    <w:rsid w:val="00C757AD"/>
    <w:rsid w:val="00C76375"/>
    <w:rsid w:val="00C765EB"/>
    <w:rsid w:val="00C76AA5"/>
    <w:rsid w:val="00C7735D"/>
    <w:rsid w:val="00C7741E"/>
    <w:rsid w:val="00C77E61"/>
    <w:rsid w:val="00C8084A"/>
    <w:rsid w:val="00C81767"/>
    <w:rsid w:val="00C81948"/>
    <w:rsid w:val="00C81B93"/>
    <w:rsid w:val="00C823BB"/>
    <w:rsid w:val="00C823D2"/>
    <w:rsid w:val="00C82B91"/>
    <w:rsid w:val="00C833AA"/>
    <w:rsid w:val="00C84CBF"/>
    <w:rsid w:val="00C8504B"/>
    <w:rsid w:val="00C86E8A"/>
    <w:rsid w:val="00C87330"/>
    <w:rsid w:val="00C87BBB"/>
    <w:rsid w:val="00C900FA"/>
    <w:rsid w:val="00C9037C"/>
    <w:rsid w:val="00C906E5"/>
    <w:rsid w:val="00C91390"/>
    <w:rsid w:val="00C921D5"/>
    <w:rsid w:val="00C92C3B"/>
    <w:rsid w:val="00C92E43"/>
    <w:rsid w:val="00C92FA0"/>
    <w:rsid w:val="00C93628"/>
    <w:rsid w:val="00C93895"/>
    <w:rsid w:val="00C93DA3"/>
    <w:rsid w:val="00C94723"/>
    <w:rsid w:val="00C94864"/>
    <w:rsid w:val="00C94BCA"/>
    <w:rsid w:val="00C95370"/>
    <w:rsid w:val="00C9669D"/>
    <w:rsid w:val="00C968D8"/>
    <w:rsid w:val="00C96BFD"/>
    <w:rsid w:val="00C96E07"/>
    <w:rsid w:val="00C97925"/>
    <w:rsid w:val="00CA0A9E"/>
    <w:rsid w:val="00CA1307"/>
    <w:rsid w:val="00CA13E0"/>
    <w:rsid w:val="00CA1E43"/>
    <w:rsid w:val="00CA2E53"/>
    <w:rsid w:val="00CA303F"/>
    <w:rsid w:val="00CA3779"/>
    <w:rsid w:val="00CA3F76"/>
    <w:rsid w:val="00CA4402"/>
    <w:rsid w:val="00CA4F2A"/>
    <w:rsid w:val="00CA5C61"/>
    <w:rsid w:val="00CA5C62"/>
    <w:rsid w:val="00CA6057"/>
    <w:rsid w:val="00CA6598"/>
    <w:rsid w:val="00CA6E34"/>
    <w:rsid w:val="00CA6EB4"/>
    <w:rsid w:val="00CB109F"/>
    <w:rsid w:val="00CB16FD"/>
    <w:rsid w:val="00CB1C49"/>
    <w:rsid w:val="00CB2CA9"/>
    <w:rsid w:val="00CB32B4"/>
    <w:rsid w:val="00CB5029"/>
    <w:rsid w:val="00CB5C83"/>
    <w:rsid w:val="00CB5CBF"/>
    <w:rsid w:val="00CB5E73"/>
    <w:rsid w:val="00CB5EEF"/>
    <w:rsid w:val="00CB6C62"/>
    <w:rsid w:val="00CB7901"/>
    <w:rsid w:val="00CB7C79"/>
    <w:rsid w:val="00CC1647"/>
    <w:rsid w:val="00CC1981"/>
    <w:rsid w:val="00CC2442"/>
    <w:rsid w:val="00CC248D"/>
    <w:rsid w:val="00CC2798"/>
    <w:rsid w:val="00CC2F51"/>
    <w:rsid w:val="00CC3738"/>
    <w:rsid w:val="00CC4BE2"/>
    <w:rsid w:val="00CC568D"/>
    <w:rsid w:val="00CC6075"/>
    <w:rsid w:val="00CC6405"/>
    <w:rsid w:val="00CC6A08"/>
    <w:rsid w:val="00CC7467"/>
    <w:rsid w:val="00CD0844"/>
    <w:rsid w:val="00CD0E17"/>
    <w:rsid w:val="00CD186F"/>
    <w:rsid w:val="00CD1BB7"/>
    <w:rsid w:val="00CD275F"/>
    <w:rsid w:val="00CD2D81"/>
    <w:rsid w:val="00CD31BA"/>
    <w:rsid w:val="00CD3A91"/>
    <w:rsid w:val="00CD3BC0"/>
    <w:rsid w:val="00CD3C14"/>
    <w:rsid w:val="00CD4FBB"/>
    <w:rsid w:val="00CD5237"/>
    <w:rsid w:val="00CD5E01"/>
    <w:rsid w:val="00CD6160"/>
    <w:rsid w:val="00CD6298"/>
    <w:rsid w:val="00CD6E29"/>
    <w:rsid w:val="00CD6FC5"/>
    <w:rsid w:val="00CD70AD"/>
    <w:rsid w:val="00CD7759"/>
    <w:rsid w:val="00CD7DE8"/>
    <w:rsid w:val="00CE25F0"/>
    <w:rsid w:val="00CE288E"/>
    <w:rsid w:val="00CE28CE"/>
    <w:rsid w:val="00CE2A7A"/>
    <w:rsid w:val="00CE30D6"/>
    <w:rsid w:val="00CE3A79"/>
    <w:rsid w:val="00CE3A8E"/>
    <w:rsid w:val="00CE4579"/>
    <w:rsid w:val="00CE4CA1"/>
    <w:rsid w:val="00CE4D9B"/>
    <w:rsid w:val="00CE5A8C"/>
    <w:rsid w:val="00CE5ABD"/>
    <w:rsid w:val="00CE7DBA"/>
    <w:rsid w:val="00CE7E68"/>
    <w:rsid w:val="00CF019B"/>
    <w:rsid w:val="00CF081B"/>
    <w:rsid w:val="00CF147C"/>
    <w:rsid w:val="00CF1BFC"/>
    <w:rsid w:val="00CF1C10"/>
    <w:rsid w:val="00CF1C7B"/>
    <w:rsid w:val="00CF23BC"/>
    <w:rsid w:val="00CF2B17"/>
    <w:rsid w:val="00CF3257"/>
    <w:rsid w:val="00CF336A"/>
    <w:rsid w:val="00CF36EA"/>
    <w:rsid w:val="00CF36EF"/>
    <w:rsid w:val="00CF3761"/>
    <w:rsid w:val="00CF3E25"/>
    <w:rsid w:val="00CF55A0"/>
    <w:rsid w:val="00CF5E50"/>
    <w:rsid w:val="00CF6A13"/>
    <w:rsid w:val="00CF6F39"/>
    <w:rsid w:val="00CF7C3B"/>
    <w:rsid w:val="00D0065D"/>
    <w:rsid w:val="00D00A46"/>
    <w:rsid w:val="00D010C9"/>
    <w:rsid w:val="00D01BC1"/>
    <w:rsid w:val="00D02091"/>
    <w:rsid w:val="00D026F6"/>
    <w:rsid w:val="00D033F7"/>
    <w:rsid w:val="00D03989"/>
    <w:rsid w:val="00D04038"/>
    <w:rsid w:val="00D042AC"/>
    <w:rsid w:val="00D04AFB"/>
    <w:rsid w:val="00D05260"/>
    <w:rsid w:val="00D0570B"/>
    <w:rsid w:val="00D063C9"/>
    <w:rsid w:val="00D06B19"/>
    <w:rsid w:val="00D079B1"/>
    <w:rsid w:val="00D1042C"/>
    <w:rsid w:val="00D10CC1"/>
    <w:rsid w:val="00D10D82"/>
    <w:rsid w:val="00D10F98"/>
    <w:rsid w:val="00D12108"/>
    <w:rsid w:val="00D1237A"/>
    <w:rsid w:val="00D12770"/>
    <w:rsid w:val="00D13332"/>
    <w:rsid w:val="00D13525"/>
    <w:rsid w:val="00D139C5"/>
    <w:rsid w:val="00D13E87"/>
    <w:rsid w:val="00D14072"/>
    <w:rsid w:val="00D14875"/>
    <w:rsid w:val="00D14F9E"/>
    <w:rsid w:val="00D1562F"/>
    <w:rsid w:val="00D168CF"/>
    <w:rsid w:val="00D16E93"/>
    <w:rsid w:val="00D172E6"/>
    <w:rsid w:val="00D178E8"/>
    <w:rsid w:val="00D200E4"/>
    <w:rsid w:val="00D2019E"/>
    <w:rsid w:val="00D203AA"/>
    <w:rsid w:val="00D206DC"/>
    <w:rsid w:val="00D20B9B"/>
    <w:rsid w:val="00D21CEB"/>
    <w:rsid w:val="00D2205B"/>
    <w:rsid w:val="00D22133"/>
    <w:rsid w:val="00D22B5A"/>
    <w:rsid w:val="00D22BAF"/>
    <w:rsid w:val="00D2458A"/>
    <w:rsid w:val="00D2461E"/>
    <w:rsid w:val="00D25014"/>
    <w:rsid w:val="00D2507E"/>
    <w:rsid w:val="00D250AD"/>
    <w:rsid w:val="00D252DC"/>
    <w:rsid w:val="00D258BB"/>
    <w:rsid w:val="00D25F76"/>
    <w:rsid w:val="00D264A1"/>
    <w:rsid w:val="00D26A93"/>
    <w:rsid w:val="00D26DDF"/>
    <w:rsid w:val="00D26FDA"/>
    <w:rsid w:val="00D279B1"/>
    <w:rsid w:val="00D27E41"/>
    <w:rsid w:val="00D3075E"/>
    <w:rsid w:val="00D30A5B"/>
    <w:rsid w:val="00D30D85"/>
    <w:rsid w:val="00D30DEB"/>
    <w:rsid w:val="00D31049"/>
    <w:rsid w:val="00D3193F"/>
    <w:rsid w:val="00D31CC7"/>
    <w:rsid w:val="00D31E4B"/>
    <w:rsid w:val="00D33EC7"/>
    <w:rsid w:val="00D3408B"/>
    <w:rsid w:val="00D346D4"/>
    <w:rsid w:val="00D34CC7"/>
    <w:rsid w:val="00D3527B"/>
    <w:rsid w:val="00D3675A"/>
    <w:rsid w:val="00D36D68"/>
    <w:rsid w:val="00D36FBF"/>
    <w:rsid w:val="00D37894"/>
    <w:rsid w:val="00D37F11"/>
    <w:rsid w:val="00D40170"/>
    <w:rsid w:val="00D405FA"/>
    <w:rsid w:val="00D40A26"/>
    <w:rsid w:val="00D41548"/>
    <w:rsid w:val="00D418C4"/>
    <w:rsid w:val="00D42346"/>
    <w:rsid w:val="00D425D7"/>
    <w:rsid w:val="00D42A7F"/>
    <w:rsid w:val="00D43743"/>
    <w:rsid w:val="00D43824"/>
    <w:rsid w:val="00D43AD9"/>
    <w:rsid w:val="00D44AC8"/>
    <w:rsid w:val="00D44BC4"/>
    <w:rsid w:val="00D44C77"/>
    <w:rsid w:val="00D45617"/>
    <w:rsid w:val="00D47065"/>
    <w:rsid w:val="00D476DD"/>
    <w:rsid w:val="00D477D7"/>
    <w:rsid w:val="00D47C0A"/>
    <w:rsid w:val="00D5014D"/>
    <w:rsid w:val="00D504D7"/>
    <w:rsid w:val="00D505BD"/>
    <w:rsid w:val="00D50EE2"/>
    <w:rsid w:val="00D510DA"/>
    <w:rsid w:val="00D5170D"/>
    <w:rsid w:val="00D51DF4"/>
    <w:rsid w:val="00D51FC4"/>
    <w:rsid w:val="00D52AF0"/>
    <w:rsid w:val="00D52E3B"/>
    <w:rsid w:val="00D53511"/>
    <w:rsid w:val="00D5444D"/>
    <w:rsid w:val="00D54629"/>
    <w:rsid w:val="00D5570B"/>
    <w:rsid w:val="00D55D91"/>
    <w:rsid w:val="00D56418"/>
    <w:rsid w:val="00D570A2"/>
    <w:rsid w:val="00D57520"/>
    <w:rsid w:val="00D576DB"/>
    <w:rsid w:val="00D57749"/>
    <w:rsid w:val="00D57BBE"/>
    <w:rsid w:val="00D60479"/>
    <w:rsid w:val="00D6111F"/>
    <w:rsid w:val="00D61340"/>
    <w:rsid w:val="00D62B59"/>
    <w:rsid w:val="00D62B98"/>
    <w:rsid w:val="00D62CEE"/>
    <w:rsid w:val="00D63232"/>
    <w:rsid w:val="00D63A2C"/>
    <w:rsid w:val="00D63D29"/>
    <w:rsid w:val="00D63FED"/>
    <w:rsid w:val="00D64121"/>
    <w:rsid w:val="00D641F5"/>
    <w:rsid w:val="00D64C1C"/>
    <w:rsid w:val="00D6546D"/>
    <w:rsid w:val="00D65D0D"/>
    <w:rsid w:val="00D65FC7"/>
    <w:rsid w:val="00D66EB9"/>
    <w:rsid w:val="00D70399"/>
    <w:rsid w:val="00D7083E"/>
    <w:rsid w:val="00D708E3"/>
    <w:rsid w:val="00D71FF4"/>
    <w:rsid w:val="00D72513"/>
    <w:rsid w:val="00D7252B"/>
    <w:rsid w:val="00D727D8"/>
    <w:rsid w:val="00D73B08"/>
    <w:rsid w:val="00D7452F"/>
    <w:rsid w:val="00D74CBB"/>
    <w:rsid w:val="00D7530C"/>
    <w:rsid w:val="00D75520"/>
    <w:rsid w:val="00D7552C"/>
    <w:rsid w:val="00D75903"/>
    <w:rsid w:val="00D75CBE"/>
    <w:rsid w:val="00D75E06"/>
    <w:rsid w:val="00D75E7A"/>
    <w:rsid w:val="00D760A6"/>
    <w:rsid w:val="00D761E3"/>
    <w:rsid w:val="00D767D9"/>
    <w:rsid w:val="00D76B3A"/>
    <w:rsid w:val="00D770A3"/>
    <w:rsid w:val="00D802A2"/>
    <w:rsid w:val="00D8104F"/>
    <w:rsid w:val="00D81EEC"/>
    <w:rsid w:val="00D829CE"/>
    <w:rsid w:val="00D82ADD"/>
    <w:rsid w:val="00D8377F"/>
    <w:rsid w:val="00D8383C"/>
    <w:rsid w:val="00D84713"/>
    <w:rsid w:val="00D8484F"/>
    <w:rsid w:val="00D866B1"/>
    <w:rsid w:val="00D86AB0"/>
    <w:rsid w:val="00D86D25"/>
    <w:rsid w:val="00D86EB5"/>
    <w:rsid w:val="00D8771B"/>
    <w:rsid w:val="00D87B76"/>
    <w:rsid w:val="00D9022B"/>
    <w:rsid w:val="00D90773"/>
    <w:rsid w:val="00D9117B"/>
    <w:rsid w:val="00D9288B"/>
    <w:rsid w:val="00D92D12"/>
    <w:rsid w:val="00D939E6"/>
    <w:rsid w:val="00D93B4A"/>
    <w:rsid w:val="00D93CAF"/>
    <w:rsid w:val="00D94F11"/>
    <w:rsid w:val="00D950D4"/>
    <w:rsid w:val="00D9589F"/>
    <w:rsid w:val="00D965F2"/>
    <w:rsid w:val="00D96A88"/>
    <w:rsid w:val="00D96C52"/>
    <w:rsid w:val="00D97062"/>
    <w:rsid w:val="00D9750E"/>
    <w:rsid w:val="00D97A86"/>
    <w:rsid w:val="00DA0313"/>
    <w:rsid w:val="00DA0534"/>
    <w:rsid w:val="00DA0AC1"/>
    <w:rsid w:val="00DA1939"/>
    <w:rsid w:val="00DA29B2"/>
    <w:rsid w:val="00DA322D"/>
    <w:rsid w:val="00DA36A9"/>
    <w:rsid w:val="00DA45E9"/>
    <w:rsid w:val="00DA498C"/>
    <w:rsid w:val="00DA52F8"/>
    <w:rsid w:val="00DA560D"/>
    <w:rsid w:val="00DA56B8"/>
    <w:rsid w:val="00DA73E6"/>
    <w:rsid w:val="00DA7509"/>
    <w:rsid w:val="00DB0067"/>
    <w:rsid w:val="00DB0ED6"/>
    <w:rsid w:val="00DB10AC"/>
    <w:rsid w:val="00DB1E1F"/>
    <w:rsid w:val="00DB23A5"/>
    <w:rsid w:val="00DB2BC7"/>
    <w:rsid w:val="00DB2E32"/>
    <w:rsid w:val="00DB312B"/>
    <w:rsid w:val="00DB337C"/>
    <w:rsid w:val="00DB393C"/>
    <w:rsid w:val="00DB3AC0"/>
    <w:rsid w:val="00DB3C89"/>
    <w:rsid w:val="00DB5202"/>
    <w:rsid w:val="00DB5A2E"/>
    <w:rsid w:val="00DB5C96"/>
    <w:rsid w:val="00DB6102"/>
    <w:rsid w:val="00DB61FA"/>
    <w:rsid w:val="00DB668C"/>
    <w:rsid w:val="00DB6D48"/>
    <w:rsid w:val="00DB6D95"/>
    <w:rsid w:val="00DB7B9A"/>
    <w:rsid w:val="00DB7D9F"/>
    <w:rsid w:val="00DC08C5"/>
    <w:rsid w:val="00DC0A2F"/>
    <w:rsid w:val="00DC12A4"/>
    <w:rsid w:val="00DC18BA"/>
    <w:rsid w:val="00DC1A05"/>
    <w:rsid w:val="00DC4F6A"/>
    <w:rsid w:val="00DC56FB"/>
    <w:rsid w:val="00DC57D5"/>
    <w:rsid w:val="00DC6CF9"/>
    <w:rsid w:val="00DC76A9"/>
    <w:rsid w:val="00DC7815"/>
    <w:rsid w:val="00DD0352"/>
    <w:rsid w:val="00DD0405"/>
    <w:rsid w:val="00DD1C25"/>
    <w:rsid w:val="00DD2406"/>
    <w:rsid w:val="00DD2505"/>
    <w:rsid w:val="00DD25BA"/>
    <w:rsid w:val="00DD432B"/>
    <w:rsid w:val="00DD47DF"/>
    <w:rsid w:val="00DD4882"/>
    <w:rsid w:val="00DD493C"/>
    <w:rsid w:val="00DD4B67"/>
    <w:rsid w:val="00DD4D07"/>
    <w:rsid w:val="00DD50A3"/>
    <w:rsid w:val="00DD5DD6"/>
    <w:rsid w:val="00DD65A7"/>
    <w:rsid w:val="00DD72E5"/>
    <w:rsid w:val="00DE0167"/>
    <w:rsid w:val="00DE05B1"/>
    <w:rsid w:val="00DE0866"/>
    <w:rsid w:val="00DE0BB5"/>
    <w:rsid w:val="00DE18A6"/>
    <w:rsid w:val="00DE1A04"/>
    <w:rsid w:val="00DE1BC1"/>
    <w:rsid w:val="00DE2754"/>
    <w:rsid w:val="00DE2C11"/>
    <w:rsid w:val="00DE301C"/>
    <w:rsid w:val="00DE3485"/>
    <w:rsid w:val="00DE3619"/>
    <w:rsid w:val="00DE3863"/>
    <w:rsid w:val="00DE3CD5"/>
    <w:rsid w:val="00DE492F"/>
    <w:rsid w:val="00DE4C35"/>
    <w:rsid w:val="00DE578E"/>
    <w:rsid w:val="00DE62A4"/>
    <w:rsid w:val="00DE6D38"/>
    <w:rsid w:val="00DE6DD5"/>
    <w:rsid w:val="00DE763A"/>
    <w:rsid w:val="00DE7B53"/>
    <w:rsid w:val="00DE7FF8"/>
    <w:rsid w:val="00DF1D9A"/>
    <w:rsid w:val="00DF298D"/>
    <w:rsid w:val="00DF2A28"/>
    <w:rsid w:val="00DF2A81"/>
    <w:rsid w:val="00DF2AE1"/>
    <w:rsid w:val="00DF2C5A"/>
    <w:rsid w:val="00DF3DF8"/>
    <w:rsid w:val="00DF3E2A"/>
    <w:rsid w:val="00DF42F6"/>
    <w:rsid w:val="00DF57E3"/>
    <w:rsid w:val="00DF59D4"/>
    <w:rsid w:val="00DF5DCA"/>
    <w:rsid w:val="00DF60D2"/>
    <w:rsid w:val="00DF6A02"/>
    <w:rsid w:val="00DF7DE5"/>
    <w:rsid w:val="00E01100"/>
    <w:rsid w:val="00E01428"/>
    <w:rsid w:val="00E01EFE"/>
    <w:rsid w:val="00E02321"/>
    <w:rsid w:val="00E02817"/>
    <w:rsid w:val="00E030B2"/>
    <w:rsid w:val="00E03F05"/>
    <w:rsid w:val="00E03F74"/>
    <w:rsid w:val="00E0489E"/>
    <w:rsid w:val="00E05491"/>
    <w:rsid w:val="00E05582"/>
    <w:rsid w:val="00E0600E"/>
    <w:rsid w:val="00E06595"/>
    <w:rsid w:val="00E06598"/>
    <w:rsid w:val="00E07049"/>
    <w:rsid w:val="00E078E6"/>
    <w:rsid w:val="00E07A7E"/>
    <w:rsid w:val="00E1015E"/>
    <w:rsid w:val="00E11114"/>
    <w:rsid w:val="00E11959"/>
    <w:rsid w:val="00E12475"/>
    <w:rsid w:val="00E128C3"/>
    <w:rsid w:val="00E129C0"/>
    <w:rsid w:val="00E12B27"/>
    <w:rsid w:val="00E1357B"/>
    <w:rsid w:val="00E146D2"/>
    <w:rsid w:val="00E14A3A"/>
    <w:rsid w:val="00E161D2"/>
    <w:rsid w:val="00E162D5"/>
    <w:rsid w:val="00E169F4"/>
    <w:rsid w:val="00E16F9E"/>
    <w:rsid w:val="00E176B1"/>
    <w:rsid w:val="00E2000C"/>
    <w:rsid w:val="00E20150"/>
    <w:rsid w:val="00E20DC5"/>
    <w:rsid w:val="00E224B0"/>
    <w:rsid w:val="00E22704"/>
    <w:rsid w:val="00E227FA"/>
    <w:rsid w:val="00E228B8"/>
    <w:rsid w:val="00E2360D"/>
    <w:rsid w:val="00E24007"/>
    <w:rsid w:val="00E241AA"/>
    <w:rsid w:val="00E241D4"/>
    <w:rsid w:val="00E2445D"/>
    <w:rsid w:val="00E24FCD"/>
    <w:rsid w:val="00E25003"/>
    <w:rsid w:val="00E25CC5"/>
    <w:rsid w:val="00E25D9E"/>
    <w:rsid w:val="00E266E9"/>
    <w:rsid w:val="00E276A4"/>
    <w:rsid w:val="00E277B1"/>
    <w:rsid w:val="00E30146"/>
    <w:rsid w:val="00E30389"/>
    <w:rsid w:val="00E3079A"/>
    <w:rsid w:val="00E3103E"/>
    <w:rsid w:val="00E3172B"/>
    <w:rsid w:val="00E32226"/>
    <w:rsid w:val="00E32D42"/>
    <w:rsid w:val="00E33A20"/>
    <w:rsid w:val="00E34276"/>
    <w:rsid w:val="00E34629"/>
    <w:rsid w:val="00E34667"/>
    <w:rsid w:val="00E34760"/>
    <w:rsid w:val="00E3484C"/>
    <w:rsid w:val="00E3491D"/>
    <w:rsid w:val="00E350B4"/>
    <w:rsid w:val="00E35B1B"/>
    <w:rsid w:val="00E35D45"/>
    <w:rsid w:val="00E35FF5"/>
    <w:rsid w:val="00E401F6"/>
    <w:rsid w:val="00E4032C"/>
    <w:rsid w:val="00E407F0"/>
    <w:rsid w:val="00E41074"/>
    <w:rsid w:val="00E413B8"/>
    <w:rsid w:val="00E42A3B"/>
    <w:rsid w:val="00E42A76"/>
    <w:rsid w:val="00E42C51"/>
    <w:rsid w:val="00E42EAC"/>
    <w:rsid w:val="00E43752"/>
    <w:rsid w:val="00E438B9"/>
    <w:rsid w:val="00E456F5"/>
    <w:rsid w:val="00E45E9C"/>
    <w:rsid w:val="00E45FED"/>
    <w:rsid w:val="00E46469"/>
    <w:rsid w:val="00E4677A"/>
    <w:rsid w:val="00E46A16"/>
    <w:rsid w:val="00E47117"/>
    <w:rsid w:val="00E5060C"/>
    <w:rsid w:val="00E50C51"/>
    <w:rsid w:val="00E51838"/>
    <w:rsid w:val="00E51E61"/>
    <w:rsid w:val="00E521E3"/>
    <w:rsid w:val="00E5222C"/>
    <w:rsid w:val="00E52EFD"/>
    <w:rsid w:val="00E53633"/>
    <w:rsid w:val="00E5435F"/>
    <w:rsid w:val="00E548CC"/>
    <w:rsid w:val="00E55069"/>
    <w:rsid w:val="00E556A1"/>
    <w:rsid w:val="00E556E8"/>
    <w:rsid w:val="00E55D7A"/>
    <w:rsid w:val="00E57B6C"/>
    <w:rsid w:val="00E60455"/>
    <w:rsid w:val="00E604F3"/>
    <w:rsid w:val="00E60AA3"/>
    <w:rsid w:val="00E61EC7"/>
    <w:rsid w:val="00E63CF3"/>
    <w:rsid w:val="00E64A75"/>
    <w:rsid w:val="00E65D53"/>
    <w:rsid w:val="00E663C9"/>
    <w:rsid w:val="00E66B4A"/>
    <w:rsid w:val="00E66D77"/>
    <w:rsid w:val="00E671A6"/>
    <w:rsid w:val="00E67E9F"/>
    <w:rsid w:val="00E704E1"/>
    <w:rsid w:val="00E70EA2"/>
    <w:rsid w:val="00E713F8"/>
    <w:rsid w:val="00E715FF"/>
    <w:rsid w:val="00E72087"/>
    <w:rsid w:val="00E72528"/>
    <w:rsid w:val="00E72AEC"/>
    <w:rsid w:val="00E72CEC"/>
    <w:rsid w:val="00E74072"/>
    <w:rsid w:val="00E74F8C"/>
    <w:rsid w:val="00E75C65"/>
    <w:rsid w:val="00E7641B"/>
    <w:rsid w:val="00E76A40"/>
    <w:rsid w:val="00E76EC2"/>
    <w:rsid w:val="00E7702A"/>
    <w:rsid w:val="00E7796A"/>
    <w:rsid w:val="00E8015D"/>
    <w:rsid w:val="00E80468"/>
    <w:rsid w:val="00E813B9"/>
    <w:rsid w:val="00E81627"/>
    <w:rsid w:val="00E81C5C"/>
    <w:rsid w:val="00E82511"/>
    <w:rsid w:val="00E82683"/>
    <w:rsid w:val="00E82DB0"/>
    <w:rsid w:val="00E834FD"/>
    <w:rsid w:val="00E8386D"/>
    <w:rsid w:val="00E840A6"/>
    <w:rsid w:val="00E84432"/>
    <w:rsid w:val="00E848B3"/>
    <w:rsid w:val="00E85087"/>
    <w:rsid w:val="00E85BEA"/>
    <w:rsid w:val="00E86055"/>
    <w:rsid w:val="00E8697F"/>
    <w:rsid w:val="00E8797C"/>
    <w:rsid w:val="00E90142"/>
    <w:rsid w:val="00E908D6"/>
    <w:rsid w:val="00E90D5D"/>
    <w:rsid w:val="00E91172"/>
    <w:rsid w:val="00E91573"/>
    <w:rsid w:val="00E91A0D"/>
    <w:rsid w:val="00E91E2D"/>
    <w:rsid w:val="00E922AE"/>
    <w:rsid w:val="00E92AAE"/>
    <w:rsid w:val="00E93876"/>
    <w:rsid w:val="00E952CC"/>
    <w:rsid w:val="00E9551A"/>
    <w:rsid w:val="00E956FF"/>
    <w:rsid w:val="00E961E7"/>
    <w:rsid w:val="00E96A92"/>
    <w:rsid w:val="00E96F43"/>
    <w:rsid w:val="00E9726E"/>
    <w:rsid w:val="00E97296"/>
    <w:rsid w:val="00EA05C4"/>
    <w:rsid w:val="00EA07DF"/>
    <w:rsid w:val="00EA1279"/>
    <w:rsid w:val="00EA13AA"/>
    <w:rsid w:val="00EA1457"/>
    <w:rsid w:val="00EA22F1"/>
    <w:rsid w:val="00EA272D"/>
    <w:rsid w:val="00EA30A6"/>
    <w:rsid w:val="00EA4CB6"/>
    <w:rsid w:val="00EA4E24"/>
    <w:rsid w:val="00EA55CC"/>
    <w:rsid w:val="00EA69B6"/>
    <w:rsid w:val="00EA703F"/>
    <w:rsid w:val="00EA723D"/>
    <w:rsid w:val="00EA79B2"/>
    <w:rsid w:val="00EA7BDB"/>
    <w:rsid w:val="00EA7CE2"/>
    <w:rsid w:val="00EB0292"/>
    <w:rsid w:val="00EB0EA0"/>
    <w:rsid w:val="00EB2D1C"/>
    <w:rsid w:val="00EB3B3A"/>
    <w:rsid w:val="00EB483F"/>
    <w:rsid w:val="00EB489C"/>
    <w:rsid w:val="00EB48A8"/>
    <w:rsid w:val="00EB50B5"/>
    <w:rsid w:val="00EB5E79"/>
    <w:rsid w:val="00EB6AB5"/>
    <w:rsid w:val="00EB717F"/>
    <w:rsid w:val="00EB71CE"/>
    <w:rsid w:val="00EB78C6"/>
    <w:rsid w:val="00EC0296"/>
    <w:rsid w:val="00EC043E"/>
    <w:rsid w:val="00EC06A4"/>
    <w:rsid w:val="00EC1158"/>
    <w:rsid w:val="00EC152D"/>
    <w:rsid w:val="00EC159B"/>
    <w:rsid w:val="00EC1C86"/>
    <w:rsid w:val="00EC20E4"/>
    <w:rsid w:val="00EC30CC"/>
    <w:rsid w:val="00EC3C74"/>
    <w:rsid w:val="00EC425C"/>
    <w:rsid w:val="00EC4E57"/>
    <w:rsid w:val="00EC5578"/>
    <w:rsid w:val="00EC55C8"/>
    <w:rsid w:val="00EC56BC"/>
    <w:rsid w:val="00EC733B"/>
    <w:rsid w:val="00EC7B3F"/>
    <w:rsid w:val="00EC7E71"/>
    <w:rsid w:val="00ED0C81"/>
    <w:rsid w:val="00ED1E7C"/>
    <w:rsid w:val="00ED21E7"/>
    <w:rsid w:val="00ED24FA"/>
    <w:rsid w:val="00ED2530"/>
    <w:rsid w:val="00ED2D4B"/>
    <w:rsid w:val="00ED330F"/>
    <w:rsid w:val="00ED3481"/>
    <w:rsid w:val="00ED39CA"/>
    <w:rsid w:val="00ED41C5"/>
    <w:rsid w:val="00ED44CC"/>
    <w:rsid w:val="00ED5CF4"/>
    <w:rsid w:val="00ED6230"/>
    <w:rsid w:val="00ED635F"/>
    <w:rsid w:val="00ED646E"/>
    <w:rsid w:val="00ED655D"/>
    <w:rsid w:val="00ED741E"/>
    <w:rsid w:val="00ED7863"/>
    <w:rsid w:val="00EE0383"/>
    <w:rsid w:val="00EE0678"/>
    <w:rsid w:val="00EE0AB3"/>
    <w:rsid w:val="00EE1420"/>
    <w:rsid w:val="00EE2311"/>
    <w:rsid w:val="00EE26FF"/>
    <w:rsid w:val="00EE27EF"/>
    <w:rsid w:val="00EE33D7"/>
    <w:rsid w:val="00EE3DDD"/>
    <w:rsid w:val="00EE4072"/>
    <w:rsid w:val="00EE549A"/>
    <w:rsid w:val="00EE6518"/>
    <w:rsid w:val="00EE7680"/>
    <w:rsid w:val="00EE775F"/>
    <w:rsid w:val="00EE7F8F"/>
    <w:rsid w:val="00EF0073"/>
    <w:rsid w:val="00EF0DAA"/>
    <w:rsid w:val="00EF1413"/>
    <w:rsid w:val="00EF32B5"/>
    <w:rsid w:val="00EF3F54"/>
    <w:rsid w:val="00EF422C"/>
    <w:rsid w:val="00EF4822"/>
    <w:rsid w:val="00EF4AC7"/>
    <w:rsid w:val="00EF5254"/>
    <w:rsid w:val="00EF58C3"/>
    <w:rsid w:val="00EF6038"/>
    <w:rsid w:val="00EF624D"/>
    <w:rsid w:val="00EF6DF1"/>
    <w:rsid w:val="00EF7978"/>
    <w:rsid w:val="00EF7DFE"/>
    <w:rsid w:val="00EF7E6E"/>
    <w:rsid w:val="00F00A2C"/>
    <w:rsid w:val="00F00C66"/>
    <w:rsid w:val="00F00E2E"/>
    <w:rsid w:val="00F01889"/>
    <w:rsid w:val="00F0241C"/>
    <w:rsid w:val="00F03840"/>
    <w:rsid w:val="00F049DC"/>
    <w:rsid w:val="00F054A1"/>
    <w:rsid w:val="00F057A1"/>
    <w:rsid w:val="00F05895"/>
    <w:rsid w:val="00F061E4"/>
    <w:rsid w:val="00F0624F"/>
    <w:rsid w:val="00F06C36"/>
    <w:rsid w:val="00F06DEA"/>
    <w:rsid w:val="00F07504"/>
    <w:rsid w:val="00F07567"/>
    <w:rsid w:val="00F07F86"/>
    <w:rsid w:val="00F10354"/>
    <w:rsid w:val="00F10480"/>
    <w:rsid w:val="00F1138F"/>
    <w:rsid w:val="00F11EBF"/>
    <w:rsid w:val="00F120A8"/>
    <w:rsid w:val="00F120C1"/>
    <w:rsid w:val="00F12E7E"/>
    <w:rsid w:val="00F130A1"/>
    <w:rsid w:val="00F13D63"/>
    <w:rsid w:val="00F15210"/>
    <w:rsid w:val="00F15454"/>
    <w:rsid w:val="00F1546D"/>
    <w:rsid w:val="00F15BC7"/>
    <w:rsid w:val="00F15C62"/>
    <w:rsid w:val="00F160CC"/>
    <w:rsid w:val="00F16D7B"/>
    <w:rsid w:val="00F178EF"/>
    <w:rsid w:val="00F17965"/>
    <w:rsid w:val="00F17C70"/>
    <w:rsid w:val="00F200E6"/>
    <w:rsid w:val="00F20BB9"/>
    <w:rsid w:val="00F212CE"/>
    <w:rsid w:val="00F215D2"/>
    <w:rsid w:val="00F21ABE"/>
    <w:rsid w:val="00F2276D"/>
    <w:rsid w:val="00F22995"/>
    <w:rsid w:val="00F22D33"/>
    <w:rsid w:val="00F23927"/>
    <w:rsid w:val="00F24885"/>
    <w:rsid w:val="00F24BC7"/>
    <w:rsid w:val="00F25280"/>
    <w:rsid w:val="00F25BAD"/>
    <w:rsid w:val="00F25DA7"/>
    <w:rsid w:val="00F26180"/>
    <w:rsid w:val="00F265FA"/>
    <w:rsid w:val="00F26ADE"/>
    <w:rsid w:val="00F27207"/>
    <w:rsid w:val="00F277CA"/>
    <w:rsid w:val="00F302CD"/>
    <w:rsid w:val="00F3188B"/>
    <w:rsid w:val="00F32638"/>
    <w:rsid w:val="00F32EDE"/>
    <w:rsid w:val="00F32F25"/>
    <w:rsid w:val="00F33C34"/>
    <w:rsid w:val="00F34302"/>
    <w:rsid w:val="00F34534"/>
    <w:rsid w:val="00F346A3"/>
    <w:rsid w:val="00F34F96"/>
    <w:rsid w:val="00F3524D"/>
    <w:rsid w:val="00F3549E"/>
    <w:rsid w:val="00F35609"/>
    <w:rsid w:val="00F36D50"/>
    <w:rsid w:val="00F36DF7"/>
    <w:rsid w:val="00F36E15"/>
    <w:rsid w:val="00F40AE8"/>
    <w:rsid w:val="00F40B5B"/>
    <w:rsid w:val="00F40F6C"/>
    <w:rsid w:val="00F41333"/>
    <w:rsid w:val="00F417CB"/>
    <w:rsid w:val="00F418E5"/>
    <w:rsid w:val="00F41E39"/>
    <w:rsid w:val="00F427FC"/>
    <w:rsid w:val="00F42A6C"/>
    <w:rsid w:val="00F42B59"/>
    <w:rsid w:val="00F42C2D"/>
    <w:rsid w:val="00F449FC"/>
    <w:rsid w:val="00F44B40"/>
    <w:rsid w:val="00F44D3B"/>
    <w:rsid w:val="00F44EB6"/>
    <w:rsid w:val="00F45B1E"/>
    <w:rsid w:val="00F45E45"/>
    <w:rsid w:val="00F4612B"/>
    <w:rsid w:val="00F46446"/>
    <w:rsid w:val="00F47C0A"/>
    <w:rsid w:val="00F50644"/>
    <w:rsid w:val="00F51159"/>
    <w:rsid w:val="00F511FC"/>
    <w:rsid w:val="00F51281"/>
    <w:rsid w:val="00F513DD"/>
    <w:rsid w:val="00F51FA4"/>
    <w:rsid w:val="00F520E2"/>
    <w:rsid w:val="00F52304"/>
    <w:rsid w:val="00F525CD"/>
    <w:rsid w:val="00F52EDA"/>
    <w:rsid w:val="00F53566"/>
    <w:rsid w:val="00F5423B"/>
    <w:rsid w:val="00F54532"/>
    <w:rsid w:val="00F5458A"/>
    <w:rsid w:val="00F54CE3"/>
    <w:rsid w:val="00F54FAC"/>
    <w:rsid w:val="00F5585A"/>
    <w:rsid w:val="00F5712C"/>
    <w:rsid w:val="00F5755B"/>
    <w:rsid w:val="00F577AA"/>
    <w:rsid w:val="00F604D3"/>
    <w:rsid w:val="00F61FCB"/>
    <w:rsid w:val="00F62125"/>
    <w:rsid w:val="00F622A8"/>
    <w:rsid w:val="00F638D5"/>
    <w:rsid w:val="00F63A0F"/>
    <w:rsid w:val="00F63C70"/>
    <w:rsid w:val="00F64E47"/>
    <w:rsid w:val="00F664F5"/>
    <w:rsid w:val="00F66746"/>
    <w:rsid w:val="00F67BA0"/>
    <w:rsid w:val="00F702DD"/>
    <w:rsid w:val="00F70D44"/>
    <w:rsid w:val="00F71526"/>
    <w:rsid w:val="00F71E80"/>
    <w:rsid w:val="00F7247E"/>
    <w:rsid w:val="00F73742"/>
    <w:rsid w:val="00F739BF"/>
    <w:rsid w:val="00F73B66"/>
    <w:rsid w:val="00F73C63"/>
    <w:rsid w:val="00F7467E"/>
    <w:rsid w:val="00F76487"/>
    <w:rsid w:val="00F76546"/>
    <w:rsid w:val="00F765A4"/>
    <w:rsid w:val="00F768B9"/>
    <w:rsid w:val="00F76A97"/>
    <w:rsid w:val="00F76C94"/>
    <w:rsid w:val="00F7711C"/>
    <w:rsid w:val="00F771AE"/>
    <w:rsid w:val="00F7756F"/>
    <w:rsid w:val="00F77774"/>
    <w:rsid w:val="00F7782A"/>
    <w:rsid w:val="00F77CE7"/>
    <w:rsid w:val="00F80319"/>
    <w:rsid w:val="00F8264B"/>
    <w:rsid w:val="00F83FC8"/>
    <w:rsid w:val="00F84219"/>
    <w:rsid w:val="00F8478B"/>
    <w:rsid w:val="00F84D19"/>
    <w:rsid w:val="00F8506F"/>
    <w:rsid w:val="00F866A8"/>
    <w:rsid w:val="00F86BB8"/>
    <w:rsid w:val="00F86E12"/>
    <w:rsid w:val="00F87C71"/>
    <w:rsid w:val="00F87E1A"/>
    <w:rsid w:val="00F9002E"/>
    <w:rsid w:val="00F902B2"/>
    <w:rsid w:val="00F904E8"/>
    <w:rsid w:val="00F90A38"/>
    <w:rsid w:val="00F936AC"/>
    <w:rsid w:val="00F93D94"/>
    <w:rsid w:val="00F940DB"/>
    <w:rsid w:val="00F94AD1"/>
    <w:rsid w:val="00F94B95"/>
    <w:rsid w:val="00F9663F"/>
    <w:rsid w:val="00F96CC2"/>
    <w:rsid w:val="00FA0183"/>
    <w:rsid w:val="00FA14C0"/>
    <w:rsid w:val="00FA1AD9"/>
    <w:rsid w:val="00FA2097"/>
    <w:rsid w:val="00FA241E"/>
    <w:rsid w:val="00FA5F16"/>
    <w:rsid w:val="00FB0BC2"/>
    <w:rsid w:val="00FB1495"/>
    <w:rsid w:val="00FB19E2"/>
    <w:rsid w:val="00FB3183"/>
    <w:rsid w:val="00FB32C2"/>
    <w:rsid w:val="00FB3623"/>
    <w:rsid w:val="00FB3907"/>
    <w:rsid w:val="00FB40B6"/>
    <w:rsid w:val="00FB415D"/>
    <w:rsid w:val="00FB4B7A"/>
    <w:rsid w:val="00FB5B3F"/>
    <w:rsid w:val="00FB5E12"/>
    <w:rsid w:val="00FB6BB0"/>
    <w:rsid w:val="00FB6E18"/>
    <w:rsid w:val="00FB7138"/>
    <w:rsid w:val="00FB7194"/>
    <w:rsid w:val="00FB7358"/>
    <w:rsid w:val="00FB7902"/>
    <w:rsid w:val="00FC075C"/>
    <w:rsid w:val="00FC0B0F"/>
    <w:rsid w:val="00FC20AA"/>
    <w:rsid w:val="00FC22A6"/>
    <w:rsid w:val="00FC26E4"/>
    <w:rsid w:val="00FC28DD"/>
    <w:rsid w:val="00FC2C41"/>
    <w:rsid w:val="00FC31A2"/>
    <w:rsid w:val="00FC3C86"/>
    <w:rsid w:val="00FC3C97"/>
    <w:rsid w:val="00FC4894"/>
    <w:rsid w:val="00FC4AB0"/>
    <w:rsid w:val="00FC4ECD"/>
    <w:rsid w:val="00FC582E"/>
    <w:rsid w:val="00FC5D76"/>
    <w:rsid w:val="00FC6CC6"/>
    <w:rsid w:val="00FC78DA"/>
    <w:rsid w:val="00FC7955"/>
    <w:rsid w:val="00FD09CF"/>
    <w:rsid w:val="00FD1D94"/>
    <w:rsid w:val="00FD2F3E"/>
    <w:rsid w:val="00FD34D6"/>
    <w:rsid w:val="00FD3FFA"/>
    <w:rsid w:val="00FD4CFE"/>
    <w:rsid w:val="00FD50CA"/>
    <w:rsid w:val="00FD5D07"/>
    <w:rsid w:val="00FD6642"/>
    <w:rsid w:val="00FD66A1"/>
    <w:rsid w:val="00FD66A2"/>
    <w:rsid w:val="00FD6A18"/>
    <w:rsid w:val="00FD7B8E"/>
    <w:rsid w:val="00FE005E"/>
    <w:rsid w:val="00FE0925"/>
    <w:rsid w:val="00FE1755"/>
    <w:rsid w:val="00FE1AB4"/>
    <w:rsid w:val="00FE1B91"/>
    <w:rsid w:val="00FE1F42"/>
    <w:rsid w:val="00FE361A"/>
    <w:rsid w:val="00FE3781"/>
    <w:rsid w:val="00FE3A1F"/>
    <w:rsid w:val="00FE43AE"/>
    <w:rsid w:val="00FE6593"/>
    <w:rsid w:val="00FE6B12"/>
    <w:rsid w:val="00FE780D"/>
    <w:rsid w:val="00FE7D09"/>
    <w:rsid w:val="00FE7DF0"/>
    <w:rsid w:val="00FF0970"/>
    <w:rsid w:val="00FF09DD"/>
    <w:rsid w:val="00FF12F8"/>
    <w:rsid w:val="00FF16CB"/>
    <w:rsid w:val="00FF2085"/>
    <w:rsid w:val="00FF214D"/>
    <w:rsid w:val="00FF305F"/>
    <w:rsid w:val="00FF30DD"/>
    <w:rsid w:val="00FF362A"/>
    <w:rsid w:val="00FF3FB7"/>
    <w:rsid w:val="00FF424C"/>
    <w:rsid w:val="00FF4DE0"/>
    <w:rsid w:val="00FF516B"/>
    <w:rsid w:val="00FF5708"/>
    <w:rsid w:val="00FF64F2"/>
    <w:rsid w:val="00FF6AF1"/>
    <w:rsid w:val="00FF70BE"/>
    <w:rsid w:val="00FF7293"/>
    <w:rsid w:val="00FF737A"/>
    <w:rsid w:val="00FF748B"/>
    <w:rsid w:val="00FF7A87"/>
    <w:rsid w:val="020A07AD"/>
    <w:rsid w:val="046F2F6F"/>
    <w:rsid w:val="05506A7F"/>
    <w:rsid w:val="076875A9"/>
    <w:rsid w:val="07E4012C"/>
    <w:rsid w:val="07EA253A"/>
    <w:rsid w:val="0C4E269C"/>
    <w:rsid w:val="0F040A6B"/>
    <w:rsid w:val="10222F75"/>
    <w:rsid w:val="106E75E6"/>
    <w:rsid w:val="1544226F"/>
    <w:rsid w:val="175471E5"/>
    <w:rsid w:val="18987D48"/>
    <w:rsid w:val="1E743741"/>
    <w:rsid w:val="1FA9427F"/>
    <w:rsid w:val="2019212F"/>
    <w:rsid w:val="273128D3"/>
    <w:rsid w:val="30375787"/>
    <w:rsid w:val="33715120"/>
    <w:rsid w:val="3A5D6292"/>
    <w:rsid w:val="3AFC2D71"/>
    <w:rsid w:val="3EFB1028"/>
    <w:rsid w:val="3FB16531"/>
    <w:rsid w:val="448B50F0"/>
    <w:rsid w:val="469F555D"/>
    <w:rsid w:val="4E911F35"/>
    <w:rsid w:val="4EC92B5C"/>
    <w:rsid w:val="5242608A"/>
    <w:rsid w:val="53C2401E"/>
    <w:rsid w:val="596037BD"/>
    <w:rsid w:val="5AFE4074"/>
    <w:rsid w:val="5B343263"/>
    <w:rsid w:val="5DC92B36"/>
    <w:rsid w:val="62FB47A0"/>
    <w:rsid w:val="6667453E"/>
    <w:rsid w:val="70B7595A"/>
    <w:rsid w:val="751873C9"/>
    <w:rsid w:val="7737019E"/>
    <w:rsid w:val="79545EB5"/>
    <w:rsid w:val="799413E4"/>
    <w:rsid w:val="7AD362D4"/>
    <w:rsid w:val="7C785607"/>
    <w:rsid w:val="7E65736C"/>
    <w:rsid w:val="7FA9039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0"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iPriority="99" w:semiHidden="0"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name="footnote text" w:locked="1"/>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ocked="1"/>
    <w:lsdException w:qFormat="1" w:unhideWhenUsed="0" w:uiPriority="0"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qFormat="1" w:unhideWhenUsed="0" w:uiPriority="99" w:semiHidden="0" w:name="List 2"/>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0" w:semiHidden="0" w:name="Date"/>
    <w:lsdException w:qFormat="1" w:unhideWhenUsed="0" w:uiPriority="99" w:semiHidden="0" w:name="Body Text First Indent" w:locked="1"/>
    <w:lsdException w:qFormat="1" w:uiPriority="99" w:name="Body Text First Indent 2" w:locked="1"/>
    <w:lsdException w:uiPriority="99" w:name="Note Heading" w:locked="1"/>
    <w:lsdException w:qFormat="1" w:unhideWhenUsed="0" w:uiPriority="99" w:name="Body Text 2"/>
    <w:lsdException w:qFormat="1" w:unhideWhenUsed="0" w:uiPriority="99" w:name="Body Text 3"/>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0" w:semiHidden="0" w:name="Table Grid"/>
    <w:lsdException w:uiPriority="99"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20" w:line="276"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56"/>
    <w:qFormat/>
    <w:uiPriority w:val="99"/>
    <w:pPr>
      <w:keepNext/>
      <w:keepLines/>
      <w:autoSpaceDE w:val="0"/>
      <w:autoSpaceDN w:val="0"/>
      <w:adjustRightInd w:val="0"/>
      <w:spacing w:before="120" w:line="416" w:lineRule="atLeast"/>
      <w:outlineLvl w:val="2"/>
    </w:pPr>
    <w:rPr>
      <w:rFonts w:ascii="黑体" w:eastAsia="黑体"/>
      <w:kern w:val="0"/>
      <w:sz w:val="28"/>
      <w:szCs w:val="20"/>
    </w:rPr>
  </w:style>
  <w:style w:type="paragraph" w:styleId="6">
    <w:name w:val="heading 4"/>
    <w:basedOn w:val="1"/>
    <w:next w:val="1"/>
    <w:link w:val="57"/>
    <w:qFormat/>
    <w:uiPriority w:val="99"/>
    <w:pPr>
      <w:keepNext/>
      <w:outlineLvl w:val="3"/>
    </w:pPr>
    <w:rPr>
      <w:sz w:val="28"/>
      <w:szCs w:val="20"/>
    </w:rPr>
  </w:style>
  <w:style w:type="paragraph" w:styleId="7">
    <w:name w:val="heading 5"/>
    <w:basedOn w:val="1"/>
    <w:next w:val="1"/>
    <w:link w:val="58"/>
    <w:qFormat/>
    <w:uiPriority w:val="99"/>
    <w:pPr>
      <w:keepNext/>
      <w:keepLines/>
      <w:spacing w:before="280" w:after="290" w:line="376" w:lineRule="auto"/>
      <w:outlineLvl w:val="4"/>
    </w:pPr>
    <w:rPr>
      <w:b/>
      <w:bCs/>
      <w:sz w:val="28"/>
      <w:szCs w:val="28"/>
    </w:rPr>
  </w:style>
  <w:style w:type="paragraph" w:styleId="8">
    <w:name w:val="heading 6"/>
    <w:basedOn w:val="1"/>
    <w:next w:val="1"/>
    <w:link w:val="59"/>
    <w:qFormat/>
    <w:uiPriority w:val="99"/>
    <w:pPr>
      <w:keepNext/>
      <w:keepLines/>
      <w:spacing w:before="240" w:after="64" w:line="320" w:lineRule="auto"/>
      <w:outlineLvl w:val="5"/>
    </w:pPr>
    <w:rPr>
      <w:rFonts w:ascii="Arial" w:hAnsi="Arial" w:eastAsia="黑体"/>
      <w:b/>
      <w:bCs/>
      <w:sz w:val="24"/>
    </w:rPr>
  </w:style>
  <w:style w:type="paragraph" w:styleId="9">
    <w:name w:val="heading 7"/>
    <w:basedOn w:val="1"/>
    <w:next w:val="1"/>
    <w:link w:val="60"/>
    <w:qFormat/>
    <w:uiPriority w:val="0"/>
    <w:pPr>
      <w:keepNext/>
      <w:keepLines/>
      <w:spacing w:before="240" w:after="64" w:line="320" w:lineRule="auto"/>
      <w:outlineLvl w:val="6"/>
    </w:pPr>
    <w:rPr>
      <w:b/>
      <w:bCs/>
      <w:sz w:val="24"/>
    </w:rPr>
  </w:style>
  <w:style w:type="paragraph" w:styleId="10">
    <w:name w:val="heading 8"/>
    <w:basedOn w:val="1"/>
    <w:next w:val="1"/>
    <w:link w:val="61"/>
    <w:qFormat/>
    <w:uiPriority w:val="99"/>
    <w:pPr>
      <w:keepNext/>
      <w:keepLines/>
      <w:spacing w:before="240" w:after="64" w:line="320" w:lineRule="auto"/>
      <w:outlineLvl w:val="7"/>
    </w:pPr>
    <w:rPr>
      <w:rFonts w:ascii="Arial" w:hAnsi="Arial" w:eastAsia="黑体"/>
      <w:sz w:val="24"/>
    </w:rPr>
  </w:style>
  <w:style w:type="paragraph" w:styleId="11">
    <w:name w:val="heading 9"/>
    <w:basedOn w:val="1"/>
    <w:next w:val="1"/>
    <w:link w:val="62"/>
    <w:qFormat/>
    <w:uiPriority w:val="99"/>
    <w:pPr>
      <w:keepNext/>
      <w:keepLines/>
      <w:spacing w:before="240" w:after="64" w:line="320" w:lineRule="auto"/>
      <w:outlineLvl w:val="8"/>
    </w:pPr>
    <w:rPr>
      <w:rFonts w:ascii="Arial" w:hAnsi="Arial" w:eastAsia="黑体"/>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55"/>
    <w:qFormat/>
    <w:uiPriority w:val="0"/>
    <w:pPr>
      <w:autoSpaceDE w:val="0"/>
      <w:autoSpaceDN w:val="0"/>
      <w:adjustRightInd w:val="0"/>
      <w:spacing w:line="315" w:lineRule="atLeast"/>
      <w:ind w:firstLine="420"/>
      <w:jc w:val="left"/>
    </w:pPr>
    <w:rPr>
      <w:rFonts w:ascii="楷体_GB2312" w:eastAsia="楷体_GB2312"/>
      <w:kern w:val="0"/>
      <w:sz w:val="20"/>
      <w:szCs w:val="20"/>
    </w:rPr>
  </w:style>
  <w:style w:type="paragraph" w:styleId="12">
    <w:name w:val="toc 7"/>
    <w:basedOn w:val="1"/>
    <w:next w:val="1"/>
    <w:qFormat/>
    <w:uiPriority w:val="39"/>
    <w:pPr>
      <w:ind w:left="2520" w:leftChars="1200"/>
    </w:pPr>
    <w:rPr>
      <w:rFonts w:ascii="Calibri" w:hAnsi="Calibri"/>
      <w:szCs w:val="22"/>
    </w:rPr>
  </w:style>
  <w:style w:type="paragraph" w:styleId="13">
    <w:name w:val="Document Map"/>
    <w:basedOn w:val="1"/>
    <w:link w:val="63"/>
    <w:semiHidden/>
    <w:qFormat/>
    <w:uiPriority w:val="99"/>
    <w:rPr>
      <w:rFonts w:ascii="宋体"/>
      <w:sz w:val="18"/>
      <w:szCs w:val="18"/>
    </w:rPr>
  </w:style>
  <w:style w:type="paragraph" w:styleId="14">
    <w:name w:val="annotation text"/>
    <w:basedOn w:val="1"/>
    <w:link w:val="64"/>
    <w:qFormat/>
    <w:uiPriority w:val="0"/>
    <w:pPr>
      <w:jc w:val="left"/>
    </w:pPr>
  </w:style>
  <w:style w:type="paragraph" w:styleId="15">
    <w:name w:val="Body Text 3"/>
    <w:basedOn w:val="1"/>
    <w:link w:val="65"/>
    <w:semiHidden/>
    <w:qFormat/>
    <w:uiPriority w:val="99"/>
    <w:rPr>
      <w:sz w:val="16"/>
      <w:szCs w:val="16"/>
    </w:rPr>
  </w:style>
  <w:style w:type="paragraph" w:styleId="16">
    <w:name w:val="Body Text"/>
    <w:basedOn w:val="1"/>
    <w:next w:val="1"/>
    <w:link w:val="66"/>
    <w:qFormat/>
    <w:uiPriority w:val="0"/>
    <w:rPr>
      <w:sz w:val="28"/>
      <w:szCs w:val="20"/>
    </w:rPr>
  </w:style>
  <w:style w:type="paragraph" w:styleId="17">
    <w:name w:val="Body Text Indent"/>
    <w:basedOn w:val="1"/>
    <w:link w:val="67"/>
    <w:qFormat/>
    <w:uiPriority w:val="99"/>
    <w:pPr>
      <w:autoSpaceDE w:val="0"/>
      <w:autoSpaceDN w:val="0"/>
      <w:adjustRightInd w:val="0"/>
      <w:spacing w:line="360" w:lineRule="atLeast"/>
      <w:ind w:left="900"/>
    </w:pPr>
    <w:rPr>
      <w:rFonts w:ascii="楷体_GB2312" w:eastAsia="楷体_GB2312"/>
      <w:kern w:val="0"/>
      <w:sz w:val="28"/>
      <w:szCs w:val="20"/>
    </w:rPr>
  </w:style>
  <w:style w:type="paragraph" w:styleId="18">
    <w:name w:val="List 2"/>
    <w:basedOn w:val="1"/>
    <w:qFormat/>
    <w:uiPriority w:val="99"/>
    <w:pPr>
      <w:ind w:left="100" w:leftChars="200" w:hanging="200" w:hangingChars="200"/>
    </w:pPr>
  </w:style>
  <w:style w:type="paragraph" w:styleId="19">
    <w:name w:val="index 4"/>
    <w:basedOn w:val="1"/>
    <w:next w:val="1"/>
    <w:unhideWhenUsed/>
    <w:qFormat/>
    <w:locked/>
    <w:uiPriority w:val="99"/>
    <w:pPr>
      <w:widowControl/>
      <w:suppressAutoHyphens/>
      <w:spacing w:after="0" w:line="240" w:lineRule="auto"/>
      <w:ind w:left="800" w:hanging="200"/>
      <w:jc w:val="left"/>
    </w:pPr>
    <w:rPr>
      <w:rFonts w:ascii="Calibri" w:hAnsi="Calibri" w:eastAsia="PMingLiU" w:cs="Arial"/>
      <w:kern w:val="0"/>
      <w:sz w:val="20"/>
      <w:szCs w:val="20"/>
      <w:lang w:eastAsia="ar-SA"/>
    </w:rPr>
  </w:style>
  <w:style w:type="paragraph" w:styleId="20">
    <w:name w:val="toc 5"/>
    <w:basedOn w:val="1"/>
    <w:next w:val="1"/>
    <w:qFormat/>
    <w:uiPriority w:val="39"/>
    <w:pPr>
      <w:ind w:left="1680" w:leftChars="800"/>
    </w:pPr>
    <w:rPr>
      <w:rFonts w:ascii="Calibri" w:hAnsi="Calibri"/>
      <w:szCs w:val="22"/>
    </w:rPr>
  </w:style>
  <w:style w:type="paragraph" w:styleId="21">
    <w:name w:val="toc 3"/>
    <w:basedOn w:val="1"/>
    <w:next w:val="1"/>
    <w:qFormat/>
    <w:uiPriority w:val="39"/>
    <w:pPr>
      <w:widowControl/>
      <w:tabs>
        <w:tab w:val="right" w:leader="dot" w:pos="8494"/>
      </w:tabs>
      <w:snapToGrid w:val="0"/>
      <w:spacing w:line="440" w:lineRule="exact"/>
      <w:ind w:left="442"/>
      <w:jc w:val="left"/>
    </w:pPr>
    <w:rPr>
      <w:rFonts w:ascii="Calibri" w:hAnsi="Calibri"/>
      <w:kern w:val="0"/>
      <w:szCs w:val="22"/>
    </w:rPr>
  </w:style>
  <w:style w:type="paragraph" w:styleId="22">
    <w:name w:val="Plain Text"/>
    <w:basedOn w:val="1"/>
    <w:next w:val="23"/>
    <w:link w:val="68"/>
    <w:qFormat/>
    <w:uiPriority w:val="0"/>
    <w:rPr>
      <w:rFonts w:ascii="宋体" w:hAnsi="Courier New"/>
      <w:szCs w:val="20"/>
    </w:rPr>
  </w:style>
  <w:style w:type="paragraph" w:customStyle="1" w:styleId="23">
    <w:name w:val="Default"/>
    <w:qFormat/>
    <w:uiPriority w:val="0"/>
    <w:pPr>
      <w:widowControl w:val="0"/>
      <w:autoSpaceDE w:val="0"/>
      <w:autoSpaceDN w:val="0"/>
      <w:adjustRightInd w:val="0"/>
      <w:spacing w:after="120" w:line="276" w:lineRule="auto"/>
    </w:pPr>
    <w:rPr>
      <w:rFonts w:ascii="Times New Roman" w:hAnsi="Times New Roman" w:eastAsia="宋体" w:cs="Times New Roman"/>
      <w:color w:val="000000"/>
      <w:sz w:val="24"/>
      <w:szCs w:val="24"/>
      <w:lang w:val="en-US" w:eastAsia="zh-CN" w:bidi="ar-SA"/>
    </w:rPr>
  </w:style>
  <w:style w:type="paragraph" w:styleId="24">
    <w:name w:val="toc 8"/>
    <w:basedOn w:val="1"/>
    <w:next w:val="1"/>
    <w:qFormat/>
    <w:uiPriority w:val="39"/>
    <w:pPr>
      <w:ind w:left="2940" w:leftChars="1400"/>
    </w:pPr>
    <w:rPr>
      <w:rFonts w:ascii="Calibri" w:hAnsi="Calibri"/>
      <w:szCs w:val="22"/>
    </w:rPr>
  </w:style>
  <w:style w:type="paragraph" w:styleId="25">
    <w:name w:val="Date"/>
    <w:basedOn w:val="1"/>
    <w:next w:val="1"/>
    <w:link w:val="69"/>
    <w:qFormat/>
    <w:uiPriority w:val="0"/>
    <w:pPr>
      <w:ind w:left="100" w:leftChars="2500"/>
    </w:pPr>
    <w:rPr>
      <w:szCs w:val="20"/>
    </w:rPr>
  </w:style>
  <w:style w:type="paragraph" w:styleId="26">
    <w:name w:val="Body Text Indent 2"/>
    <w:basedOn w:val="1"/>
    <w:link w:val="70"/>
    <w:qFormat/>
    <w:uiPriority w:val="99"/>
    <w:pPr>
      <w:spacing w:line="480" w:lineRule="auto"/>
      <w:ind w:firstLine="480" w:firstLineChars="200"/>
    </w:pPr>
    <w:rPr>
      <w:rFonts w:ascii="仿宋_GB2312" w:hAnsi="宋体" w:eastAsia="仿宋_GB2312"/>
      <w:sz w:val="24"/>
    </w:rPr>
  </w:style>
  <w:style w:type="paragraph" w:styleId="27">
    <w:name w:val="Balloon Text"/>
    <w:basedOn w:val="1"/>
    <w:link w:val="71"/>
    <w:semiHidden/>
    <w:qFormat/>
    <w:uiPriority w:val="99"/>
    <w:rPr>
      <w:sz w:val="18"/>
      <w:szCs w:val="18"/>
    </w:rPr>
  </w:style>
  <w:style w:type="paragraph" w:styleId="28">
    <w:name w:val="footer"/>
    <w:basedOn w:val="1"/>
    <w:link w:val="72"/>
    <w:qFormat/>
    <w:uiPriority w:val="99"/>
    <w:pPr>
      <w:tabs>
        <w:tab w:val="center" w:pos="4153"/>
        <w:tab w:val="right" w:pos="8306"/>
      </w:tabs>
      <w:snapToGrid w:val="0"/>
      <w:jc w:val="left"/>
    </w:pPr>
    <w:rPr>
      <w:sz w:val="18"/>
      <w:szCs w:val="18"/>
    </w:rPr>
  </w:style>
  <w:style w:type="paragraph" w:styleId="29">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567"/>
        <w:tab w:val="left" w:pos="709"/>
        <w:tab w:val="right" w:leader="dot" w:pos="8505"/>
      </w:tabs>
      <w:snapToGrid w:val="0"/>
      <w:spacing w:line="440" w:lineRule="exact"/>
      <w:jc w:val="left"/>
    </w:pPr>
  </w:style>
  <w:style w:type="paragraph" w:styleId="31">
    <w:name w:val="toc 4"/>
    <w:basedOn w:val="1"/>
    <w:next w:val="1"/>
    <w:qFormat/>
    <w:uiPriority w:val="39"/>
    <w:pPr>
      <w:ind w:left="1260" w:leftChars="600"/>
    </w:pPr>
    <w:rPr>
      <w:rFonts w:ascii="Calibri" w:hAnsi="Calibri"/>
      <w:szCs w:val="22"/>
    </w:rPr>
  </w:style>
  <w:style w:type="paragraph" w:styleId="32">
    <w:name w:val="Subtitle"/>
    <w:basedOn w:val="1"/>
    <w:next w:val="1"/>
    <w:link w:val="74"/>
    <w:qFormat/>
    <w:uiPriority w:val="99"/>
    <w:pPr>
      <w:spacing w:before="240" w:after="60" w:line="312" w:lineRule="auto"/>
      <w:jc w:val="center"/>
      <w:outlineLvl w:val="1"/>
    </w:pPr>
    <w:rPr>
      <w:rFonts w:ascii="Cambria" w:hAnsi="Cambria" w:cs="黑体"/>
      <w:b/>
      <w:bCs/>
      <w:kern w:val="28"/>
      <w:sz w:val="32"/>
      <w:szCs w:val="32"/>
    </w:rPr>
  </w:style>
  <w:style w:type="paragraph" w:styleId="33">
    <w:name w:val="footnote text"/>
    <w:basedOn w:val="1"/>
    <w:link w:val="75"/>
    <w:semiHidden/>
    <w:qFormat/>
    <w:locked/>
    <w:uiPriority w:val="99"/>
    <w:pPr>
      <w:snapToGrid w:val="0"/>
      <w:jc w:val="left"/>
    </w:pPr>
    <w:rPr>
      <w:sz w:val="18"/>
      <w:szCs w:val="18"/>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76"/>
    <w:qFormat/>
    <w:uiPriority w:val="99"/>
    <w:pPr>
      <w:spacing w:line="360" w:lineRule="atLeast"/>
      <w:ind w:firstLine="720" w:firstLineChars="300"/>
    </w:pPr>
    <w:rPr>
      <w:sz w:val="24"/>
      <w:szCs w:val="20"/>
    </w:rPr>
  </w:style>
  <w:style w:type="paragraph" w:styleId="36">
    <w:name w:val="toc 2"/>
    <w:basedOn w:val="1"/>
    <w:next w:val="1"/>
    <w:qFormat/>
    <w:uiPriority w:val="39"/>
    <w:pPr>
      <w:tabs>
        <w:tab w:val="left" w:pos="567"/>
        <w:tab w:val="right" w:leader="dot" w:pos="8505"/>
        <w:tab w:val="right" w:leader="dot" w:pos="9628"/>
      </w:tabs>
      <w:spacing w:line="440" w:lineRule="exact"/>
      <w:jc w:val="center"/>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77"/>
    <w:semiHidden/>
    <w:qFormat/>
    <w:uiPriority w:val="99"/>
    <w:pPr>
      <w:spacing w:line="480" w:lineRule="auto"/>
    </w:pPr>
  </w:style>
  <w:style w:type="paragraph" w:styleId="39">
    <w:name w:val="Normal (Web)"/>
    <w:basedOn w:val="1"/>
    <w:qFormat/>
    <w:uiPriority w:val="99"/>
    <w:pPr>
      <w:widowControl/>
      <w:jc w:val="left"/>
    </w:pPr>
    <w:rPr>
      <w:rFonts w:ascii="宋体" w:hAnsi="宋体" w:cs="宋体"/>
      <w:kern w:val="0"/>
      <w:sz w:val="24"/>
    </w:rPr>
  </w:style>
  <w:style w:type="paragraph" w:styleId="40">
    <w:name w:val="Title"/>
    <w:basedOn w:val="1"/>
    <w:next w:val="1"/>
    <w:link w:val="78"/>
    <w:qFormat/>
    <w:uiPriority w:val="0"/>
    <w:pPr>
      <w:spacing w:before="240" w:after="60"/>
      <w:jc w:val="center"/>
      <w:outlineLvl w:val="0"/>
    </w:pPr>
    <w:rPr>
      <w:rFonts w:ascii="Cambria" w:hAnsi="Cambria"/>
      <w:b/>
      <w:bCs/>
      <w:sz w:val="32"/>
      <w:szCs w:val="32"/>
    </w:rPr>
  </w:style>
  <w:style w:type="paragraph" w:styleId="41">
    <w:name w:val="annotation subject"/>
    <w:basedOn w:val="14"/>
    <w:next w:val="14"/>
    <w:link w:val="79"/>
    <w:qFormat/>
    <w:uiPriority w:val="99"/>
    <w:rPr>
      <w:b/>
      <w:bCs/>
      <w:szCs w:val="20"/>
    </w:rPr>
  </w:style>
  <w:style w:type="paragraph" w:styleId="42">
    <w:name w:val="Body Text First Indent"/>
    <w:basedOn w:val="16"/>
    <w:link w:val="138"/>
    <w:qFormat/>
    <w:locked/>
    <w:uiPriority w:val="99"/>
    <w:pPr>
      <w:ind w:firstLine="420" w:firstLineChars="100"/>
    </w:pPr>
  </w:style>
  <w:style w:type="paragraph" w:styleId="43">
    <w:name w:val="Body Text First Indent 2"/>
    <w:basedOn w:val="17"/>
    <w:link w:val="133"/>
    <w:semiHidden/>
    <w:unhideWhenUsed/>
    <w:qFormat/>
    <w:locked/>
    <w:uiPriority w:val="99"/>
    <w:pPr>
      <w:autoSpaceDE/>
      <w:autoSpaceDN/>
      <w:adjustRightInd/>
      <w:spacing w:line="276" w:lineRule="auto"/>
      <w:ind w:left="420" w:leftChars="200" w:firstLine="420" w:firstLineChars="200"/>
    </w:pPr>
    <w:rPr>
      <w:rFonts w:ascii="Times New Roman" w:eastAsia="宋体"/>
      <w:kern w:val="2"/>
      <w:sz w:val="21"/>
      <w:szCs w:val="24"/>
    </w:rPr>
  </w:style>
  <w:style w:type="table" w:styleId="45">
    <w:name w:val="Table Grid"/>
    <w:basedOn w:val="4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qFormat/>
    <w:uiPriority w:val="99"/>
    <w:rPr>
      <w:rFonts w:cs="Times New Roman"/>
    </w:rPr>
  </w:style>
  <w:style w:type="character" w:styleId="49">
    <w:name w:val="FollowedHyperlink"/>
    <w:qFormat/>
    <w:uiPriority w:val="99"/>
    <w:rPr>
      <w:rFonts w:cs="Times New Roman"/>
      <w:color w:val="800080"/>
      <w:u w:val="single"/>
    </w:rPr>
  </w:style>
  <w:style w:type="character" w:styleId="50">
    <w:name w:val="Hyperlink"/>
    <w:qFormat/>
    <w:uiPriority w:val="99"/>
    <w:rPr>
      <w:rFonts w:cs="Times New Roman"/>
      <w:color w:val="0000FF"/>
      <w:u w:val="single"/>
    </w:rPr>
  </w:style>
  <w:style w:type="character" w:styleId="51">
    <w:name w:val="annotation reference"/>
    <w:qFormat/>
    <w:uiPriority w:val="0"/>
    <w:rPr>
      <w:rFonts w:cs="Times New Roman"/>
      <w:sz w:val="21"/>
    </w:rPr>
  </w:style>
  <w:style w:type="character" w:styleId="52">
    <w:name w:val="footnote reference"/>
    <w:basedOn w:val="46"/>
    <w:qFormat/>
    <w:locked/>
    <w:uiPriority w:val="99"/>
    <w:rPr>
      <w:vertAlign w:val="superscript"/>
    </w:rPr>
  </w:style>
  <w:style w:type="character" w:customStyle="1" w:styleId="53">
    <w:name w:val="标题 2 字符"/>
    <w:link w:val="3"/>
    <w:qFormat/>
    <w:locked/>
    <w:uiPriority w:val="0"/>
    <w:rPr>
      <w:rFonts w:ascii="Arial" w:hAnsi="Arial" w:eastAsia="黑体" w:cs="Times New Roman"/>
      <w:b/>
      <w:bCs/>
      <w:sz w:val="32"/>
      <w:szCs w:val="32"/>
    </w:rPr>
  </w:style>
  <w:style w:type="character" w:customStyle="1" w:styleId="54">
    <w:name w:val="标题 1 字符"/>
    <w:link w:val="2"/>
    <w:qFormat/>
    <w:locked/>
    <w:uiPriority w:val="0"/>
    <w:rPr>
      <w:rFonts w:ascii="Times New Roman" w:hAnsi="Times New Roman" w:eastAsia="宋体" w:cs="Times New Roman"/>
      <w:b/>
      <w:bCs/>
      <w:kern w:val="44"/>
      <w:sz w:val="44"/>
      <w:szCs w:val="44"/>
    </w:rPr>
  </w:style>
  <w:style w:type="character" w:customStyle="1" w:styleId="55">
    <w:name w:val="正文缩进 字符"/>
    <w:link w:val="5"/>
    <w:qFormat/>
    <w:locked/>
    <w:uiPriority w:val="0"/>
    <w:rPr>
      <w:rFonts w:ascii="楷体_GB2312" w:hAnsi="Times New Roman" w:eastAsia="楷体_GB2312"/>
      <w:kern w:val="0"/>
      <w:sz w:val="20"/>
    </w:rPr>
  </w:style>
  <w:style w:type="character" w:customStyle="1" w:styleId="56">
    <w:name w:val="标题 3 字符"/>
    <w:link w:val="4"/>
    <w:qFormat/>
    <w:locked/>
    <w:uiPriority w:val="99"/>
    <w:rPr>
      <w:rFonts w:ascii="黑体" w:hAnsi="Times New Roman" w:eastAsia="黑体" w:cs="Times New Roman"/>
      <w:kern w:val="0"/>
      <w:sz w:val="20"/>
      <w:szCs w:val="20"/>
    </w:rPr>
  </w:style>
  <w:style w:type="character" w:customStyle="1" w:styleId="57">
    <w:name w:val="标题 4 字符"/>
    <w:link w:val="6"/>
    <w:qFormat/>
    <w:locked/>
    <w:uiPriority w:val="99"/>
    <w:rPr>
      <w:rFonts w:ascii="Times New Roman" w:hAnsi="Times New Roman" w:eastAsia="宋体" w:cs="Times New Roman"/>
      <w:sz w:val="20"/>
      <w:szCs w:val="20"/>
    </w:rPr>
  </w:style>
  <w:style w:type="character" w:customStyle="1" w:styleId="58">
    <w:name w:val="标题 5 字符"/>
    <w:link w:val="7"/>
    <w:qFormat/>
    <w:locked/>
    <w:uiPriority w:val="99"/>
    <w:rPr>
      <w:rFonts w:ascii="Times New Roman" w:hAnsi="Times New Roman" w:eastAsia="宋体" w:cs="Times New Roman"/>
      <w:b/>
      <w:bCs/>
      <w:sz w:val="28"/>
      <w:szCs w:val="28"/>
    </w:rPr>
  </w:style>
  <w:style w:type="character" w:customStyle="1" w:styleId="59">
    <w:name w:val="标题 6 字符"/>
    <w:link w:val="8"/>
    <w:qFormat/>
    <w:locked/>
    <w:uiPriority w:val="99"/>
    <w:rPr>
      <w:rFonts w:ascii="Arial" w:hAnsi="Arial" w:eastAsia="黑体" w:cs="Times New Roman"/>
      <w:b/>
      <w:bCs/>
      <w:sz w:val="24"/>
      <w:szCs w:val="24"/>
    </w:rPr>
  </w:style>
  <w:style w:type="character" w:customStyle="1" w:styleId="60">
    <w:name w:val="标题 7 字符"/>
    <w:link w:val="9"/>
    <w:qFormat/>
    <w:locked/>
    <w:uiPriority w:val="0"/>
    <w:rPr>
      <w:rFonts w:ascii="Times New Roman" w:hAnsi="Times New Roman" w:eastAsia="宋体" w:cs="Times New Roman"/>
      <w:b/>
      <w:bCs/>
      <w:sz w:val="24"/>
      <w:szCs w:val="24"/>
    </w:rPr>
  </w:style>
  <w:style w:type="character" w:customStyle="1" w:styleId="61">
    <w:name w:val="标题 8 字符"/>
    <w:link w:val="10"/>
    <w:qFormat/>
    <w:locked/>
    <w:uiPriority w:val="99"/>
    <w:rPr>
      <w:rFonts w:ascii="Arial" w:hAnsi="Arial" w:eastAsia="黑体" w:cs="Times New Roman"/>
      <w:sz w:val="24"/>
      <w:szCs w:val="24"/>
    </w:rPr>
  </w:style>
  <w:style w:type="character" w:customStyle="1" w:styleId="62">
    <w:name w:val="标题 9 字符"/>
    <w:link w:val="11"/>
    <w:qFormat/>
    <w:locked/>
    <w:uiPriority w:val="99"/>
    <w:rPr>
      <w:rFonts w:ascii="Arial" w:hAnsi="Arial" w:eastAsia="黑体" w:cs="Times New Roman"/>
      <w:sz w:val="21"/>
      <w:szCs w:val="21"/>
    </w:rPr>
  </w:style>
  <w:style w:type="character" w:customStyle="1" w:styleId="63">
    <w:name w:val="文档结构图 字符"/>
    <w:link w:val="13"/>
    <w:semiHidden/>
    <w:qFormat/>
    <w:locked/>
    <w:uiPriority w:val="99"/>
    <w:rPr>
      <w:rFonts w:ascii="宋体" w:hAnsi="Times New Roman" w:eastAsia="宋体" w:cs="Times New Roman"/>
      <w:sz w:val="18"/>
      <w:szCs w:val="18"/>
    </w:rPr>
  </w:style>
  <w:style w:type="character" w:customStyle="1" w:styleId="64">
    <w:name w:val="批注文字 字符"/>
    <w:link w:val="14"/>
    <w:qFormat/>
    <w:locked/>
    <w:uiPriority w:val="0"/>
    <w:rPr>
      <w:rFonts w:ascii="Times New Roman" w:hAnsi="Times New Roman" w:eastAsia="宋体" w:cs="Times New Roman"/>
      <w:sz w:val="24"/>
      <w:szCs w:val="24"/>
    </w:rPr>
  </w:style>
  <w:style w:type="character" w:customStyle="1" w:styleId="65">
    <w:name w:val="正文文本 3 字符"/>
    <w:link w:val="15"/>
    <w:semiHidden/>
    <w:qFormat/>
    <w:locked/>
    <w:uiPriority w:val="99"/>
    <w:rPr>
      <w:rFonts w:ascii="Times New Roman" w:hAnsi="Times New Roman" w:eastAsia="宋体" w:cs="Times New Roman"/>
      <w:sz w:val="16"/>
      <w:szCs w:val="16"/>
    </w:rPr>
  </w:style>
  <w:style w:type="character" w:customStyle="1" w:styleId="66">
    <w:name w:val="正文文本 字符"/>
    <w:link w:val="16"/>
    <w:qFormat/>
    <w:locked/>
    <w:uiPriority w:val="0"/>
    <w:rPr>
      <w:rFonts w:ascii="Times New Roman" w:hAnsi="Times New Roman" w:eastAsia="宋体" w:cs="Times New Roman"/>
      <w:sz w:val="20"/>
      <w:szCs w:val="20"/>
    </w:rPr>
  </w:style>
  <w:style w:type="character" w:customStyle="1" w:styleId="67">
    <w:name w:val="正文文本缩进 字符"/>
    <w:link w:val="17"/>
    <w:qFormat/>
    <w:locked/>
    <w:uiPriority w:val="99"/>
    <w:rPr>
      <w:rFonts w:ascii="楷体_GB2312" w:hAnsi="Times New Roman" w:eastAsia="楷体_GB2312" w:cs="Times New Roman"/>
      <w:kern w:val="0"/>
      <w:sz w:val="20"/>
      <w:szCs w:val="20"/>
    </w:rPr>
  </w:style>
  <w:style w:type="character" w:customStyle="1" w:styleId="68">
    <w:name w:val="纯文本 字符"/>
    <w:link w:val="22"/>
    <w:qFormat/>
    <w:locked/>
    <w:uiPriority w:val="99"/>
    <w:rPr>
      <w:rFonts w:ascii="宋体" w:hAnsi="Courier New" w:eastAsia="宋体" w:cs="Times New Roman"/>
      <w:sz w:val="20"/>
      <w:szCs w:val="20"/>
    </w:rPr>
  </w:style>
  <w:style w:type="character" w:customStyle="1" w:styleId="69">
    <w:name w:val="日期 字符"/>
    <w:link w:val="25"/>
    <w:qFormat/>
    <w:locked/>
    <w:uiPriority w:val="0"/>
    <w:rPr>
      <w:rFonts w:ascii="Times New Roman" w:hAnsi="Times New Roman" w:eastAsia="宋体" w:cs="Times New Roman"/>
      <w:sz w:val="20"/>
      <w:szCs w:val="20"/>
    </w:rPr>
  </w:style>
  <w:style w:type="character" w:customStyle="1" w:styleId="70">
    <w:name w:val="正文文本缩进 2 字符"/>
    <w:link w:val="26"/>
    <w:qFormat/>
    <w:locked/>
    <w:uiPriority w:val="99"/>
    <w:rPr>
      <w:rFonts w:ascii="仿宋_GB2312" w:hAnsi="宋体" w:eastAsia="仿宋_GB2312" w:cs="Times New Roman"/>
      <w:sz w:val="24"/>
      <w:szCs w:val="24"/>
    </w:rPr>
  </w:style>
  <w:style w:type="character" w:customStyle="1" w:styleId="71">
    <w:name w:val="批注框文本 字符"/>
    <w:link w:val="27"/>
    <w:semiHidden/>
    <w:qFormat/>
    <w:locked/>
    <w:uiPriority w:val="99"/>
    <w:rPr>
      <w:rFonts w:ascii="Times New Roman" w:hAnsi="Times New Roman" w:eastAsia="宋体" w:cs="Times New Roman"/>
      <w:sz w:val="18"/>
      <w:szCs w:val="18"/>
    </w:rPr>
  </w:style>
  <w:style w:type="character" w:customStyle="1" w:styleId="72">
    <w:name w:val="页脚 字符"/>
    <w:link w:val="28"/>
    <w:qFormat/>
    <w:locked/>
    <w:uiPriority w:val="99"/>
    <w:rPr>
      <w:rFonts w:ascii="Times New Roman" w:hAnsi="Times New Roman" w:eastAsia="宋体" w:cs="Times New Roman"/>
      <w:sz w:val="18"/>
      <w:szCs w:val="18"/>
    </w:rPr>
  </w:style>
  <w:style w:type="character" w:customStyle="1" w:styleId="73">
    <w:name w:val="页眉 字符"/>
    <w:link w:val="29"/>
    <w:qFormat/>
    <w:locked/>
    <w:uiPriority w:val="99"/>
    <w:rPr>
      <w:rFonts w:ascii="Times New Roman" w:hAnsi="Times New Roman" w:eastAsia="宋体" w:cs="Times New Roman"/>
      <w:sz w:val="18"/>
      <w:szCs w:val="18"/>
    </w:rPr>
  </w:style>
  <w:style w:type="character" w:customStyle="1" w:styleId="74">
    <w:name w:val="副标题 字符"/>
    <w:link w:val="32"/>
    <w:qFormat/>
    <w:locked/>
    <w:uiPriority w:val="99"/>
    <w:rPr>
      <w:rFonts w:ascii="Cambria" w:hAnsi="Cambria" w:eastAsia="宋体" w:cs="黑体"/>
      <w:b/>
      <w:bCs/>
      <w:kern w:val="28"/>
      <w:sz w:val="32"/>
      <w:szCs w:val="32"/>
    </w:rPr>
  </w:style>
  <w:style w:type="character" w:customStyle="1" w:styleId="75">
    <w:name w:val="脚注文本 字符"/>
    <w:basedOn w:val="46"/>
    <w:link w:val="33"/>
    <w:semiHidden/>
    <w:qFormat/>
    <w:uiPriority w:val="99"/>
    <w:rPr>
      <w:rFonts w:ascii="Times New Roman" w:hAnsi="Times New Roman"/>
      <w:kern w:val="2"/>
      <w:sz w:val="18"/>
      <w:szCs w:val="18"/>
    </w:rPr>
  </w:style>
  <w:style w:type="character" w:customStyle="1" w:styleId="76">
    <w:name w:val="正文文本缩进 3 字符"/>
    <w:link w:val="35"/>
    <w:qFormat/>
    <w:locked/>
    <w:uiPriority w:val="99"/>
    <w:rPr>
      <w:rFonts w:ascii="Times New Roman" w:hAnsi="Times New Roman" w:eastAsia="宋体" w:cs="Times New Roman"/>
      <w:sz w:val="20"/>
      <w:szCs w:val="20"/>
    </w:rPr>
  </w:style>
  <w:style w:type="character" w:customStyle="1" w:styleId="77">
    <w:name w:val="正文文本 2 字符"/>
    <w:link w:val="38"/>
    <w:semiHidden/>
    <w:qFormat/>
    <w:locked/>
    <w:uiPriority w:val="99"/>
    <w:rPr>
      <w:rFonts w:ascii="Times New Roman" w:hAnsi="Times New Roman" w:eastAsia="宋体" w:cs="Times New Roman"/>
      <w:sz w:val="24"/>
      <w:szCs w:val="24"/>
    </w:rPr>
  </w:style>
  <w:style w:type="character" w:customStyle="1" w:styleId="78">
    <w:name w:val="标题 字符"/>
    <w:link w:val="40"/>
    <w:qFormat/>
    <w:locked/>
    <w:uiPriority w:val="0"/>
    <w:rPr>
      <w:rFonts w:ascii="Cambria" w:hAnsi="Cambria" w:eastAsia="宋体" w:cs="Times New Roman"/>
      <w:b/>
      <w:bCs/>
      <w:sz w:val="32"/>
      <w:szCs w:val="32"/>
    </w:rPr>
  </w:style>
  <w:style w:type="character" w:customStyle="1" w:styleId="79">
    <w:name w:val="批注主题 字符"/>
    <w:link w:val="41"/>
    <w:qFormat/>
    <w:locked/>
    <w:uiPriority w:val="99"/>
    <w:rPr>
      <w:rFonts w:ascii="Times New Roman" w:hAnsi="Times New Roman" w:eastAsia="宋体" w:cs="Times New Roman"/>
      <w:b/>
      <w:bCs/>
      <w:sz w:val="20"/>
      <w:szCs w:val="20"/>
    </w:rPr>
  </w:style>
  <w:style w:type="paragraph" w:customStyle="1" w:styleId="80">
    <w:name w:val="bt1bt1"/>
    <w:basedOn w:val="2"/>
    <w:qFormat/>
    <w:uiPriority w:val="99"/>
    <w:pPr>
      <w:spacing w:line="240" w:lineRule="auto"/>
      <w:jc w:val="center"/>
    </w:pPr>
    <w:rPr>
      <w:rFonts w:ascii="黑体" w:eastAsia="黑体"/>
      <w:b w:val="0"/>
      <w:sz w:val="36"/>
      <w:szCs w:val="36"/>
    </w:rPr>
  </w:style>
  <w:style w:type="paragraph" w:styleId="81">
    <w:name w:val="List Paragraph"/>
    <w:basedOn w:val="1"/>
    <w:link w:val="82"/>
    <w:qFormat/>
    <w:uiPriority w:val="34"/>
    <w:pPr>
      <w:ind w:firstLine="420" w:firstLineChars="200"/>
    </w:pPr>
  </w:style>
  <w:style w:type="character" w:customStyle="1" w:styleId="82">
    <w:name w:val="列表段落 字符"/>
    <w:link w:val="81"/>
    <w:qFormat/>
    <w:uiPriority w:val="34"/>
    <w:rPr>
      <w:rFonts w:ascii="Times New Roman" w:hAnsi="Times New Roman"/>
      <w:kern w:val="2"/>
      <w:sz w:val="21"/>
      <w:szCs w:val="24"/>
    </w:rPr>
  </w:style>
  <w:style w:type="paragraph" w:customStyle="1" w:styleId="83">
    <w:name w:val="TOC 标题1"/>
    <w:basedOn w:val="2"/>
    <w:next w:val="1"/>
    <w:qFormat/>
    <w:uiPriority w:val="99"/>
    <w:pPr>
      <w:widowControl/>
      <w:spacing w:before="480" w:after="0" w:line="276" w:lineRule="auto"/>
      <w:jc w:val="left"/>
      <w:outlineLvl w:val="9"/>
    </w:pPr>
    <w:rPr>
      <w:rFonts w:ascii="Cambria" w:hAnsi="Cambria"/>
      <w:color w:val="365F91"/>
      <w:kern w:val="0"/>
      <w:sz w:val="28"/>
      <w:szCs w:val="28"/>
    </w:rPr>
  </w:style>
  <w:style w:type="paragraph" w:customStyle="1" w:styleId="84">
    <w:name w:val="TOC 标题11"/>
    <w:basedOn w:val="2"/>
    <w:next w:val="1"/>
    <w:qFormat/>
    <w:uiPriority w:val="99"/>
    <w:pPr>
      <w:widowControl/>
      <w:spacing w:before="480" w:after="0" w:line="276" w:lineRule="auto"/>
      <w:jc w:val="left"/>
      <w:outlineLvl w:val="9"/>
    </w:pPr>
    <w:rPr>
      <w:rFonts w:ascii="Cambria" w:hAnsi="Cambria"/>
      <w:color w:val="365F91"/>
      <w:kern w:val="0"/>
      <w:sz w:val="28"/>
      <w:szCs w:val="28"/>
    </w:rPr>
  </w:style>
  <w:style w:type="paragraph" w:customStyle="1" w:styleId="85">
    <w:name w:val="_Style 36"/>
    <w:basedOn w:val="1"/>
    <w:qFormat/>
    <w:uiPriority w:val="99"/>
    <w:pPr>
      <w:ind w:firstLine="420" w:firstLineChars="200"/>
    </w:pPr>
    <w:rPr>
      <w:szCs w:val="20"/>
    </w:rPr>
  </w:style>
  <w:style w:type="paragraph" w:customStyle="1" w:styleId="86">
    <w:name w:val="Char Char Char Char Char Char Char Char Char Char Char Char Char"/>
    <w:basedOn w:val="13"/>
    <w:qFormat/>
    <w:uiPriority w:val="99"/>
    <w:pPr>
      <w:shd w:val="clear" w:color="auto" w:fill="000080"/>
    </w:pPr>
    <w:rPr>
      <w:rFonts w:ascii="Tahoma" w:hAnsi="Tahoma"/>
      <w:sz w:val="24"/>
      <w:szCs w:val="24"/>
    </w:rPr>
  </w:style>
  <w:style w:type="paragraph" w:customStyle="1" w:styleId="87">
    <w:name w:val="Blockquote"/>
    <w:basedOn w:val="1"/>
    <w:qFormat/>
    <w:uiPriority w:val="99"/>
    <w:pPr>
      <w:autoSpaceDE w:val="0"/>
      <w:autoSpaceDN w:val="0"/>
      <w:adjustRightInd w:val="0"/>
      <w:spacing w:before="100" w:after="100"/>
      <w:ind w:left="360" w:right="360"/>
      <w:jc w:val="left"/>
    </w:pPr>
    <w:rPr>
      <w:kern w:val="0"/>
      <w:sz w:val="24"/>
      <w:szCs w:val="20"/>
    </w:rPr>
  </w:style>
  <w:style w:type="paragraph" w:customStyle="1" w:styleId="88">
    <w:name w:val="新定义正文"/>
    <w:basedOn w:val="1"/>
    <w:qFormat/>
    <w:uiPriority w:val="99"/>
    <w:pPr>
      <w:widowControl/>
    </w:pPr>
    <w:rPr>
      <w:color w:val="000000"/>
      <w:szCs w:val="21"/>
    </w:rPr>
  </w:style>
  <w:style w:type="paragraph" w:customStyle="1" w:styleId="89">
    <w:name w:val="节"/>
    <w:basedOn w:val="3"/>
    <w:qFormat/>
    <w:uiPriority w:val="99"/>
    <w:pPr>
      <w:tabs>
        <w:tab w:val="left" w:pos="432"/>
        <w:tab w:val="left" w:pos="576"/>
      </w:tabs>
      <w:spacing w:line="240" w:lineRule="auto"/>
      <w:ind w:left="576" w:hanging="576"/>
    </w:pPr>
    <w:rPr>
      <w:rFonts w:ascii="黑体"/>
      <w:b w:val="0"/>
      <w:sz w:val="28"/>
      <w:szCs w:val="28"/>
    </w:rPr>
  </w:style>
  <w:style w:type="paragraph" w:customStyle="1" w:styleId="90">
    <w:name w:val="TOC 标题2"/>
    <w:basedOn w:val="2"/>
    <w:next w:val="1"/>
    <w:qFormat/>
    <w:uiPriority w:val="99"/>
    <w:pPr>
      <w:widowControl/>
      <w:spacing w:before="480" w:after="0" w:line="276" w:lineRule="auto"/>
      <w:jc w:val="left"/>
      <w:outlineLvl w:val="9"/>
    </w:pPr>
    <w:rPr>
      <w:rFonts w:ascii="Cambria" w:hAnsi="Cambria" w:cs="黑体"/>
      <w:color w:val="365F90"/>
      <w:kern w:val="0"/>
      <w:sz w:val="28"/>
      <w:szCs w:val="28"/>
    </w:rPr>
  </w:style>
  <w:style w:type="paragraph" w:customStyle="1" w:styleId="91">
    <w:name w:val="列出段落1"/>
    <w:basedOn w:val="1"/>
    <w:qFormat/>
    <w:uiPriority w:val="0"/>
    <w:pPr>
      <w:ind w:firstLine="420" w:firstLineChars="200"/>
    </w:pPr>
    <w:rPr>
      <w:szCs w:val="20"/>
    </w:rPr>
  </w:style>
  <w:style w:type="paragraph" w:customStyle="1" w:styleId="92">
    <w:name w:val="修订1"/>
    <w:hidden/>
    <w:qFormat/>
    <w:uiPriority w:val="99"/>
    <w:pPr>
      <w:spacing w:after="120" w:line="276" w:lineRule="auto"/>
    </w:pPr>
    <w:rPr>
      <w:rFonts w:ascii="Times New Roman" w:hAnsi="Times New Roman" w:eastAsia="宋体" w:cs="Times New Roman"/>
      <w:kern w:val="2"/>
      <w:sz w:val="21"/>
      <w:szCs w:val="24"/>
      <w:lang w:val="en-US" w:eastAsia="zh-CN" w:bidi="ar-SA"/>
    </w:rPr>
  </w:style>
  <w:style w:type="character" w:customStyle="1" w:styleId="93">
    <w:name w:val="Char Char1"/>
    <w:qFormat/>
    <w:uiPriority w:val="99"/>
    <w:rPr>
      <w:rFonts w:ascii="楷体_GB2312" w:eastAsia="楷体_GB2312"/>
      <w:sz w:val="28"/>
    </w:rPr>
  </w:style>
  <w:style w:type="character" w:customStyle="1" w:styleId="94">
    <w:name w:val="Char Char"/>
    <w:qFormat/>
    <w:uiPriority w:val="99"/>
    <w:rPr>
      <w:rFonts w:ascii="宋体"/>
      <w:kern w:val="2"/>
      <w:sz w:val="18"/>
    </w:rPr>
  </w:style>
  <w:style w:type="paragraph" w:customStyle="1" w:styleId="95">
    <w:name w:val="修订2"/>
    <w:hidden/>
    <w:qFormat/>
    <w:uiPriority w:val="99"/>
    <w:pPr>
      <w:spacing w:after="120" w:line="276" w:lineRule="auto"/>
    </w:pPr>
    <w:rPr>
      <w:rFonts w:ascii="Times New Roman" w:hAnsi="Times New Roman" w:eastAsia="宋体" w:cs="Times New Roman"/>
      <w:kern w:val="2"/>
      <w:sz w:val="21"/>
      <w:szCs w:val="24"/>
      <w:lang w:val="en-US" w:eastAsia="zh-CN" w:bidi="ar-SA"/>
    </w:rPr>
  </w:style>
  <w:style w:type="paragraph" w:customStyle="1" w:styleId="96">
    <w:name w:val="样式 标题 3 + (中文) 黑体 小四 非加粗 段前: 7.8 磅 段后: 0 磅 行距: 固定值 20 磅"/>
    <w:basedOn w:val="4"/>
    <w:qFormat/>
    <w:uiPriority w:val="99"/>
    <w:pPr>
      <w:autoSpaceDE/>
      <w:autoSpaceDN/>
      <w:adjustRightInd/>
      <w:spacing w:before="0" w:after="0" w:line="400" w:lineRule="exact"/>
    </w:pPr>
    <w:rPr>
      <w:rFonts w:ascii="Times New Roman" w:cs="宋体"/>
      <w:kern w:val="2"/>
      <w:sz w:val="24"/>
    </w:rPr>
  </w:style>
  <w:style w:type="character" w:customStyle="1" w:styleId="97">
    <w:name w:val="批注文字 Char1"/>
    <w:qFormat/>
    <w:uiPriority w:val="99"/>
    <w:rPr>
      <w:kern w:val="2"/>
      <w:sz w:val="21"/>
    </w:rPr>
  </w:style>
  <w:style w:type="paragraph" w:customStyle="1" w:styleId="98">
    <w:name w:val="样式1"/>
    <w:basedOn w:val="38"/>
    <w:qFormat/>
    <w:uiPriority w:val="99"/>
    <w:pPr>
      <w:tabs>
        <w:tab w:val="left" w:pos="588"/>
      </w:tabs>
      <w:snapToGrid w:val="0"/>
      <w:spacing w:before="120" w:line="440" w:lineRule="exact"/>
      <w:ind w:left="850" w:hanging="425"/>
      <w:jc w:val="left"/>
    </w:pPr>
    <w:rPr>
      <w:rFonts w:ascii="宋体" w:hAnsi="宋体"/>
      <w:bCs/>
      <w:szCs w:val="20"/>
    </w:rPr>
  </w:style>
  <w:style w:type="paragraph" w:customStyle="1" w:styleId="99">
    <w:name w:val="样式2"/>
    <w:basedOn w:val="3"/>
    <w:qFormat/>
    <w:uiPriority w:val="99"/>
    <w:pPr>
      <w:snapToGrid w:val="0"/>
      <w:spacing w:before="240" w:after="120" w:line="240" w:lineRule="auto"/>
      <w:ind w:left="420" w:hanging="420"/>
    </w:pPr>
    <w:rPr>
      <w:rFonts w:ascii="宋体" w:hAnsi="宋体" w:eastAsia="宋体" w:cs="宋体"/>
      <w:bCs w:val="0"/>
      <w:sz w:val="28"/>
      <w:szCs w:val="24"/>
    </w:rPr>
  </w:style>
  <w:style w:type="paragraph" w:customStyle="1" w:styleId="100">
    <w:name w:val="样式3"/>
    <w:basedOn w:val="98"/>
    <w:qFormat/>
    <w:uiPriority w:val="99"/>
    <w:pPr>
      <w:ind w:left="425"/>
    </w:pPr>
  </w:style>
  <w:style w:type="paragraph" w:customStyle="1" w:styleId="101">
    <w:name w:val="样式4"/>
    <w:basedOn w:val="22"/>
    <w:qFormat/>
    <w:uiPriority w:val="99"/>
    <w:pPr>
      <w:tabs>
        <w:tab w:val="left" w:pos="630"/>
      </w:tabs>
      <w:snapToGrid w:val="0"/>
      <w:spacing w:line="440" w:lineRule="exact"/>
      <w:ind w:left="850" w:firstLine="202" w:firstLineChars="202"/>
    </w:pPr>
    <w:rPr>
      <w:rFonts w:hAnsi="宋体"/>
    </w:rPr>
  </w:style>
  <w:style w:type="paragraph" w:customStyle="1" w:styleId="102">
    <w:name w:val="正文00"/>
    <w:basedOn w:val="1"/>
    <w:qFormat/>
    <w:uiPriority w:val="0"/>
    <w:pPr>
      <w:topLinePunct/>
      <w:spacing w:line="360" w:lineRule="auto"/>
      <w:ind w:firstLine="200" w:firstLineChars="200"/>
    </w:pPr>
    <w:rPr>
      <w:sz w:val="24"/>
      <w:szCs w:val="21"/>
    </w:rPr>
  </w:style>
  <w:style w:type="character" w:customStyle="1" w:styleId="103">
    <w:name w:val="文档正文 Char"/>
    <w:link w:val="104"/>
    <w:qFormat/>
    <w:uiPriority w:val="0"/>
    <w:rPr>
      <w:rFonts w:ascii="Arial Narrow" w:hAnsi="Arial Narrow"/>
    </w:rPr>
  </w:style>
  <w:style w:type="paragraph" w:customStyle="1" w:styleId="104">
    <w:name w:val="文档正文"/>
    <w:basedOn w:val="1"/>
    <w:link w:val="103"/>
    <w:qFormat/>
    <w:uiPriority w:val="0"/>
    <w:pPr>
      <w:adjustRightInd w:val="0"/>
      <w:spacing w:line="440" w:lineRule="exact"/>
      <w:ind w:firstLine="567" w:firstLineChars="200"/>
      <w:textAlignment w:val="baseline"/>
    </w:pPr>
    <w:rPr>
      <w:rFonts w:ascii="Arial Narrow" w:hAnsi="Arial Narrow"/>
      <w:kern w:val="0"/>
      <w:sz w:val="20"/>
      <w:szCs w:val="20"/>
    </w:rPr>
  </w:style>
  <w:style w:type="paragraph" w:customStyle="1" w:styleId="105">
    <w:name w:val="普通正文"/>
    <w:basedOn w:val="1"/>
    <w:link w:val="106"/>
    <w:qFormat/>
    <w:uiPriority w:val="0"/>
    <w:pPr>
      <w:widowControl/>
      <w:spacing w:line="360" w:lineRule="auto"/>
    </w:pPr>
    <w:rPr>
      <w:kern w:val="21"/>
      <w:szCs w:val="20"/>
      <w:lang w:val="zh-CN"/>
    </w:rPr>
  </w:style>
  <w:style w:type="character" w:customStyle="1" w:styleId="106">
    <w:name w:val="普通正文 Char"/>
    <w:link w:val="105"/>
    <w:qFormat/>
    <w:uiPriority w:val="0"/>
    <w:rPr>
      <w:rFonts w:ascii="Times New Roman" w:hAnsi="Times New Roman"/>
      <w:kern w:val="21"/>
      <w:sz w:val="21"/>
      <w:lang w:val="zh-CN" w:eastAsia="zh-CN"/>
    </w:rPr>
  </w:style>
  <w:style w:type="character" w:customStyle="1" w:styleId="107">
    <w:name w:val="列出段落 Char1"/>
    <w:qFormat/>
    <w:uiPriority w:val="34"/>
    <w:rPr>
      <w:rFonts w:ascii="Times New Roman" w:hAnsi="Times New Roman" w:eastAsia="宋体" w:cs="Times New Roman"/>
      <w:szCs w:val="24"/>
    </w:rPr>
  </w:style>
  <w:style w:type="paragraph" w:styleId="108">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09">
    <w:name w:val="不明显强调1"/>
    <w:basedOn w:val="46"/>
    <w:qFormat/>
    <w:uiPriority w:val="19"/>
    <w:rPr>
      <w:i/>
      <w:iCs/>
      <w:color w:val="808080" w:themeColor="text1" w:themeTint="80"/>
      <w14:textFill>
        <w14:solidFill>
          <w14:schemeClr w14:val="tx1">
            <w14:lumMod w14:val="50000"/>
            <w14:lumOff w14:val="50000"/>
          </w14:schemeClr>
        </w14:solidFill>
      </w14:textFill>
    </w:rPr>
  </w:style>
  <w:style w:type="character" w:customStyle="1" w:styleId="110">
    <w:name w:val="明显强调1"/>
    <w:basedOn w:val="46"/>
    <w:qFormat/>
    <w:uiPriority w:val="21"/>
    <w:rPr>
      <w:b/>
      <w:bCs/>
      <w:i/>
      <w:iCs/>
      <w:color w:val="4F81BD" w:themeColor="accent1"/>
      <w14:textFill>
        <w14:solidFill>
          <w14:schemeClr w14:val="accent1"/>
        </w14:solidFill>
      </w14:textFill>
    </w:rPr>
  </w:style>
  <w:style w:type="character" w:customStyle="1" w:styleId="111">
    <w:name w:val="未处理的提及1"/>
    <w:basedOn w:val="46"/>
    <w:semiHidden/>
    <w:unhideWhenUsed/>
    <w:qFormat/>
    <w:uiPriority w:val="99"/>
    <w:rPr>
      <w:color w:val="808080"/>
      <w:shd w:val="clear" w:color="auto" w:fill="E6E6E6"/>
    </w:rPr>
  </w:style>
  <w:style w:type="paragraph" w:customStyle="1" w:styleId="112">
    <w:name w:val="公文正文"/>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113">
    <w:name w:val="msonormal"/>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114">
    <w:name w:val="font5"/>
    <w:basedOn w:val="1"/>
    <w:qFormat/>
    <w:uiPriority w:val="0"/>
    <w:pPr>
      <w:widowControl/>
      <w:spacing w:before="100" w:beforeAutospacing="1" w:after="100" w:afterAutospacing="1" w:line="240" w:lineRule="auto"/>
      <w:jc w:val="left"/>
    </w:pPr>
    <w:rPr>
      <w:rFonts w:ascii="宋体" w:hAnsi="宋体" w:cs="宋体"/>
      <w:color w:val="000000"/>
      <w:kern w:val="0"/>
      <w:sz w:val="24"/>
    </w:rPr>
  </w:style>
  <w:style w:type="paragraph" w:customStyle="1" w:styleId="115">
    <w:name w:val="font6"/>
    <w:basedOn w:val="1"/>
    <w:qFormat/>
    <w:uiPriority w:val="0"/>
    <w:pPr>
      <w:widowControl/>
      <w:spacing w:before="100" w:beforeAutospacing="1" w:after="100" w:afterAutospacing="1" w:line="240" w:lineRule="auto"/>
      <w:jc w:val="left"/>
    </w:pPr>
    <w:rPr>
      <w:rFonts w:ascii="宋体" w:hAnsi="宋体" w:cs="宋体"/>
      <w:color w:val="000000"/>
      <w:kern w:val="0"/>
      <w:sz w:val="24"/>
    </w:rPr>
  </w:style>
  <w:style w:type="paragraph" w:customStyle="1" w:styleId="116">
    <w:name w:val="font7"/>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117">
    <w:name w:val="xl65"/>
    <w:basedOn w:val="1"/>
    <w:qFormat/>
    <w:uiPriority w:val="0"/>
    <w:pPr>
      <w:widowControl/>
      <w:spacing w:before="100" w:beforeAutospacing="1" w:after="100" w:afterAutospacing="1" w:line="240" w:lineRule="auto"/>
      <w:jc w:val="left"/>
    </w:pPr>
    <w:rPr>
      <w:rFonts w:ascii="宋体" w:hAnsi="宋体" w:cs="宋体"/>
      <w:b/>
      <w:bCs/>
      <w:kern w:val="0"/>
      <w:sz w:val="24"/>
    </w:rPr>
  </w:style>
  <w:style w:type="paragraph" w:customStyle="1" w:styleId="118">
    <w:name w:val="xl66"/>
    <w:basedOn w:val="1"/>
    <w:qFormat/>
    <w:uiPriority w:val="0"/>
    <w:pPr>
      <w:widowControl/>
      <w:spacing w:before="100" w:beforeAutospacing="1" w:after="100" w:afterAutospacing="1" w:line="240" w:lineRule="auto"/>
      <w:jc w:val="center"/>
    </w:pPr>
    <w:rPr>
      <w:rFonts w:ascii="宋体" w:hAnsi="宋体" w:cs="宋体"/>
      <w:kern w:val="0"/>
      <w:sz w:val="24"/>
    </w:rPr>
  </w:style>
  <w:style w:type="paragraph" w:customStyle="1" w:styleId="119">
    <w:name w:val="xl67"/>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120">
    <w:name w:val="xl68"/>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121">
    <w:name w:val="xl69"/>
    <w:basedOn w:val="1"/>
    <w:qFormat/>
    <w:uiPriority w:val="0"/>
    <w:pPr>
      <w:widowControl/>
      <w:spacing w:before="100" w:beforeAutospacing="1" w:after="100" w:afterAutospacing="1" w:line="240" w:lineRule="auto"/>
      <w:jc w:val="center"/>
    </w:pPr>
    <w:rPr>
      <w:rFonts w:ascii="宋体" w:hAnsi="宋体" w:cs="宋体"/>
      <w:kern w:val="0"/>
      <w:sz w:val="24"/>
    </w:rPr>
  </w:style>
  <w:style w:type="paragraph" w:customStyle="1" w:styleId="12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23">
    <w:name w:val="xl71"/>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2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2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2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12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2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18"/>
      <w:szCs w:val="18"/>
    </w:rPr>
  </w:style>
  <w:style w:type="paragraph" w:customStyle="1" w:styleId="129">
    <w:name w:val="xl77"/>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130">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131">
    <w:name w:val="xl25"/>
    <w:basedOn w:val="1"/>
    <w:qFormat/>
    <w:uiPriority w:val="0"/>
    <w:pPr>
      <w:widowControl/>
      <w:pBdr>
        <w:bottom w:val="single" w:color="auto" w:sz="4" w:space="0"/>
        <w:right w:val="single" w:color="auto" w:sz="4" w:space="0"/>
      </w:pBdr>
      <w:spacing w:before="100" w:beforeAutospacing="1" w:after="100" w:afterAutospacing="1" w:line="240" w:lineRule="auto"/>
      <w:jc w:val="center"/>
    </w:pPr>
    <w:rPr>
      <w:rFonts w:ascii="宋体" w:hAnsi="宋体"/>
      <w:kern w:val="0"/>
      <w:szCs w:val="21"/>
    </w:rPr>
  </w:style>
  <w:style w:type="paragraph" w:customStyle="1" w:styleId="132">
    <w:name w:val="列表段落1"/>
    <w:basedOn w:val="1"/>
    <w:qFormat/>
    <w:uiPriority w:val="34"/>
    <w:pPr>
      <w:spacing w:after="0" w:line="240" w:lineRule="auto"/>
      <w:ind w:firstLine="420"/>
    </w:pPr>
    <w:rPr>
      <w:rFonts w:ascii="Calibri" w:hAnsi="Calibri"/>
      <w:szCs w:val="21"/>
    </w:rPr>
  </w:style>
  <w:style w:type="character" w:customStyle="1" w:styleId="133">
    <w:name w:val="正文文本首行缩进 2 字符"/>
    <w:basedOn w:val="67"/>
    <w:link w:val="43"/>
    <w:semiHidden/>
    <w:qFormat/>
    <w:uiPriority w:val="99"/>
    <w:rPr>
      <w:rFonts w:ascii="Times New Roman" w:hAnsi="Times New Roman" w:eastAsia="楷体_GB2312" w:cs="Times New Roman"/>
      <w:kern w:val="2"/>
      <w:sz w:val="21"/>
      <w:szCs w:val="24"/>
    </w:rPr>
  </w:style>
  <w:style w:type="paragraph" w:customStyle="1" w:styleId="134">
    <w:name w:val="B&amp;P Heading 3"/>
    <w:basedOn w:val="1"/>
    <w:next w:val="1"/>
    <w:qFormat/>
    <w:uiPriority w:val="0"/>
    <w:pPr>
      <w:widowControl/>
      <w:suppressAutoHyphens/>
      <w:spacing w:before="72" w:after="240" w:line="240" w:lineRule="auto"/>
      <w:ind w:left="4560" w:hanging="360"/>
      <w:jc w:val="left"/>
    </w:pPr>
    <w:rPr>
      <w:rFonts w:ascii="Arial Bold" w:hAnsi="Arial Bold" w:eastAsia="PMingLiU" w:cs="Arial Bold"/>
      <w:b/>
      <w:color w:val="0000FF"/>
      <w:kern w:val="0"/>
      <w:sz w:val="24"/>
      <w:lang w:eastAsia="ar-SA"/>
    </w:rPr>
  </w:style>
  <w:style w:type="character" w:customStyle="1" w:styleId="135">
    <w:name w:val="未处理的提及2"/>
    <w:basedOn w:val="46"/>
    <w:semiHidden/>
    <w:unhideWhenUsed/>
    <w:qFormat/>
    <w:uiPriority w:val="99"/>
    <w:rPr>
      <w:color w:val="605E5C"/>
      <w:shd w:val="clear" w:color="auto" w:fill="E1DFDD"/>
    </w:rPr>
  </w:style>
  <w:style w:type="paragraph" w:customStyle="1" w:styleId="136">
    <w:name w:val="TOC 标题3"/>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137">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138">
    <w:name w:val="正文文本首行缩进 字符"/>
    <w:basedOn w:val="66"/>
    <w:link w:val="42"/>
    <w:qFormat/>
    <w:uiPriority w:val="99"/>
    <w:rPr>
      <w:rFonts w:ascii="Times New Roman" w:hAnsi="Times New Roman" w:eastAsia="宋体" w:cs="Times New Roman"/>
      <w:kern w:val="2"/>
      <w:sz w:val="28"/>
      <w:szCs w:val="20"/>
    </w:rPr>
  </w:style>
  <w:style w:type="character" w:customStyle="1" w:styleId="139">
    <w:name w:val="font21"/>
    <w:basedOn w:val="46"/>
    <w:qFormat/>
    <w:uiPriority w:val="0"/>
    <w:rPr>
      <w:rFonts w:hint="eastAsia" w:ascii="宋体" w:hAnsi="宋体" w:eastAsia="宋体"/>
      <w:color w:val="000000"/>
      <w:sz w:val="20"/>
      <w:szCs w:val="20"/>
      <w:u w:val="none"/>
    </w:rPr>
  </w:style>
  <w:style w:type="character" w:customStyle="1" w:styleId="140">
    <w:name w:val="font61"/>
    <w:basedOn w:val="46"/>
    <w:qFormat/>
    <w:uiPriority w:val="0"/>
    <w:rPr>
      <w:rFonts w:hint="eastAsia" w:ascii="微软雅黑" w:hAnsi="微软雅黑" w:eastAsia="微软雅黑"/>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610584a6-2982-4ef1-859d-e44362700fe1</errorID>
      <errorWord>,</errorWord>
      <group>L1_Format</group>
      <groupName>格式问题</groupName>
      <ability>L2_HalfPunc</ability>
      <abilityName>全半角检查</abilityName>
      <candidateList>
        <item>，</item>
      </candidateList>
      <explain>文本全半角错误。</explain>
      <paraID>66D9F986</paraID>
      <start>31</start>
      <end>32</end>
      <status>modified</status>
      <modifiedWord>，</modifiedWord>
      <trackRevisions>false</trackRevisions>
    </reviewItem>
    <reviewItem>
      <errorID>b55c5c1b-6eb1-41f4-8a66-9c198c2bb5ac</errorID>
      <errorWord>。</errorWord>
      <group>L1_Grammar</group>
      <groupName>语法问题</groupName>
      <ability>L2_Missing</ability>
      <abilityName>成分残缺</abilityName>
      <candidateList>
        <item>的费用。</item>
      </candidateList>
      <explain>句子中可能存在主谓宾、修饰语或者必要的词语残缺。</explain>
      <paraID>4FE2EE57</paraID>
      <start>46</start>
      <end>47</end>
      <status>ignored</status>
      <modifiedWord/>
      <trackRevisions>false</trackRevisions>
    </reviewItem>
    <reviewItem>
      <errorID>4f37098b-88f0-4098-9b56-f8861c5141d6</errorID>
      <errorWord>:</errorWord>
      <group>L1_Format</group>
      <groupName>格式问题</groupName>
      <ability>L2_HalfPunc</ability>
      <abilityName>全半角检查</abilityName>
      <candidateList>
        <item>：</item>
      </candidateList>
      <explain>文本全半角错误。</explain>
      <paraID>4FE2EE57</paraID>
      <start>55</start>
      <end>56</end>
      <status>modified</status>
      <modifiedWord>：</modifiedWord>
      <trackRevisions>false</trackRevisions>
    </reviewItem>
    <reviewItem>
      <errorID>3b10e2fe-47e6-4c88-ae67-3c072e383ef7</errorID>
      <errorWord>达到</errorWord>
      <group>L1_Word</group>
      <groupName>字词问题</groupName>
      <ability>L2_Typo</ability>
      <abilityName>字词错误</abilityName>
      <candidateList>
        <item>达</item>
      </candidateList>
      <explain/>
      <paraID>528424C8</paraID>
      <start>41</start>
      <end>43</end>
      <status>ignored</status>
      <modifiedWord/>
      <trackRevisions>false</trackRevisions>
    </reviewItem>
    <reviewItem>
      <errorID>0cb18970-127a-4c68-9673-1885660bca34</errorID>
      <errorWord>(</errorWord>
      <group>L1_Format</group>
      <groupName>格式问题</groupName>
      <ability>L2_HalfPunc</ability>
      <abilityName>全半角检查</abilityName>
      <candidateList>
        <item>（</item>
      </candidateList>
      <explain>文本全半角错误。</explain>
      <paraID>31B6BF84</paraID>
      <start>18</start>
      <end>19</end>
      <status>unmodified</status>
      <modifiedWord/>
      <trackRevisions>false</trackRevisions>
    </reviewItem>
    <reviewItem>
      <errorID>51e84d28-1fb6-414f-b074-8b86667c1515</errorID>
      <errorWord>)</errorWord>
      <group>L1_Format</group>
      <groupName>格式问题</groupName>
      <ability>L2_HalfPunc</ability>
      <abilityName>全半角检查</abilityName>
      <candidateList>
        <item>）</item>
      </candidateList>
      <explain>文本全半角错误。</explain>
      <paraID>31B6BF84</paraID>
      <start>41</start>
      <end>42</end>
      <status>unmodified</status>
      <modifiedWord/>
      <trackRevisions>false</trackRevisions>
    </reviewItem>
    <reviewItem>
      <errorID>e2bb66e8-03e5-45b8-9c29-524337a0cd56</errorID>
      <errorWord>(</errorWord>
      <group>L1_Format</group>
      <groupName>格式问题</groupName>
      <ability>L2_HalfPunc</ability>
      <abilityName>全半角检查</abilityName>
      <candidateList>
        <item>（</item>
      </candidateList>
      <explain>文本全半角错误。</explain>
      <paraID>68047BE5</paraID>
      <start>11</start>
      <end>12</end>
      <status>unmodified</status>
      <modifiedWord/>
      <trackRevisions>false</trackRevisions>
    </reviewItem>
    <reviewItem>
      <errorID>c83be42c-3cfc-4f8a-9274-9874442408c2</errorID>
      <errorWord>/)</errorWord>
      <group>L1_Punc</group>
      <groupName>标点问题</groupName>
      <ability>L2_Punc</ability>
      <abilityName>标点符号检查</abilityName>
      <candidateList>
        <item>)</item>
      </candidateList>
      <explain/>
      <paraID> F11DC82</paraID>
      <start>147</start>
      <end>149</end>
      <status>unmodified</status>
      <modifiedWord/>
      <trackRevisions>false</trackRevisions>
    </reviewItem>
    <reviewItem>
      <errorID>df6ac654-27d6-4c59-be91-b0ee30843a6b</errorID>
      <errorWord>/)</errorWord>
      <group>L1_Punc</group>
      <groupName>标点问题</groupName>
      <ability>L2_Punc</ability>
      <abilityName>标点符号检查</abilityName>
      <candidateList>
        <item>)</item>
      </candidateList>
      <explain/>
      <paraID>298C9833</paraID>
      <start>151</start>
      <end>153</end>
      <status>unmodified</status>
      <modifiedWord/>
      <trackRevisions>false</trackRevisions>
    </reviewItem>
    <reviewItem>
      <errorID>53339597-dea8-453c-96a3-1b64abc29655</errorID>
      <errorWord>“</errorWord>
      <group>L1_Punc</group>
      <groupName>标点问题</groupName>
      <ability>L2_Punc</ability>
      <abilityName>标点符号检查</abilityName>
      <candidateList/>
      <explain/>
      <paraID>4F468C8B</paraID>
      <start>8</start>
      <end>9</end>
      <status>unmodified</status>
      <modifiedWord/>
      <trackRevisions>false</trackRevisions>
    </reviewItem>
    <reviewItem>
      <errorID>14191c47-a3a6-466e-ae97-509e22c09a70</errorID>
      <errorWord>惠州市市民</errorWord>
      <group>L1_Political</group>
      <groupName>政治性问题</groupName>
      <ability>L2_Leader</ability>
      <abilityName>领导人姓名/职务</abilityName>
      <candidateList>
        <item>惠州市市长</item>
      </candidateList>
      <explain>疑似职务错误。</explain>
      <paraID>7D1FC4DA</paraID>
      <start>33</start>
      <end>38</end>
      <status>unmodified</status>
      <modifiedWord/>
      <trackRevisions>false</trackRevisions>
    </reviewItem>
    <reviewItem>
      <errorID>129197d3-3831-4582-bfe9-153cbfce3e96</errorID>
      <errorWord>惠州市市民</errorWord>
      <group>L1_Political</group>
      <groupName>政治性问题</groupName>
      <ability>L2_Leader</ability>
      <abilityName>领导人姓名/职务</abilityName>
      <candidateList>
        <item>惠州市市长</item>
      </candidateList>
      <explain>疑似职务错误。</explain>
      <paraID>44F48B01</paraID>
      <start>16</start>
      <end>21</end>
      <status>unmodified</status>
      <modifiedWord/>
      <trackRevisions>false</trackRevisions>
    </reviewItem>
    <reviewItem>
      <errorID>2a42b95d-298d-4b37-ac28-0eeae933c7ed</errorID>
      <errorWord>：/</errorWord>
      <group>L1_Punc</group>
      <groupName>标点问题</groupName>
      <ability>L2_Punc</ability>
      <abilityName>标点符号检查</abilityName>
      <candidateList>
        <item>：</item>
      </candidateList>
      <explain/>
      <paraID>58B450AD</paraID>
      <start>16</start>
      <end>18</end>
      <status>unmodified</status>
      <modifiedWord/>
      <trackRevisions>false</trackRevisions>
    </reviewItem>
    <reviewItem>
      <errorID>6eda0f7f-9834-449a-bcb7-b6de48be3a55</errorID>
      <errorWord>：/</errorWord>
      <group>L1_Punc</group>
      <groupName>标点问题</groupName>
      <ability>L2_Punc</ability>
      <abilityName>标点符号检查</abilityName>
      <candidateList>
        <item>：</item>
      </candidateList>
      <explain/>
      <paraID>3903A86A</paraID>
      <start>9</start>
      <end>11</end>
      <status>unmodified</status>
      <modifiedWord/>
      <trackRevisions>false</trackRevisions>
    </reviewItem>
    <reviewItem>
      <errorID>fac18cb6-9f7e-47f5-a371-47322934b4d3</errorID>
      <errorWord>或者</errorWord>
      <group>L1_Grammar</group>
      <groupName>语法问题</groupName>
      <ability>L2_Order</ability>
      <abilityName>语序不当</abilityName>
      <candidateList>
        <item>和</item>
      </candidateList>
      <explain>句子可能没有遵循时空、逻辑顺序，或者介词、关联词等位置不当。</explain>
      <paraID>43834D87</paraID>
      <start>8</start>
      <end>10</end>
      <status>unmodified</status>
      <modifiedWord/>
      <trackRevisions>false</trackRevisions>
    </reviewItem>
    <reviewItem>
      <errorID>ae5f95dd-c7f1-433f-abae-5d2e7560b47a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5DE6378E</paraID>
      <start>0</start>
      <end>2</end>
      <status>unmodified</status>
      <modifiedWord/>
      <trackRevisions>false</trackRevisions>
    </reviewItem>
    <reviewItem>
      <errorID>102e2e70-3a33-453d-99de-75e7df0f81ba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63EE262A</paraID>
      <start>0</start>
      <end>2</end>
      <status>unmodified</status>
      <modifiedWord/>
      <trackRevisions>false</trackRevisions>
    </reviewItem>
    <reviewItem>
      <errorID>f3b83978-762d-424a-9d3f-dbfce93fea07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423B0275</paraID>
      <start>0</start>
      <end>2</end>
      <status>unmodified</status>
      <modifiedWord/>
      <trackRevisions>false</trackRevisions>
    </reviewItem>
    <reviewItem>
      <errorID>21c84688-51e9-4ba0-9b1d-3100db8ae692</errorID>
      <errorWord>：/</errorWord>
      <group>L1_Punc</group>
      <groupName>标点问题</groupName>
      <ability>L2_Punc</ability>
      <abilityName>标点符号检查</abilityName>
      <candidateList>
        <item>：</item>
      </candidateList>
      <explain/>
      <paraID>6F6809BD</paraID>
      <start>9</start>
      <end>11</end>
      <status>unmodified</status>
      <modifiedWord/>
      <trackRevisions>false</trackRevisions>
    </reviewItem>
    <reviewItem>
      <errorID>7ea38d44-02ed-4346-a559-16521f5d6b29</errorID>
      <errorWord>《中华人民共和国招标投标法》（以下简称《招标投标法》）</errorWord>
      <group>L1_Knowledge</group>
      <groupName>知识性问题</groupName>
      <ability>L2_Knowledge</ability>
      <abilityName>其他知识</abilityName>
      <candidateList>
        <item>《中华人民共和国招标投标法》（以下简称“招标投标法”）</item>
      </candidateList>
      <explain>疑似政策文件、法律法规名称等书写不规范，请注意检查。</explain>
      <paraID>4DD36F3B</paraID>
      <start>9</start>
      <end>36</end>
      <status>unmodified</status>
      <modifiedWord/>
      <trackRevisions>false</trackRevisions>
    </reviewItem>
    <reviewItem>
      <errorID>b41ce873-e285-417d-9f74-3fb9ae3aa753</errorID>
      <errorWord>中国人民共和国</errorWord>
      <group>L1_Political</group>
      <groupName>政治性问题</groupName>
      <ability>L2_Unpolitical</ability>
      <abilityName>政治敏感错误</abilityName>
      <candidateList>
        <item>中华人民共和国</item>
      </candidateList>
      <explain/>
      <paraID>4DD36F3B</paraID>
      <start>37</start>
      <end>44</end>
      <status>unmodified</status>
      <modifiedWord/>
      <trackRevisions>false</trackRevisions>
    </reviewItem>
    <reviewItem>
      <errorID>00642945-ba4d-46b5-b2ac-ee1e5f24b31c</errorID>
      <errorWord>法律、法规</errorWord>
      <group>L1_Word</group>
      <groupName>字词问题</groupName>
      <ability>L2_Typo</ability>
      <abilityName>字词错误</abilityName>
      <candidateList>
        <item>法律法规</item>
      </candidateList>
      <explain/>
      <paraID>4DD36F3B</paraID>
      <start>98</start>
      <end>103</end>
      <status>unmodified</status>
      <modifiedWord/>
      <trackRevisions>false</trackRevisions>
    </reviewItem>
    <reviewItem>
      <errorID>18d16513-bcdc-4f4e-9994-44de4570c707</errorID>
      <errorWord>做出</errorWord>
      <group>L1_Word</group>
      <groupName>字词问题</groupName>
      <ability>L2_Typo</ability>
      <abilityName>字词错误</abilityName>
      <candidateList>
        <item>作出</item>
      </candidateList>
      <explain/>
      <paraID>7AA69DBB</paraID>
      <start>64</start>
      <end>66</end>
      <status>unmodified</status>
      <modifiedWord/>
      <trackRevisions>false</trackRevisions>
    </reviewItem>
    <reviewItem>
      <errorID>2481996f-02ee-4edc-bc5f-db7c83f24205</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861AA29</paraID>
      <start>35</start>
      <end>38</end>
      <status>unmodified</status>
      <modifiedWord/>
      <trackRevisions>false</trackRevisions>
    </reviewItem>
    <reviewItem>
      <errorID>ba97bc83-27f7-4cc5-a09a-ce1d126c7746</errorID>
      <errorWord>所属</errorWord>
      <group>L1_Word</group>
      <groupName>字词问题</groupName>
      <ability>L2_Typo</ability>
      <abilityName>字词错误</abilityName>
      <candidateList>
        <item>所述</item>
      </candidateList>
      <explain>存在发音相同字词的误用。</explain>
      <paraID>25C9A6F6</paraID>
      <start>12</start>
      <end>14</end>
      <status>unmodified</status>
      <modifiedWord/>
      <trackRevisions>false</trackRevisions>
    </reviewItem>
    <reviewItem>
      <errorID>b238a6b4-edce-4294-8ebe-5dd24e182420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56EC4557</paraID>
      <start>0</start>
      <end>2</end>
      <status>unmodified</status>
      <modifiedWord/>
      <trackRevisions>false</trackRevisions>
    </reviewItem>
    <reviewItem>
      <errorID>2f5e47c3-fc33-405f-ac10-8a05ab229e23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59E03CA5</paraID>
      <start>0</start>
      <end>2</end>
      <status>unmodified</status>
      <modifiedWord/>
      <trackRevisions>false</trackRevisions>
    </reviewItem>
    <reviewItem>
      <errorID>4dcf145e-7c63-4d37-bd90-3bbc639ab27f</errorID>
      <errorWord>投标投标</errorWord>
      <group>L1_Word</group>
      <groupName>字词问题</groupName>
      <ability>L2_Typo</ability>
      <abilityName>字词错误</abilityName>
      <candidateList>
        <item>投标</item>
      </candidateList>
      <explain/>
      <paraID>487D70FA</paraID>
      <start>105</start>
      <end>109</end>
      <status>unmodified</status>
      <modifiedWord/>
      <trackRevisions>false</trackRevisions>
    </reviewItem>
    <reviewItem>
      <errorID>1e190594-2ba1-4bb4-827c-31a0391f6613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35C34EFA</paraID>
      <start>44</start>
      <end>47</end>
      <status>unmodified</status>
      <modifiedWord/>
      <trackRevisions>false</trackRevisions>
    </reviewItem>
    <reviewItem>
      <errorID>51ccf7e2-816d-487d-804b-c546cfcbf521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35C34EFA</paraID>
      <start>55</start>
      <end>58</end>
      <status>unmodified</status>
      <modifiedWord/>
      <trackRevisions>false</trackRevisions>
    </reviewItem>
    <reviewItem>
      <errorID>8e978e83-1e37-4349-85ec-16b13a179944</errorID>
      <errorWord>签收</errorWord>
      <group>L1_Word</group>
      <groupName>字词问题</groupName>
      <ability>L2_Typo</ability>
      <abilityName>字词错误</abilityName>
      <candidateList>
        <item>验收</item>
      </candidateList>
      <explain/>
      <paraID> A27D681</paraID>
      <start>41</start>
      <end>43</end>
      <status>unmodified</status>
      <modifiedWord/>
      <trackRevisions>false</trackRevisions>
    </reviewItem>
    <reviewItem>
      <errorID>ab537c43-69ea-42dd-9f3d-6d851577d171</errorID>
      <errorWord>签收</errorWord>
      <group>L1_Word</group>
      <groupName>字词问题</groupName>
      <ability>L2_Typo</ability>
      <abilityName>字词错误</abilityName>
      <candidateList>
        <item>验收</item>
      </candidateList>
      <explain/>
      <paraID>7BBE381A</paraID>
      <start>24</start>
      <end>26</end>
      <status>unmodified</status>
      <modifiedWord/>
      <trackRevisions>false</trackRevisions>
    </reviewItem>
    <reviewItem>
      <errorID>94743d50-32ac-4681-8851-0c765aa94666</errorID>
      <errorWord>投标投标</errorWord>
      <group>L1_Word</group>
      <groupName>字词问题</groupName>
      <ability>L2_Typo</ability>
      <abilityName>字词错误</abilityName>
      <candidateList>
        <item>投标</item>
      </candidateList>
      <explain/>
      <paraID>3B99975F</paraID>
      <start>16</start>
      <end>20</end>
      <status>unmodified</status>
      <modifiedWord/>
      <trackRevisions>false</trackRevisions>
    </reviewItem>
    <reviewItem>
      <errorID>9e79b8ed-89d0-4cec-876f-7fe21c62615f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7DA60F76</paraID>
      <start>0</start>
      <end>2</end>
      <status>unmodified</status>
      <modifiedWord/>
      <trackRevisions>false</trackRevisions>
    </reviewItem>
    <reviewItem>
      <errorID>1d52a3ee-de64-41ce-9a63-0da715b3f4e8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24437434</paraID>
      <start>0</start>
      <end>2</end>
      <status>unmodified</status>
      <modifiedWord/>
      <trackRevisions>false</trackRevisions>
    </reviewItem>
    <reviewItem>
      <errorID>4ee34f05-4ff2-4b43-afe5-86b854a6d959</errorID>
      <errorWord>法律、法规</errorWord>
      <group>L1_Word</group>
      <groupName>字词问题</groupName>
      <ability>L2_Typo</ability>
      <abilityName>字词错误</abilityName>
      <candidateList>
        <item>法律法规</item>
      </candidateList>
      <explain/>
      <paraID>6FE3948F</paraID>
      <start>7</start>
      <end>12</end>
      <status>unmodified</status>
      <modifiedWord/>
      <trackRevisions>false</trackRevisions>
    </reviewItem>
    <reviewItem>
      <errorID>1e9c2b98-8bde-460b-8bac-f1e04db86dc0</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5CBF1535</paraID>
      <start>10</start>
      <end>15</end>
      <status>unmodified</status>
      <modifiedWord/>
      <trackRevisions>false</trackRevisions>
    </reviewItem>
    <reviewItem>
      <errorID>b32b1fee-5096-45f7-bbce-1990447e60ff</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18AFF63A</paraID>
      <start>16</start>
      <end>21</end>
      <status>unmodified</status>
      <modifiedWord/>
      <trackRevisions>false</trackRevisions>
    </reviewItem>
    <reviewItem>
      <errorID>11f0a03d-c818-4418-9c2d-782440293c88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3185D80D</paraID>
      <start>0</start>
      <end>2</end>
      <status>unmodified</status>
      <modifiedWord/>
      <trackRevisions>false</trackRevisions>
    </reviewItem>
    <reviewItem>
      <errorID>99d7fab4-d13a-4c69-b1a0-0dd85b0f7fe0</errorID>
      <errorWord>内在</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69B95287</paraID>
      <start>44</start>
      <end>46</end>
      <status>unmodified</status>
      <modifiedWord/>
      <trackRevisions>false</trackRevisions>
    </reviewItem>
    <reviewItem>
      <errorID>ec052d86-4571-4c0e-8a9e-1639ab0034b9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79A5B070</paraID>
      <start>0</start>
      <end>2</end>
      <status>unmodified</status>
      <modifiedWord/>
      <trackRevisions>false</trackRevisions>
    </reviewItem>
    <reviewItem>
      <errorID>c7a1d746-b805-496d-8919-5462c80f8a24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33E90A4F</paraID>
      <start>0</start>
      <end>2</end>
      <status>unmodified</status>
      <modifiedWord/>
      <trackRevisions>false</trackRevisions>
    </reviewItem>
    <reviewItem>
      <errorID>dd1cabc7-1e61-405e-9cb5-30b2df9e1ad5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624681C9</paraID>
      <start>0</start>
      <end>3</end>
      <status>unmodified</status>
      <modifiedWord/>
      <trackRevisions>false</trackRevisions>
    </reviewItem>
    <reviewItem>
      <errorID>3093a822-d0bc-4eca-86a0-b694bb22edf5</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521514DE</paraID>
      <start>3</start>
      <end>7</end>
      <status>unmodified</status>
      <modifiedWord/>
      <trackRevisions>false</trackRevisions>
    </reviewItem>
    <reviewItem>
      <errorID>8a0b5029-4621-4ab4-bc22-2195339a392b</errorID>
      <errorWord>透漏</errorWord>
      <group>L1_Word</group>
      <groupName>字词问题</groupName>
      <ability>L2_Typo</ability>
      <abilityName>字词错误</abilityName>
      <candidateList>
        <item>透露</item>
      </candidateList>
      <explain>存在发音相同字词的误用。</explain>
      <paraID>7E3C69F5</paraID>
      <start>28</start>
      <end>30</end>
      <status>unmodified</status>
      <modifiedWord/>
      <trackRevisions>false</trackRevisions>
    </reviewItem>
    <reviewItem>
      <errorID>b59290e0-4594-494a-bab5-4f9f66022ea8</errorID>
      <errorWord>透漏</errorWord>
      <group>L1_Word</group>
      <groupName>字词问题</groupName>
      <ability>L2_Typo</ability>
      <abilityName>字词错误</abilityName>
      <candidateList>
        <item>透露</item>
      </candidateList>
      <explain>存在发音相同字词的误用。</explain>
      <paraID>67BB179B</paraID>
      <start>33</start>
      <end>35</end>
      <status>unmodified</status>
      <modifiedWord/>
      <trackRevisions>false</trackRevisions>
    </reviewItem>
    <reviewItem>
      <errorID>81628218-2a20-447d-adf3-0ed06aa24704</errorID>
      <errorWord>法律、法规</errorWord>
      <group>L1_Word</group>
      <groupName>字词问题</groupName>
      <ability>L2_Typo</ability>
      <abilityName>字词错误</abilityName>
      <candidateList>
        <item>法律法规</item>
      </candidateList>
      <explain/>
      <paraID>1235DABB</paraID>
      <start>31</start>
      <end>36</end>
      <status>unmodified</status>
      <modifiedWord/>
      <trackRevisions>false</trackRevisions>
    </reviewItem>
    <reviewItem>
      <errorID>432c171e-5199-4b06-b3e2-bc0b108967a0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3AA8D505</paraID>
      <start>0</start>
      <end>3</end>
      <status>unmodified</status>
      <modifiedWord/>
      <trackRevisions>false</trackRevisions>
    </reviewItem>
    <reviewItem>
      <errorID>be72725f-f019-4dc6-9e39-9af1454d0ba4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388E36D3</paraID>
      <start>0</start>
      <end>2</end>
      <status>unmodified</status>
      <modifiedWord/>
      <trackRevisions>false</trackRevisions>
    </reviewItem>
    <reviewItem>
      <errorID>7b0a49cf-495d-425f-9adf-305e31ffcaaf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21FB2AA1</paraID>
      <start>0</start>
      <end>2</end>
      <status>unmodified</status>
      <modifiedWord/>
      <trackRevisions>false</trackRevisions>
    </reviewItem>
    <reviewItem>
      <errorID>25b00679-622b-40c5-a63e-2083d50358d2</errorID>
      <errorWord>(</errorWord>
      <group>L1_Format</group>
      <groupName>格式问题</groupName>
      <ability>L2_HalfPunc</ability>
      <abilityName>全半角检查</abilityName>
      <candidateList>
        <item>（</item>
      </candidateList>
      <explain>文本全半角错误。</explain>
      <paraID>21FB2AA1</paraID>
      <start>17</start>
      <end>18</end>
      <status>unmodified</status>
      <modifiedWord/>
      <trackRevisions>false</trackRevisions>
    </reviewItem>
    <reviewItem>
      <errorID>2b6db634-c92a-4247-96b9-4fff5e54a320</errorID>
      <errorWord>)</errorWord>
      <group>L1_Format</group>
      <groupName>格式问题</groupName>
      <ability>L2_HalfPunc</ability>
      <abilityName>全半角检查</abilityName>
      <candidateList>
        <item>）</item>
      </candidateList>
      <explain>文本全半角错误。</explain>
      <paraID>21FB2AA1</paraID>
      <start>40</start>
      <end>41</end>
      <status>unmodified</status>
      <modifiedWord/>
      <trackRevisions>false</trackRevisions>
    </reviewItem>
    <reviewItem>
      <errorID>9dbfa57f-abad-4d98-8aff-cfbd2f1c61fe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1816D3B3</paraID>
      <start>0</start>
      <end>2</end>
      <status>unmodified</status>
      <modifiedWord/>
      <trackRevisions>false</trackRevisions>
    </reviewItem>
    <reviewItem>
      <errorID>73c04ea4-76e6-4ade-97dc-f3ef7c1e5404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69A7E1D1</paraID>
      <start>0</start>
      <end>2</end>
      <status>unmodified</status>
      <modifiedWord/>
      <trackRevisions>false</trackRevisions>
    </reviewItem>
    <reviewItem>
      <errorID>4a7a551a-b767-4b63-942e-bef7e05fed61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3BFE1B9D</paraID>
      <start>0</start>
      <end>2</end>
      <status>unmodified</status>
      <modifiedWord/>
      <trackRevisions>false</trackRevisions>
    </reviewItem>
    <reviewItem>
      <errorID>387f4a58-9508-46c3-a420-9f22b97d6c10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1C45A7D2</paraID>
      <start>0</start>
      <end>2</end>
      <status>unmodified</status>
      <modifiedWord/>
      <trackRevisions>false</trackRevisions>
    </reviewItem>
    <reviewItem>
      <errorID>f7839eb0-427f-4578-b00d-b0823579c29f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7810B560</paraID>
      <start>0</start>
      <end>2</end>
      <status>unmodified</status>
      <modifiedWord/>
      <trackRevisions>false</trackRevisions>
    </reviewItem>
    <reviewItem>
      <errorID>882de507-e9d4-4a7b-9ce4-d71266236045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5598D50B</paraID>
      <start>0</start>
      <end>2</end>
      <status>unmodified</status>
      <modifiedWord/>
      <trackRevisions>false</trackRevisions>
    </reviewItem>
    <reviewItem>
      <errorID>64a5449e-f1f5-412c-b06c-4a7eea66ebd2</errorID>
      <errorWord>如是</errorWord>
      <group>L1_Word</group>
      <groupName>字词问题</groupName>
      <ability>L2_Typo</ability>
      <abilityName>字词错误</abilityName>
      <candidateList>
        <item>如</item>
      </candidateList>
      <explain/>
      <paraID>5598D50B</paraID>
      <start>28</start>
      <end>30</end>
      <status>unmodified</status>
      <modifiedWord/>
      <trackRevisions>false</trackRevisions>
    </reviewItem>
    <reviewItem>
      <errorID>d8368164-fc43-43dd-b3ab-4f7ef3f0ceb7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43F4A64A</paraID>
      <start>0</start>
      <end>2</end>
      <status>unmodified</status>
      <modifiedWord/>
      <trackRevisions>false</trackRevisions>
    </reviewItem>
    <reviewItem>
      <errorID>d377f849-d705-4f65-8131-417d6f79b1b0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774D3343</paraID>
      <start>0</start>
      <end>2</end>
      <status>unmodified</status>
      <modifiedWord/>
      <trackRevisions>false</trackRevisions>
    </reviewItem>
    <reviewItem>
      <errorID>da2d72af-bdd9-45da-93bd-3ef3d9efe991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2D544AB5</paraID>
      <start>0</start>
      <end>2</end>
      <status>unmodified</status>
      <modifiedWord/>
      <trackRevisions>false</trackRevisions>
    </reviewItem>
    <reviewItem>
      <errorID>d5296ec0-a4f8-489e-b53b-5d1e8bfd7031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56BC58FF</paraID>
      <start>0</start>
      <end>2</end>
      <status>unmodified</status>
      <modifiedWord/>
      <trackRevisions>false</trackRevisions>
    </reviewItem>
    <reviewItem>
      <errorID>fa153e0f-7690-4b9e-a26c-12127412b46d</errorID>
      <errorWord>其它无效</errorWord>
      <group>L1_Word</group>
      <groupName>字词问题</groupName>
      <ability>L2_Alias</ability>
      <abilityName>也作/曾用词</abilityName>
      <candidateList>
        <item>其他无效</item>
      </candidateList>
      <explain>词汇[其它无效]为不规范表述或旧称，其规范书面表述为[其他无效]。</explain>
      <paraID>56BC58FF</paraID>
      <start>16</start>
      <end>20</end>
      <status>unmodified</status>
      <modifiedWord/>
      <trackRevisions>false</trackRevisions>
    </reviewItem>
    <reviewItem>
      <errorID>f443c840-93f6-42d2-a00d-bb95dea09f01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4701888E</paraID>
      <start>0</start>
      <end>2</end>
      <status>unmodified</status>
      <modifiedWord/>
      <trackRevisions>false</trackRevisions>
    </reviewItem>
    <reviewItem>
      <errorID>3aaadd8c-399b-425d-be9f-473bf71f6611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7F5344BB</paraID>
      <start>359</start>
      <end>360</end>
      <status>unmodified</status>
      <modifiedWord/>
      <trackRevisions>false</trackRevisions>
    </reviewItem>
    <reviewItem>
      <errorID>43dbade5-b69b-417e-884b-79affc2f1209</errorID>
      <errorWord>要求条</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7F5344BB</paraID>
      <start>420</start>
      <end>423</end>
      <status>unmodified</status>
      <modifiedWord/>
      <trackRevisions>false</trackRevisions>
    </reviewItem>
    <reviewItem>
      <errorID>c1914d0e-4761-4708-9b36-fd3fd7283979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403C958A</paraID>
      <start>0</start>
      <end>2</end>
      <status>unmodified</status>
      <modifiedWord/>
      <trackRevisions>false</trackRevisions>
    </reviewItem>
    <reviewItem>
      <errorID>cde8f0eb-d874-48ae-87de-3dabeb1edc53</errorID>
      <errorWord>(</errorWord>
      <group>L1_Format</group>
      <groupName>格式问题</groupName>
      <ability>L2_HalfPunc</ability>
      <abilityName>全半角检查</abilityName>
      <candidateList>
        <item>（</item>
      </candidateList>
      <explain>文本全半角错误。</explain>
      <paraID>403C958A</paraID>
      <start>70</start>
      <end>71</end>
      <status>unmodified</status>
      <modifiedWord/>
      <trackRevisions>false</trackRevisions>
    </reviewItem>
    <reviewItem>
      <errorID>98643b21-5d98-47be-9f70-8ba53271460e</errorID>
      <errorWord>)</errorWord>
      <group>L1_Format</group>
      <groupName>格式问题</groupName>
      <ability>L2_HalfPunc</ability>
      <abilityName>全半角检查</abilityName>
      <candidateList>
        <item>）</item>
      </candidateList>
      <explain>文本全半角错误。</explain>
      <paraID>403C958A</paraID>
      <start>79</start>
      <end>80</end>
      <status>unmodified</status>
      <modifiedWord/>
      <trackRevisions>false</trackRevisions>
    </reviewItem>
    <reviewItem>
      <errorID>7085f4b0-a1b7-483c-b028-7037015b469e</errorID>
      <errorWord>(</errorWord>
      <group>L1_Format</group>
      <groupName>格式问题</groupName>
      <ability>L2_HalfPunc</ability>
      <abilityName>全半角检查</abilityName>
      <candidateList>
        <item>（</item>
      </candidateList>
      <explain>文本全半角错误。</explain>
      <paraID>2BB9594C</paraID>
      <start>4</start>
      <end>5</end>
      <status>unmodified</status>
      <modifiedWord/>
      <trackRevisions>false</trackRevisions>
    </reviewItem>
    <reviewItem>
      <errorID>cdd19308-5025-4116-af6f-ff1dc365c73a</errorID>
      <errorWord>(</errorWord>
      <group>L1_Format</group>
      <groupName>格式问题</groupName>
      <ability>L2_HalfPunc</ability>
      <abilityName>全半角检查</abilityName>
      <candidateList>
        <item>（</item>
      </candidateList>
      <explain>文本全半角错误。</explain>
      <paraID>2BB9594C</paraID>
      <start>21</start>
      <end>22</end>
      <status>unmodified</status>
      <modifiedWord/>
      <trackRevisions>false</trackRevisions>
    </reviewItem>
    <reviewItem>
      <errorID>f0993bdc-fad5-44ed-ac86-ae2b01d74769</errorID>
      <errorWord>)</errorWord>
      <group>L1_Format</group>
      <groupName>格式问题</groupName>
      <ability>L2_HalfPunc</ability>
      <abilityName>全半角检查</abilityName>
      <candidateList>
        <item>）</item>
      </candidateList>
      <explain>文本全半角错误。</explain>
      <paraID>2BB9594C</paraID>
      <start>23</start>
      <end>24</end>
      <status>unmodified</status>
      <modifiedWord/>
      <trackRevisions>false</trackRevisions>
    </reviewItem>
    <reviewItem>
      <errorID>c30514f1-a1d2-4024-b0b0-c26b99a295ee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A38CE8</paraID>
      <start>0</start>
      <end>2</end>
      <status>unmodified</status>
      <modifiedWord/>
      <trackRevisions>false</trackRevisions>
    </reviewItem>
    <reviewItem>
      <errorID>f8b343be-96d9-4835-b97e-17c2c37b1815</errorID>
      <errorWord>(</errorWord>
      <group>L1_Format</group>
      <groupName>格式问题</groupName>
      <ability>L2_HalfPunc</ability>
      <abilityName>全半角检查</abilityName>
      <candidateList>
        <item>（</item>
      </candidateList>
      <explain>文本全半角错误。</explain>
      <paraID>  A38CE8</paraID>
      <start>32</start>
      <end>33</end>
      <status>unmodified</status>
      <modifiedWord/>
      <trackRevisions>false</trackRevisions>
    </reviewItem>
    <reviewItem>
      <errorID>3ee189e1-ee75-41eb-8edd-49c89381bef1</errorID>
      <errorWord>)</errorWord>
      <group>L1_Format</group>
      <groupName>格式问题</groupName>
      <ability>L2_HalfPunc</ability>
      <abilityName>全半角检查</abilityName>
      <candidateList>
        <item>）</item>
      </candidateList>
      <explain>文本全半角错误。</explain>
      <paraID>  A38CE8</paraID>
      <start>37</start>
      <end>38</end>
      <status>unmodified</status>
      <modifiedWord/>
      <trackRevisions>false</trackRevisions>
    </reviewItem>
    <reviewItem>
      <errorID>b7d6f455-261b-4e5e-a622-faff9a18e04e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1D616106</paraID>
      <start>0</start>
      <end>2</end>
      <status>unmodified</status>
      <modifiedWord/>
      <trackRevisions>false</trackRevisions>
    </reviewItem>
    <reviewItem>
      <errorID>c02ddddb-e29f-4d58-bb0c-b061f5330ed5</errorID>
      <errorWord>(</errorWord>
      <group>L1_Format</group>
      <groupName>格式问题</groupName>
      <ability>L2_HalfPunc</ability>
      <abilityName>全半角检查</abilityName>
      <candidateList>
        <item>（</item>
      </candidateList>
      <explain>文本全半角错误。</explain>
      <paraID>1D616106</paraID>
      <start>51</start>
      <end>52</end>
      <status>unmodified</status>
      <modifiedWord/>
      <trackRevisions>false</trackRevisions>
    </reviewItem>
    <reviewItem>
      <errorID>ce8d772a-7dc3-4c5b-a506-b5e773cbb9c7</errorID>
      <errorWord>(</errorWord>
      <group>L1_Format</group>
      <groupName>格式问题</groupName>
      <ability>L2_HalfPunc</ability>
      <abilityName>全半角检查</abilityName>
      <candidateList>
        <item>（</item>
      </candidateList>
      <explain>文本全半角错误。</explain>
      <paraID>1D616106</paraID>
      <start>58</start>
      <end>59</end>
      <status>unmodified</status>
      <modifiedWord/>
      <trackRevisions>false</trackRevisions>
    </reviewItem>
    <reviewItem>
      <errorID>67a08487-c401-49bf-902b-be54e0038c57</errorID>
      <errorWord>)</errorWord>
      <group>L1_Format</group>
      <groupName>格式问题</groupName>
      <ability>L2_HalfPunc</ability>
      <abilityName>全半角检查</abilityName>
      <candidateList>
        <item>）</item>
      </candidateList>
      <explain>文本全半角错误。</explain>
      <paraID>1D616106</paraID>
      <start>63</start>
      <end>64</end>
      <status>unmodified</status>
      <modifiedWord/>
      <trackRevisions>false</trackRevisions>
    </reviewItem>
    <reviewItem>
      <errorID>df2930d0-8985-4dbb-83c9-31ff06a8422e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3BD3D442</paraID>
      <start>0</start>
      <end>2</end>
      <status>unmodified</status>
      <modifiedWord/>
      <trackRevisions>false</trackRevisions>
    </reviewItem>
    <reviewItem>
      <errorID>94edcd5e-ed79-4a84-a025-924d97c35c47</errorID>
      <errorWord>:</errorWord>
      <group>L1_Format</group>
      <groupName>格式问题</groupName>
      <ability>L2_HalfPunc</ability>
      <abilityName>全半角检查</abilityName>
      <candidateList>
        <item>：</item>
      </candidateList>
      <explain>文本全半角错误。</explain>
      <paraID>3BD3D442</paraID>
      <start>9</start>
      <end>10</end>
      <status>unmodified</status>
      <modifiedWord/>
      <trackRevisions>false</trackRevisions>
    </reviewItem>
    <reviewItem>
      <errorID>c0fb5328-4614-4643-91bf-1463d02c7e0b</errorID>
      <errorWord>(</errorWord>
      <group>L1_Format</group>
      <groupName>格式问题</groupName>
      <ability>L2_HalfPunc</ability>
      <abilityName>全半角检查</abilityName>
      <candidateList>
        <item>（</item>
      </candidateList>
      <explain>文本全半角错误。</explain>
      <paraID>3BD3D442</paraID>
      <start>30</start>
      <end>31</end>
      <status>unmodified</status>
      <modifiedWord/>
      <trackRevisions>false</trackRevisions>
    </reviewItem>
    <reviewItem>
      <errorID>870be39e-76db-4a90-8708-9489b21d9279</errorID>
      <errorWord>)</errorWord>
      <group>L1_Format</group>
      <groupName>格式问题</groupName>
      <ability>L2_HalfPunc</ability>
      <abilityName>全半角检查</abilityName>
      <candidateList>
        <item>）</item>
      </candidateList>
      <explain>文本全半角错误。</explain>
      <paraID>3BD3D442</paraID>
      <start>33</start>
      <end>34</end>
      <status>unmodified</status>
      <modifiedWord/>
      <trackRevisions>false</trackRevisions>
    </reviewItem>
    <reviewItem>
      <errorID>f06dc5f9-a6b3-4139-8c51-bfa2f93cfb07</errorID>
      <errorWord>.</errorWord>
      <group>L1_Format</group>
      <groupName>格式问题</groupName>
      <ability>L2_HalfPunc</ability>
      <abilityName>全半角检查</abilityName>
      <candidateList>
        <item>。</item>
      </candidateList>
      <explain>文本全半角错误。</explain>
      <paraID>5080B264</paraID>
      <start>47</start>
      <end>48</end>
      <status>unmodified</status>
      <modifiedWord/>
      <trackRevisions>false</trackRevisions>
    </reviewItem>
    <reviewItem>
      <errorID>34fafa2f-9024-49ea-8b08-031684c1da3a</errorID>
      <errorWord>二○二</errorWord>
      <group>L1_Knowledge</group>
      <groupName>知识性问题</groupName>
      <ability>L2_Knowledge</ability>
      <abilityName>其他知识</abilityName>
      <candidateList>
        <item>二〇二</item>
      </candidateList>
      <explain/>
      <paraID>2D80B55F</paraID>
      <start>7</start>
      <end>10</end>
      <status>unmodified</status>
      <modifiedWord/>
      <trackRevisions>false</trackRevisions>
    </reviewItem>
    <reviewItem>
      <errorID>295a53d1-681f-491f-b1ce-cc76653d9674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59B39102</paraID>
      <start>50</start>
      <end>53</end>
      <status>unmodified</status>
      <modifiedWord/>
      <trackRevisions>false</trackRevisions>
    </reviewItem>
    <reviewItem>
      <errorID>2c75638f-eec1-4d77-afe0-d8a68cf73277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7729B3CA</paraID>
      <start>0</start>
      <end>2</end>
      <status>unmodified</status>
      <modifiedWord/>
      <trackRevisions>false</trackRevisions>
    </reviewItem>
    <reviewItem>
      <errorID>110cf988-cd7a-4874-ac9d-a0cfd211d07e</errorID>
      <errorWord>求</errorWord>
      <group>L1_Word</group>
      <groupName>字词问题</groupName>
      <ability>L2_Typo</ability>
      <abilityName>字词错误</abilityName>
      <candidateList>
        <item>求和</item>
      </candidateList>
      <explain/>
      <paraID>15E353B5</paraID>
      <start>5</start>
      <end>6</end>
      <status>unmodified</status>
      <modifiedWord/>
      <trackRevisions>false</trackRevisions>
    </reviewItem>
    <reviewItem>
      <errorID>5e2d72d9-f1dc-4de7-9803-bf1139250876</errorID>
      <errorWord>达到</errorWord>
      <group>L1_Word</group>
      <groupName>字词问题</groupName>
      <ability>L2_Typo</ability>
      <abilityName>字词错误</abilityName>
      <candidateList>
        <item>达</item>
      </candidateList>
      <explain/>
      <paraID>655B1F66</paraID>
      <start>37</start>
      <end>39</end>
      <status>unmodified</status>
      <modifiedWord/>
      <trackRevisions>false</trackRevisions>
    </reviewItem>
    <reviewItem>
      <errorID>5b5fe632-a606-43e0-8bfd-cda4a07f4a95</errorID>
      <errorWord>:</errorWord>
      <group>L1_Format</group>
      <groupName>格式问题</groupName>
      <ability>L2_HalfPunc</ability>
      <abilityName>全半角检查</abilityName>
      <candidateList>
        <item>：</item>
      </candidateList>
      <explain>文本全半角错误。</explain>
      <paraID>66D7A174</paraID>
      <start>4</start>
      <end>5</end>
      <status>unmodified</status>
      <modifiedWord/>
      <trackRevisions>false</trackRevisions>
    </reviewItem>
    <reviewItem>
      <errorID>f4b1cc17-7127-4bc9-8d56-f7cbd3638f59</errorID>
      <errorWord>签收单</errorWord>
      <group>L1_Word</group>
      <groupName>字词问题</groupName>
      <ability>L2_Typo</ability>
      <abilityName>字词错误</abilityName>
      <candidateList>
        <item>验收单</item>
      </candidateList>
      <explain/>
      <paraID> 77E08C8</paraID>
      <start>50</start>
      <end>53</end>
      <status>unmodified</status>
      <modifiedWord/>
      <trackRevisions>false</trackRevisions>
    </reviewItem>
    <reviewItem>
      <errorID>85767f3c-171c-4bfa-960c-6703f6eebe12</errorID>
      <errorWord>不</errorWord>
      <group>L1_Word</group>
      <groupName>字词问题</groupName>
      <ability>L2_Typo</ability>
      <abilityName>字词错误</abilityName>
      <candidateList>
        <item>不符</item>
      </candidateList>
      <explain/>
      <paraID> 923A49F</paraID>
      <start>16</start>
      <end>17</end>
      <status>unmodified</status>
      <modifiedWord/>
      <trackRevisions>false</trackRevisions>
    </reviewItem>
    <reviewItem>
      <errorID>f6f6fdf5-5f21-4e8c-988d-c2cfce05cf52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923A49F</paraID>
      <start>44</start>
      <end>46</end>
      <status>unmodified</status>
      <modifiedWord/>
      <trackRevisions>false</trackRevisions>
    </reviewItem>
    <reviewItem>
      <errorID>4d64cd41-9a76-4693-9a57-f26d0d46334b</errorID>
      <errorWord>:</errorWord>
      <group>L1_Format</group>
      <groupName>格式问题</groupName>
      <ability>L2_HalfPunc</ability>
      <abilityName>全半角检查</abilityName>
      <candidateList>
        <item>：</item>
      </candidateList>
      <explain>文本全半角错误。</explain>
      <paraID>3B01F584</paraID>
      <start>20</start>
      <end>21</end>
      <status>unmodified</status>
      <modifiedWord/>
      <trackRevisions>false</trackRevisions>
    </reviewItem>
    <reviewItem>
      <errorID>c989f7f2-b0a8-4249-b0fe-a832e72ee068</errorID>
      <errorWord>:</errorWord>
      <group>L1_Format</group>
      <groupName>格式问题</groupName>
      <ability>L2_HalfPunc</ability>
      <abilityName>全半角检查</abilityName>
      <candidateList>
        <item>：</item>
      </candidateList>
      <explain>文本全半角错误。</explain>
      <paraID>7D128FE5</paraID>
      <start>8</start>
      <end>9</end>
      <status>unmodified</status>
      <modifiedWord/>
      <trackRevisions>false</trackRevisions>
    </reviewItem>
    <reviewItem>
      <errorID>36654a92-750c-449c-8836-348da50b4ab9</errorID>
      <errorWord>法律、法规</errorWord>
      <group>L1_Word</group>
      <groupName>字词问题</groupName>
      <ability>L2_Typo</ability>
      <abilityName>字词错误</abilityName>
      <candidateList>
        <item>法律法规</item>
      </candidateList>
      <explain/>
      <paraID>4C27418C</paraID>
      <start>3</start>
      <end>8</end>
      <status>unmodified</status>
      <modifiedWord/>
      <trackRevisions>false</trackRevisions>
    </reviewItem>
    <reviewItem>
      <errorID>85788697-e900-4bc8-b810-b5e1a385a5ac</errorID>
      <errorWord>自负</errorWord>
      <group>L1_Word</group>
      <groupName>字词问题</groupName>
      <ability>L2_Typo</ability>
      <abilityName>字词错误</abilityName>
      <candidateList>
        <item>自付</item>
      </candidateList>
      <explain/>
      <paraID> C91FBC3</paraID>
      <start>48</start>
      <end>50</end>
      <status>unmodified</status>
      <modifiedWord/>
      <trackRevisions>false</trackRevisions>
    </reviewItem>
    <reviewItem>
      <errorID>5ea69322-0c54-48a0-aa5d-5b97534be287</errorID>
      <errorWord>自负</errorWord>
      <group>L1_Word</group>
      <groupName>字词问题</groupName>
      <ability>L2_Typo</ability>
      <abilityName>字词错误</abilityName>
      <candidateList>
        <item>自付</item>
      </candidateList>
      <explain/>
      <paraID> C91FBC3</paraID>
      <start>171</start>
      <end>173</end>
      <status>unmodified</status>
      <modifiedWord/>
      <trackRevisions>false</trackRevisions>
    </reviewItem>
    <reviewItem>
      <errorID>b3441db1-2ed7-4018-9da0-293fe9c369e1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B058326</paraID>
      <start>0</start>
      <end>2</end>
      <status>unmodified</status>
      <modifiedWord/>
      <trackRevisions>false</trackRevisions>
    </reviewItem>
    <reviewItem>
      <errorID>352cdd87-398a-4079-b4c3-0f1db7c8ecc8</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 B058326</paraID>
      <start>31</start>
      <end>33</end>
      <status>unmodified</status>
      <modifiedWord/>
      <trackRevisions>false</trackRevisions>
    </reviewItem>
    <reviewItem>
      <errorID>2a3881e5-8b56-4214-8333-a3d951c24bac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6D8509C4</paraID>
      <start>0</start>
      <end>2</end>
      <status>unmodified</status>
      <modifiedWord/>
      <trackRevisions>false</trackRevisions>
    </reviewItem>
    <reviewItem>
      <errorID>b333ab6a-d96b-47ca-8483-f65e82b73f3c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23D4908D</paraID>
      <start>0</start>
      <end>2</end>
      <status>unmodified</status>
      <modifiedWord/>
      <trackRevisions>false</trackRevisions>
    </reviewItem>
    <reviewItem>
      <errorID>f87e69c4-a2d8-4d53-9156-7b5a8b8962bb</errorID>
      <errorWord>(</errorWord>
      <group>L1_Format</group>
      <groupName>格式问题</groupName>
      <ability>L2_HalfPunc</ability>
      <abilityName>全半角检查</abilityName>
      <candidateList>
        <item>（</item>
      </candidateList>
      <explain>文本全半角错误。</explain>
      <paraID>23D4908D</paraID>
      <start>55</start>
      <end>56</end>
      <status>unmodified</status>
      <modifiedWord/>
      <trackRevisions>false</trackRevisions>
    </reviewItem>
    <reviewItem>
      <errorID>d739f549-80f3-4287-93e8-5706199c396c</errorID>
      <errorWord>)</errorWord>
      <group>L1_Format</group>
      <groupName>格式问题</groupName>
      <ability>L2_HalfPunc</ability>
      <abilityName>全半角检查</abilityName>
      <candidateList>
        <item>）</item>
      </candidateList>
      <explain>文本全半角错误。</explain>
      <paraID>23D4908D</paraID>
      <start>63</start>
      <end>64</end>
      <status>unmodified</status>
      <modifiedWord/>
      <trackRevisions>false</trackRevisions>
    </reviewItem>
    <reviewItem>
      <errorID>32cd8d60-d81b-4924-983d-bcada3f7c54d</errorID>
      <errorWord>(</errorWord>
      <group>L1_Format</group>
      <groupName>格式问题</groupName>
      <ability>L2_HalfPunc</ability>
      <abilityName>全半角检查</abilityName>
      <candidateList>
        <item>（</item>
      </candidateList>
      <explain>文本全半角错误。</explain>
      <paraID>23D4908D</paraID>
      <start>79</start>
      <end>80</end>
      <status>unmodified</status>
      <modifiedWord/>
      <trackRevisions>false</trackRevisions>
    </reviewItem>
    <reviewItem>
      <errorID>328f47d6-7aa4-4e64-ac94-7b1a94df2769</errorID>
      <errorWord>)</errorWord>
      <group>L1_Format</group>
      <groupName>格式问题</groupName>
      <ability>L2_HalfPunc</ability>
      <abilityName>全半角检查</abilityName>
      <candidateList>
        <item>）</item>
      </candidateList>
      <explain>文本全半角错误。</explain>
      <paraID>23D4908D</paraID>
      <start>92</start>
      <end>93</end>
      <status>unmodified</status>
      <modifiedWord/>
      <trackRevisions>false</trackRevisions>
    </reviewItem>
    <reviewItem>
      <errorID>aa1e7a2c-7f7b-445e-935f-77b7696618d9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740DD5C3</paraID>
      <start>0</start>
      <end>2</end>
      <status>unmodified</status>
      <modifiedWord/>
      <trackRevisions>false</trackRevisions>
    </reviewItem>
    <reviewItem>
      <errorID>ab43d9b3-5cac-4b76-8e99-534c23db1f1f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51CE7D0B</paraID>
      <start>0</start>
      <end>2</end>
      <status>unmodified</status>
      <modifiedWord/>
      <trackRevisions>false</trackRevisions>
    </reviewItem>
    <reviewItem>
      <errorID>48e2de43-4e2d-4e3b-91df-823f913c36f2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799FFBB7</paraID>
      <start>0</start>
      <end>2</end>
      <status>unmodified</status>
      <modifiedWord/>
      <trackRevisions>false</trackRevisions>
    </reviewItem>
    <reviewItem>
      <errorID>935bfb6c-da26-4497-ad38-bb06d25a9a46</errorID>
      <errorWord>是由于乙方原因造成的</errorWord>
      <group>L1_Word</group>
      <groupName>字词问题</groupName>
      <ability>L2_Typo</ability>
      <abilityName>字词错误</abilityName>
      <candidateList>
        <item>是由于乙方原因</item>
      </candidateList>
      <explain/>
      <paraID>799FFBB7</paraID>
      <start>75</start>
      <end>85</end>
      <status>unmodified</status>
      <modifiedWord/>
      <trackRevisions>false</trackRevisions>
    </reviewItem>
    <reviewItem>
      <errorID>a150f36a-2a4c-45ee-ac31-e054c21d09f5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9888AD4</paraID>
      <start>0</start>
      <end>2</end>
      <status>unmodified</status>
      <modifiedWord/>
      <trackRevisions>false</trackRevisions>
    </reviewItem>
    <reviewItem>
      <errorID>039c3884-1bfa-4634-b74d-9b26bfc6677d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5642977E</paraID>
      <start>0</start>
      <end>2</end>
      <status>unmodified</status>
      <modifiedWord/>
      <trackRevisions>false</trackRevisions>
    </reviewItem>
    <reviewItem>
      <errorID>8ce02233-115f-404a-b916-f3c653035de2</errorID>
      <errorWord>,</errorWord>
      <group>L1_Format</group>
      <groupName>格式问题</groupName>
      <ability>L2_HalfPunc</ability>
      <abilityName>全半角检查</abilityName>
      <candidateList>
        <item>，</item>
      </candidateList>
      <explain>文本全半角错误。</explain>
      <paraID>53BAAA9E</paraID>
      <start>49</start>
      <end>50</end>
      <status>unmodified</status>
      <modifiedWord/>
      <trackRevisions>false</trackRevisions>
    </reviewItem>
    <reviewItem>
      <errorID>5f60328d-5fc9-48d4-a1ef-1100b9e01076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3B30542D</paraID>
      <start>0</start>
      <end>3</end>
      <status>unmodified</status>
      <modifiedWord/>
      <trackRevisions>false</trackRevisions>
    </reviewItem>
    <reviewItem>
      <errorID>d48c71f5-7efe-4893-8de5-b0cf6642be2e</errorID>
      <errorWord>台湾地区</errorWord>
      <group>L1_Word</group>
      <groupName>字词问题</groupName>
      <ability>L2_Typo</ability>
      <abilityName>字词错误</abilityName>
      <candidateList>
        <item>中国台湾地区</item>
      </candidateList>
      <explain/>
      <paraID>5908FC1F</paraID>
      <start>28</start>
      <end>32</end>
      <status>unmodified</status>
      <modifiedWord/>
      <trackRevisions>false</trackRevisions>
    </reviewItem>
    <reviewItem>
      <errorID>f74d905f-4dd1-446b-838b-ab96cbefb82d</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6DB0EBB2</paraID>
      <start>30</start>
      <end>35</end>
      <status>unmodified</status>
      <modifiedWord/>
      <trackRevisions>false</trackRevisions>
    </reviewItem>
    <reviewItem>
      <errorID>843fba80-4cb9-4c83-8431-eeb4e42630c7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6D33E4A7</paraID>
      <start>0</start>
      <end>2</end>
      <status>unmodified</status>
      <modifiedWord/>
      <trackRevisions>false</trackRevisions>
    </reviewItem>
    <reviewItem>
      <errorID>401887e5-ea3c-4772-9295-ac24aad68ed9</errorID>
      <errorWord>(</errorWord>
      <group>L1_Format</group>
      <groupName>格式问题</groupName>
      <ability>L2_HalfPunc</ability>
      <abilityName>全半角检查</abilityName>
      <candidateList>
        <item>（</item>
      </candidateList>
      <explain>文本全半角错误。</explain>
      <paraID>6D33E4A7</paraID>
      <start>7</start>
      <end>8</end>
      <status>unmodified</status>
      <modifiedWord/>
      <trackRevisions>false</trackRevisions>
    </reviewItem>
    <reviewItem>
      <errorID>3b831007-3a64-4908-9477-5bef58f23e83</errorID>
      <errorWord>)</errorWord>
      <group>L1_Format</group>
      <groupName>格式问题</groupName>
      <ability>L2_HalfPunc</ability>
      <abilityName>全半角检查</abilityName>
      <candidateList>
        <item>）</item>
      </candidateList>
      <explain>文本全半角错误。</explain>
      <paraID>6D33E4A7</paraID>
      <start>13</start>
      <end>14</end>
      <status>unmodified</status>
      <modifiedWord/>
      <trackRevisions>false</trackRevisions>
    </reviewItem>
    <reviewItem>
      <errorID>136a3fbf-a30a-44f7-aba7-f9adca405bb0</errorID>
      <errorWord>(</errorWord>
      <group>L1_Format</group>
      <groupName>格式问题</groupName>
      <ability>L2_HalfPunc</ability>
      <abilityName>全半角检查</abilityName>
      <candidateList>
        <item>（</item>
      </candidateList>
      <explain>文本全半角错误。</explain>
      <paraID>6D33E4A7</paraID>
      <start>23</start>
      <end>24</end>
      <status>unmodified</status>
      <modifiedWord/>
      <trackRevisions>false</trackRevisions>
    </reviewItem>
    <reviewItem>
      <errorID>63d89f8a-c5ee-4fee-9bbd-84b16af315bf</errorID>
      <errorWord>)</errorWord>
      <group>L1_Format</group>
      <groupName>格式问题</groupName>
      <ability>L2_HalfPunc</ability>
      <abilityName>全半角检查</abilityName>
      <candidateList>
        <item>）</item>
      </candidateList>
      <explain>文本全半角错误。</explain>
      <paraID>6D33E4A7</paraID>
      <start>29</start>
      <end>30</end>
      <status>unmodified</status>
      <modifiedWord/>
      <trackRevisions>false</trackRevisions>
    </reviewItem>
    <reviewItem>
      <errorID>70d84469-4b96-40f5-ac1e-37d8035190b5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7AD7D4F3</paraID>
      <start>211</start>
      <end>213</end>
      <status>unmodified</status>
      <modifiedWord/>
      <trackRevisions>false</trackRevisions>
    </reviewItem>
    <reviewItem>
      <errorID>9937f021-0501-4533-a599-5f9e4f5023cf</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438945EE</paraID>
      <start>3</start>
      <end>7</end>
      <status>unmodified</status>
      <modifiedWord/>
      <trackRevisions>false</trackRevisions>
    </reviewItem>
    <reviewItem>
      <errorID>22908c49-363a-462a-9da5-0b26dca56760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B39036E</paraID>
      <start>0</start>
      <end>2</end>
      <status>unmodified</status>
      <modifiedWord/>
      <trackRevisions>false</trackRevisions>
    </reviewItem>
    <reviewItem>
      <errorID>33b14c8d-863e-4cd0-8f78-32423b333c3f</errorID>
      <errorWord>做</errorWord>
      <group>L1_Word</group>
      <groupName>字词问题</groupName>
      <ability>L2_Typo</ability>
      <abilityName>字词错误</abilityName>
      <candidateList>
        <item>作</item>
      </candidateList>
      <explain>存在发音相同字词的误用。</explain>
      <paraID> B39036E</paraID>
      <start>27</start>
      <end>28</end>
      <status>unmodified</status>
      <modifiedWord/>
      <trackRevisions>false</trackRevisions>
    </reviewItem>
    <reviewItem>
      <errorID>9a2ca9d3-1df6-4d79-8dae-c19b87ff118d</errorID>
      <errorWord>签定</errorWord>
      <group>L1_Word</group>
      <groupName>字词问题</groupName>
      <ability>L2_Typo</ability>
      <abilityName>字词错误</abilityName>
      <candidateList>
        <item>签订</item>
      </candidateList>
      <explain>存在发音相同字词的误用。</explain>
      <paraID>3811CFDC</paraID>
      <start>0</start>
      <end>2</end>
      <status>unmodified</status>
      <modifiedWord/>
      <trackRevisions>false</trackRevisions>
    </reviewItem>
    <reviewItem>
      <errorID>062d1479-8323-402c-a65e-9747f09aec3e</errorID>
      <errorWord>签定</errorWord>
      <group>L1_Word</group>
      <groupName>字词问题</groupName>
      <ability>L2_Typo</ability>
      <abilityName>字词错误</abilityName>
      <candidateList>
        <item>签订</item>
      </candidateList>
      <explain>存在发音相同字词的误用。</explain>
      <paraID>1E5FFD1F</paraID>
      <start>0</start>
      <end>2</end>
      <status>unmodified</status>
      <modifiedWord/>
      <trackRevisions>false</trackRevisions>
    </reviewItem>
    <reviewItem>
      <errorID>86891a7c-ab60-4d27-874e-04ed73a6c888</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7EAE7D35</paraID>
      <start>0</start>
      <end>4</end>
      <status>unmodified</status>
      <modifiedWord/>
      <trackRevisions>false</trackRevisions>
    </reviewItem>
    <reviewItem>
      <errorID>990a5057-0093-4b4c-b2b9-cc6d1fa2417e</errorID>
      <errorWord>:</errorWord>
      <group>L1_Format</group>
      <groupName>格式问题</groupName>
      <ability>L2_HalfPunc</ability>
      <abilityName>全半角检查</abilityName>
      <candidateList>
        <item>：</item>
      </candidateList>
      <explain>文本全半角错误。</explain>
      <paraID>6CC6F24A</paraID>
      <start>55</start>
      <end>56</end>
      <status>unmodified</status>
      <modifiedWord/>
      <trackRevisions>false</trackRevisions>
    </reviewItem>
    <reviewItem>
      <errorID>9ca24da7-8abf-42a9-8772-6d3fde9fe3c9</errorID>
      <errorWord>:</errorWord>
      <group>L1_Format</group>
      <groupName>格式问题</groupName>
      <ability>L2_HalfPunc</ability>
      <abilityName>全半角检查</abilityName>
      <candidateList>
        <item>：</item>
      </candidateList>
      <explain>文本全半角错误。</explain>
      <paraID>625021B7</paraID>
      <start>6</start>
      <end>7</end>
      <status>unmodified</status>
      <modifiedWord/>
      <trackRevisions>false</trackRevisions>
    </reviewItem>
    <reviewItem>
      <errorID>8885e426-6349-4809-bb10-16dec7d7f600</errorID>
      <errorWord>达到</errorWord>
      <group>L1_Word</group>
      <groupName>字词问题</groupName>
      <ability>L2_Typo</ability>
      <abilityName>字词错误</abilityName>
      <candidateList>
        <item>达</item>
      </candidateList>
      <explain/>
      <paraID>2F8D9C1C</paraID>
      <start>38</start>
      <end>40</end>
      <status>unmodified</status>
      <modifiedWord/>
      <trackRevisions>false</trackRevisions>
    </reviewItem>
    <reviewItem>
      <errorID>6211f49c-a1a2-4fb3-ac55-6d8207d46dff</errorID>
      <errorWord>:</errorWord>
      <group>L1_Format</group>
      <groupName>格式问题</groupName>
      <ability>L2_HalfPunc</ability>
      <abilityName>全半角检查</abilityName>
      <candidateList>
        <item>：</item>
      </candidateList>
      <explain>文本全半角错误。</explain>
      <paraID>32919057</paraID>
      <start>5</start>
      <end>6</end>
      <status>unmodified</status>
      <modifiedWord/>
      <trackRevisions>false</trackRevisions>
    </reviewItem>
    <reviewItem>
      <errorID>1b75e19a-c42e-4187-ad44-f5031dae4822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67EB2169</paraID>
      <start>0</start>
      <end>2</end>
      <status>unmodified</status>
      <modifiedWord/>
      <trackRevisions>false</trackRevisions>
    </reviewItem>
    <reviewItem>
      <errorID>ef96847a-c950-440a-b0f6-ae836a475e6f</errorID>
      <errorWord>(</errorWord>
      <group>L1_Format</group>
      <groupName>格式问题</groupName>
      <ability>L2_HalfPunc</ability>
      <abilityName>全半角检查</abilityName>
      <candidateList>
        <item>（</item>
      </candidateList>
      <explain>文本全半角错误。</explain>
      <paraID>2C984688</paraID>
      <start>8</start>
      <end>9</end>
      <status>unmodified</status>
      <modifiedWord/>
      <trackRevisions>false</trackRevisions>
    </reviewItem>
    <reviewItem>
      <errorID>14d99423-677f-44f5-83d7-97e8fc447458</errorID>
      <errorWord>)</errorWord>
      <group>L1_Format</group>
      <groupName>格式问题</groupName>
      <ability>L2_HalfPunc</ability>
      <abilityName>全半角检查</abilityName>
      <candidateList>
        <item>）</item>
      </candidateList>
      <explain>文本全半角错误。</explain>
      <paraID>2C984688</paraID>
      <start>19</start>
      <end>20</end>
      <status>unmodified</status>
      <modifiedWord/>
      <trackRevisions>false</trackRevisions>
    </reviewItem>
    <reviewItem>
      <errorID>6339fc95-9dfe-4378-975e-785350346077</errorID>
      <errorWord>,</errorWord>
      <group>L1_Format</group>
      <groupName>格式问题</groupName>
      <ability>L2_HalfPunc</ability>
      <abilityName>全半角检查</abilityName>
      <candidateList>
        <item>，</item>
      </candidateList>
      <explain>文本全半角错误。</explain>
      <paraID>68D6996F</paraID>
      <start>59</start>
      <end>60</end>
      <status>unmodified</status>
      <modifiedWord/>
      <trackRevisions>false</trackRevisions>
    </reviewItem>
    <reviewItem>
      <errorID>23fec991-553f-4f83-b966-1c0c37e07aac</errorID>
      <errorWord>噪音</errorWord>
      <group>L1_Word</group>
      <groupName>字词问题</groupName>
      <ability>L2_Alias</ability>
      <abilityName>也作/曾用词</abilityName>
      <candidateList>
        <item>噪声</item>
      </candidateList>
      <explain>词汇[噪音]为不规范表述或旧称，其规范书面表述为[噪声]。</explain>
      <paraID>68D6996F</paraID>
      <start>109</start>
      <end>111</end>
      <status>unmodified</status>
      <modifiedWord/>
      <trackRevisions>false</trackRevisions>
    </reviewItem>
    <reviewItem>
      <errorID>8c4bce52-69f0-469c-a777-f966503ea72a</errorID>
      <errorWord>接入的</errorWord>
      <group>L1_Word</group>
      <groupName>字词问题</groupName>
      <ability>L2_Typo</ability>
      <abilityName>字词错误</abilityName>
      <candidateList>
        <item>接入</item>
      </candidateList>
      <explain/>
      <paraID> A5AF9F4</paraID>
      <start>150</start>
      <end>153</end>
      <status>unmodified</status>
      <modifiedWord/>
      <trackRevisions>false</trackRevisions>
    </reviewItem>
    <reviewItem>
      <errorID>14fa1681-3d0f-4d2b-b528-9d9a44dbd931</errorID>
      <errorWord>.</errorWord>
      <group>L1_Format</group>
      <groupName>格式问题</groupName>
      <ability>L2_HalfPunc</ability>
      <abilityName>全半角检查</abilityName>
      <candidateList>
        <item>。</item>
      </candidateList>
      <explain>文本全半角错误。</explain>
      <paraID> A5AF9F4</paraID>
      <start>269</start>
      <end>270</end>
      <status>unmodified</status>
      <modifiedWord/>
      <trackRevisions>false</trackRevisions>
    </reviewItem>
    <reviewItem>
      <errorID>047033de-2d55-4d8c-bb52-6b0f3f3a4063</errorID>
      <errorWord>、等等</errorWord>
      <group>L1_Punc</group>
      <groupName>标点问题</groupName>
      <ability>L2_Punc</ability>
      <abilityName>标点符号检查</abilityName>
      <candidateList>
        <item>等等</item>
      </candidateList>
      <explain/>
      <paraID> A5AF9F4</paraID>
      <start>722</start>
      <end>725</end>
      <status>unmodified</status>
      <modifiedWord/>
      <trackRevisions>false</trackRevisions>
    </reviewItem>
    <reviewItem>
      <errorID>9ed621cc-802f-4741-bdaa-5a72c70c4afc</errorID>
      <errorWord>、以及</errorWord>
      <group>L1_Punc</group>
      <groupName>标点问题</groupName>
      <ability>L2_Punc</ability>
      <abilityName>标点符号检查</abilityName>
      <candidateList>
        <item>，以及</item>
      </candidateList>
      <explain>连接词前后不宜使用顿号，建议使用逗号。</explain>
      <paraID> A5AF9F4</paraID>
      <start>834</start>
      <end>837</end>
      <status>unmodified</status>
      <modifiedWord/>
      <trackRevisions>false</trackRevisions>
    </reviewItem>
    <reviewItem>
      <errorID>a6214402-c96e-4ba5-9e80-ec981778cf18</errorID>
      <errorWord>(</errorWord>
      <group>L1_Format</group>
      <groupName>格式问题</groupName>
      <ability>L2_HalfPunc</ability>
      <abilityName>全半角检查</abilityName>
      <candidateList>
        <item>（</item>
      </candidateList>
      <explain>文本全半角错误。</explain>
      <paraID> A5AF9F4</paraID>
      <start>1640</start>
      <end>1641</end>
      <status>unmodified</status>
      <modifiedWord/>
      <trackRevisions>false</trackRevisions>
    </reviewItem>
    <reviewItem>
      <errorID>58dfb1e5-7fbf-4340-a316-7d4183b1515a</errorID>
      <errorWord>)</errorWord>
      <group>L1_Format</group>
      <groupName>格式问题</groupName>
      <ability>L2_HalfPunc</ability>
      <abilityName>全半角检查</abilityName>
      <candidateList>
        <item>）</item>
      </candidateList>
      <explain>文本全半角错误。</explain>
      <paraID> A5AF9F4</paraID>
      <start>1644</start>
      <end>1645</end>
      <status>unmodified</status>
      <modifiedWord/>
      <trackRevisions>false</trackRevisions>
    </reviewItem>
    <reviewItem>
      <errorID>e571ed3d-e3e4-42ea-a442-6a81206239ab</errorID>
      <errorWord>心跳时间</errorWord>
      <group>L1_Knowledge</group>
      <groupName>知识性问题</groupName>
      <ability>L2_Term</ability>
      <abilityName>专业术语</abilityName>
      <candidateList>
        <item>回跳时间</item>
      </candidateList>
      <explain/>
      <paraID> A5AF9F4</paraID>
      <start>1837</start>
      <end>1841</end>
      <status>unmodified</status>
      <modifiedWord/>
      <trackRevisions>false</trackRevisions>
    </reviewItem>
    <reviewItem>
      <errorID>41388180-0bf9-491a-8dc8-03c67db4f583</errorID>
      <errorWord>控控</errorWord>
      <group>L1_Word</group>
      <groupName>字词问题</groupName>
      <ability>L2_Typo</ability>
      <abilityName>字词错误</abilityName>
      <candidateList>
        <item>控</item>
      </candidateList>
      <explain/>
      <paraID> A5AF9F4</paraID>
      <start>2338</start>
      <end>2340</end>
      <status>unmodified</status>
      <modifiedWord/>
      <trackRevisions>false</trackRevisions>
    </reviewItem>
    <reviewItem>
      <errorID>681b4ff8-c052-44e1-ba35-9be51514c42c</errorID>
      <errorWord>密匙</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 A5AF9F4</paraID>
      <start>2499</start>
      <end>2501</end>
      <status>unmodified</status>
      <modifiedWord/>
      <trackRevisions>false</trackRevisions>
    </reviewItem>
    <reviewItem>
      <errorID>9bd134b1-0a7f-4859-ac5a-4493a8998821</errorID>
      <errorWord>以</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 A5AF9F4</paraID>
      <start>2927</start>
      <end>2928</end>
      <status>unmodified</status>
      <modifiedWord/>
      <trackRevisions>false</trackRevisions>
    </reviewItem>
    <reviewItem>
      <errorID>8ca537be-116a-4cf0-8760-0565c70caa62</errorID>
      <errorWord>阀值</errorWord>
      <group>L1_Word</group>
      <groupName>字词问题</groupName>
      <ability>L2_Alias</ability>
      <abilityName>也作/曾用词</abilityName>
      <candidateList>
        <item>阈值</item>
      </candidateList>
      <explain>词汇[阀值]为不规范表述或旧称，其规范书面表述为[阈值]。</explain>
      <paraID> A5AF9F4</paraID>
      <start>3253</start>
      <end>3255</end>
      <status>unmodified</status>
      <modifiedWord/>
      <trackRevisions>false</trackRevisions>
    </reviewItem>
    <reviewItem>
      <errorID>8af07992-3494-4004-9048-8faffd39a6fc</errorID>
      <errorWord>阀值</errorWord>
      <group>L1_Word</group>
      <groupName>字词问题</groupName>
      <ability>L2_Alias</ability>
      <abilityName>也作/曾用词</abilityName>
      <candidateList>
        <item>阈值</item>
      </candidateList>
      <explain>词汇[阀值]为不规范表述或旧称，其规范书面表述为[阈值]。</explain>
      <paraID> A5AF9F4</paraID>
      <start>3260</start>
      <end>3262</end>
      <status>unmodified</status>
      <modifiedWord/>
      <trackRevisions>false</trackRevisions>
    </reviewItem>
    <reviewItem>
      <errorID>0b84e456-acdd-404b-b915-6b60de69867e</errorID>
      <errorWord>设置值</errorWord>
      <group>L1_Word</group>
      <groupName>字词问题</groupName>
      <ability>L2_Typo</ability>
      <abilityName>字词错误</abilityName>
      <candidateList>
        <item>设置</item>
      </candidateList>
      <explain>〈动〉❶设立：这座剧院是为儿童～的。❷安放；安装：～障碍。</explain>
      <paraID> A5AF9F4</paraID>
      <start>3623</start>
      <end>3626</end>
      <status>unmodified</status>
      <modifiedWord/>
      <trackRevisions>false</trackRevisions>
    </reviewItem>
    <reviewItem>
      <errorID>3d74ddc9-25c9-4d5f-af3a-425aa59d9bfc</errorID>
      <errorWord>接入的</errorWord>
      <group>L1_Word</group>
      <groupName>字词问题</groupName>
      <ability>L2_Typo</ability>
      <abilityName>字词错误</abilityName>
      <candidateList>
        <item>接入</item>
      </candidateList>
      <explain/>
      <paraID> AFED7C3</paraID>
      <start>150</start>
      <end>153</end>
      <status>unmodified</status>
      <modifiedWord/>
      <trackRevisions>false</trackRevisions>
    </reviewItem>
    <reviewItem>
      <errorID>dd4af4d1-a0bd-469e-ae0a-4ee0a15bf7c5</errorID>
      <errorWord>.</errorWord>
      <group>L1_Format</group>
      <groupName>格式问题</groupName>
      <ability>L2_HalfPunc</ability>
      <abilityName>全半角检查</abilityName>
      <candidateList>
        <item>。</item>
      </candidateList>
      <explain>文本全半角错误。</explain>
      <paraID> AFED7C3</paraID>
      <start>269</start>
      <end>270</end>
      <status>unmodified</status>
      <modifiedWord/>
      <trackRevisions>false</trackRevisions>
    </reviewItem>
    <reviewItem>
      <errorID>240b3563-b66e-4aaa-99c1-944884cb6bec</errorID>
      <errorWord>、等等</errorWord>
      <group>L1_Punc</group>
      <groupName>标点问题</groupName>
      <ability>L2_Punc</ability>
      <abilityName>标点符号检查</abilityName>
      <candidateList>
        <item>等等</item>
      </candidateList>
      <explain/>
      <paraID> AFED7C3</paraID>
      <start>722</start>
      <end>725</end>
      <status>unmodified</status>
      <modifiedWord/>
      <trackRevisions>false</trackRevisions>
    </reviewItem>
    <reviewItem>
      <errorID>2a8e2c64-6182-4f3c-a64d-e80af2e84e65</errorID>
      <errorWord>、以及</errorWord>
      <group>L1_Punc</group>
      <groupName>标点问题</groupName>
      <ability>L2_Punc</ability>
      <abilityName>标点符号检查</abilityName>
      <candidateList>
        <item>，以及</item>
      </candidateList>
      <explain>连接词前后不宜使用顿号，建议使用逗号。</explain>
      <paraID> AFED7C3</paraID>
      <start>834</start>
      <end>837</end>
      <status>unmodified</status>
      <modifiedWord/>
      <trackRevisions>false</trackRevisions>
    </reviewItem>
    <reviewItem>
      <errorID>49aee87f-f393-4776-89a6-7f598513c9a0</errorID>
      <errorWord>(</errorWord>
      <group>L1_Format</group>
      <groupName>格式问题</groupName>
      <ability>L2_HalfPunc</ability>
      <abilityName>全半角检查</abilityName>
      <candidateList>
        <item>（</item>
      </candidateList>
      <explain>文本全半角错误。</explain>
      <paraID> AFED7C3</paraID>
      <start>1636</start>
      <end>1637</end>
      <status>unmodified</status>
      <modifiedWord/>
      <trackRevisions>false</trackRevisions>
    </reviewItem>
    <reviewItem>
      <errorID>681bbe5e-00d8-477e-8aad-3736d5f76735</errorID>
      <errorWord>)</errorWord>
      <group>L1_Format</group>
      <groupName>格式问题</groupName>
      <ability>L2_HalfPunc</ability>
      <abilityName>全半角检查</abilityName>
      <candidateList>
        <item>）</item>
      </candidateList>
      <explain>文本全半角错误。</explain>
      <paraID> AFED7C3</paraID>
      <start>1640</start>
      <end>1641</end>
      <status>unmodified</status>
      <modifiedWord/>
      <trackRevisions>false</trackRevisions>
    </reviewItem>
    <reviewItem>
      <errorID>8319a56e-8090-4893-a76a-e31f9433e6b2</errorID>
      <errorWord>心跳时间</errorWord>
      <group>L1_Knowledge</group>
      <groupName>知识性问题</groupName>
      <ability>L2_Term</ability>
      <abilityName>专业术语</abilityName>
      <candidateList>
        <item>回跳时间</item>
      </candidateList>
      <explain/>
      <paraID> AFED7C3</paraID>
      <start>1833</start>
      <end>1837</end>
      <status>unmodified</status>
      <modifiedWord/>
      <trackRevisions>false</trackRevisions>
    </reviewItem>
    <reviewItem>
      <errorID>91817951-71fa-4485-87a3-f632975e91fb</errorID>
      <errorWord>控控</errorWord>
      <group>L1_Word</group>
      <groupName>字词问题</groupName>
      <ability>L2_Typo</ability>
      <abilityName>字词错误</abilityName>
      <candidateList>
        <item>控</item>
      </candidateList>
      <explain/>
      <paraID> AFED7C3</paraID>
      <start>2334</start>
      <end>2336</end>
      <status>unmodified</status>
      <modifiedWord/>
      <trackRevisions>false</trackRevisions>
    </reviewItem>
    <reviewItem>
      <errorID>da873711-47f9-4e15-8a4f-a87e8aadc48c</errorID>
      <errorWord>密匙</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 AFED7C3</paraID>
      <start>2495</start>
      <end>2497</end>
      <status>unmodified</status>
      <modifiedWord/>
      <trackRevisions>false</trackRevisions>
    </reviewItem>
    <reviewItem>
      <errorID>0fc22842-e08f-4c7e-a54f-56a0f05bbebb</errorID>
      <errorWord>以</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 AFED7C3</paraID>
      <start>2923</start>
      <end>2924</end>
      <status>unmodified</status>
      <modifiedWord/>
      <trackRevisions>false</trackRevisions>
    </reviewItem>
    <reviewItem>
      <errorID>954a1fc6-4ae4-429e-b33a-c8365ceec685</errorID>
      <errorWord>阀值</errorWord>
      <group>L1_Word</group>
      <groupName>字词问题</groupName>
      <ability>L2_Alias</ability>
      <abilityName>也作/曾用词</abilityName>
      <candidateList>
        <item>阈值</item>
      </candidateList>
      <explain>词汇[阀值]为不规范表述或旧称，其规范书面表述为[阈值]。</explain>
      <paraID> AFED7C3</paraID>
      <start>3249</start>
      <end>3251</end>
      <status>unmodified</status>
      <modifiedWord/>
      <trackRevisions>false</trackRevisions>
    </reviewItem>
    <reviewItem>
      <errorID>ac3ee881-d688-4df9-989b-95b02537f711</errorID>
      <errorWord>阀值</errorWord>
      <group>L1_Word</group>
      <groupName>字词问题</groupName>
      <ability>L2_Alias</ability>
      <abilityName>也作/曾用词</abilityName>
      <candidateList>
        <item>阈值</item>
      </candidateList>
      <explain>词汇[阀值]为不规范表述或旧称，其规范书面表述为[阈值]。</explain>
      <paraID> AFED7C3</paraID>
      <start>3256</start>
      <end>3258</end>
      <status>unmodified</status>
      <modifiedWord/>
      <trackRevisions>false</trackRevisions>
    </reviewItem>
    <reviewItem>
      <errorID>308d598b-da96-4eee-9b45-05a7101b87d9</errorID>
      <errorWord>设置值</errorWord>
      <group>L1_Word</group>
      <groupName>字词问题</groupName>
      <ability>L2_Typo</ability>
      <abilityName>字词错误</abilityName>
      <candidateList>
        <item>设置</item>
      </candidateList>
      <explain>〈动〉❶设立：这座剧院是为儿童～的。❷安放；安装：～障碍。</explain>
      <paraID> AFED7C3</paraID>
      <start>3619</start>
      <end>3622</end>
      <status>unmodified</status>
      <modifiedWord/>
      <trackRevisions>false</trackRevisions>
    </reviewItem>
    <reviewItem>
      <errorID>e20f34f8-a40f-4d4c-9ffc-cc7f1e2aa25b</errorID>
      <errorWord>接入的</errorWord>
      <group>L1_Word</group>
      <groupName>字词问题</groupName>
      <ability>L2_Typo</ability>
      <abilityName>字词错误</abilityName>
      <candidateList>
        <item>接入</item>
      </candidateList>
      <explain/>
      <paraID>24407F72</paraID>
      <start>150</start>
      <end>153</end>
      <status>unmodified</status>
      <modifiedWord/>
      <trackRevisions>false</trackRevisions>
    </reviewItem>
    <reviewItem>
      <errorID>1dba4704-1dd9-42b4-acf8-f231b4333e81</errorID>
      <errorWord>.</errorWord>
      <group>L1_Format</group>
      <groupName>格式问题</groupName>
      <ability>L2_HalfPunc</ability>
      <abilityName>全半角检查</abilityName>
      <candidateList>
        <item>。</item>
      </candidateList>
      <explain>文本全半角错误。</explain>
      <paraID>24407F72</paraID>
      <start>269</start>
      <end>270</end>
      <status>unmodified</status>
      <modifiedWord/>
      <trackRevisions>false</trackRevisions>
    </reviewItem>
    <reviewItem>
      <errorID>dc43202d-e9b0-4d09-80f6-e830e8ad3f1c</errorID>
      <errorWord>、等等</errorWord>
      <group>L1_Punc</group>
      <groupName>标点问题</groupName>
      <ability>L2_Punc</ability>
      <abilityName>标点符号检查</abilityName>
      <candidateList>
        <item>等等</item>
      </candidateList>
      <explain/>
      <paraID>24407F72</paraID>
      <start>722</start>
      <end>725</end>
      <status>unmodified</status>
      <modifiedWord/>
      <trackRevisions>false</trackRevisions>
    </reviewItem>
    <reviewItem>
      <errorID>c37c0d7b-3d48-41cf-93e5-fd216950677e</errorID>
      <errorWord>、以及</errorWord>
      <group>L1_Punc</group>
      <groupName>标点问题</groupName>
      <ability>L2_Punc</ability>
      <abilityName>标点符号检查</abilityName>
      <candidateList>
        <item>，以及</item>
      </candidateList>
      <explain>连接词前后不宜使用顿号，建议使用逗号。</explain>
      <paraID>24407F72</paraID>
      <start>834</start>
      <end>837</end>
      <status>unmodified</status>
      <modifiedWord/>
      <trackRevisions>false</trackRevisions>
    </reviewItem>
    <reviewItem>
      <errorID>b4b43c8b-58a4-4444-b575-b62c5945b34d</errorID>
      <errorWord>外挂</errorWord>
      <group>L1_Sensitive</group>
      <groupName>敏感问题</groupName>
      <ability>L2_Prohibited</ability>
      <abilityName>违禁内容</abilityName>
      <candidateList/>
      <explain>【违禁内容】句中涉及国家法律明令禁止的违禁内容，请注意甄别。</explain>
      <paraID>24407F72</paraID>
      <start>1553</start>
      <end>1555</end>
      <status>unmodified</status>
      <modifiedWord/>
      <trackRevisions>false</trackRevisions>
    </reviewItem>
    <reviewItem>
      <errorID>062c25ec-7de4-4d4e-92aa-2a4e7c194d15</errorID>
      <errorWord>(</errorWord>
      <group>L1_Format</group>
      <groupName>格式问题</groupName>
      <ability>L2_HalfPunc</ability>
      <abilityName>全半角检查</abilityName>
      <candidateList>
        <item>（</item>
      </candidateList>
      <explain>文本全半角错误。</explain>
      <paraID>24407F72</paraID>
      <start>1656</start>
      <end>1657</end>
      <status>unmodified</status>
      <modifiedWord/>
      <trackRevisions>false</trackRevisions>
    </reviewItem>
    <reviewItem>
      <errorID>1ba8f407-cc92-4fe7-a347-2eeb81f126bd</errorID>
      <errorWord>)</errorWord>
      <group>L1_Format</group>
      <groupName>格式问题</groupName>
      <ability>L2_HalfPunc</ability>
      <abilityName>全半角检查</abilityName>
      <candidateList>
        <item>）</item>
      </candidateList>
      <explain>文本全半角错误。</explain>
      <paraID>24407F72</paraID>
      <start>1660</start>
      <end>1661</end>
      <status>unmodified</status>
      <modifiedWord/>
      <trackRevisions>false</trackRevisions>
    </reviewItem>
    <reviewItem>
      <errorID>f4a68e1c-010b-4581-9513-7aa930f01ec7</errorID>
      <errorWord>心跳时间</errorWord>
      <group>L1_Knowledge</group>
      <groupName>知识性问题</groupName>
      <ability>L2_Term</ability>
      <abilityName>专业术语</abilityName>
      <candidateList>
        <item>回跳时间</item>
      </candidateList>
      <explain/>
      <paraID>24407F72</paraID>
      <start>1853</start>
      <end>1857</end>
      <status>unmodified</status>
      <modifiedWord/>
      <trackRevisions>false</trackRevisions>
    </reviewItem>
    <reviewItem>
      <errorID>69eb4441-b939-4ffa-bada-ef0c49bd266f</errorID>
      <errorWord>控控</errorWord>
      <group>L1_Word</group>
      <groupName>字词问题</groupName>
      <ability>L2_Typo</ability>
      <abilityName>字词错误</abilityName>
      <candidateList>
        <item>控</item>
      </candidateList>
      <explain/>
      <paraID>24407F72</paraID>
      <start>2354</start>
      <end>2356</end>
      <status>unmodified</status>
      <modifiedWord/>
      <trackRevisions>false</trackRevisions>
    </reviewItem>
    <reviewItem>
      <errorID>4e1a4e01-e0b7-4041-bf49-36a8b820f9af</errorID>
      <errorWord>密匙</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24407F72</paraID>
      <start>2515</start>
      <end>2517</end>
      <status>unmodified</status>
      <modifiedWord/>
      <trackRevisions>false</trackRevisions>
    </reviewItem>
    <reviewItem>
      <errorID>003bde3f-bce8-4b47-9157-f8043dd8a30f</errorID>
      <errorWord>以</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24407F72</paraID>
      <start>2943</start>
      <end>2944</end>
      <status>unmodified</status>
      <modifiedWord/>
      <trackRevisions>false</trackRevisions>
    </reviewItem>
    <reviewItem>
      <errorID>e32a8114-673a-482d-9fd4-67fa4b981bd5</errorID>
      <errorWord>阀值</errorWord>
      <group>L1_Word</group>
      <groupName>字词问题</groupName>
      <ability>L2_Alias</ability>
      <abilityName>也作/曾用词</abilityName>
      <candidateList>
        <item>阈值</item>
      </candidateList>
      <explain>词汇[阀值]为不规范表述或旧称，其规范书面表述为[阈值]。</explain>
      <paraID>24407F72</paraID>
      <start>3269</start>
      <end>3271</end>
      <status>unmodified</status>
      <modifiedWord/>
      <trackRevisions>false</trackRevisions>
    </reviewItem>
    <reviewItem>
      <errorID>6df75ac6-bc1f-46b2-b645-fa831e70f627</errorID>
      <errorWord>阀值</errorWord>
      <group>L1_Word</group>
      <groupName>字词问题</groupName>
      <ability>L2_Alias</ability>
      <abilityName>也作/曾用词</abilityName>
      <candidateList>
        <item>阈值</item>
      </candidateList>
      <explain>词汇[阀值]为不规范表述或旧称，其规范书面表述为[阈值]。</explain>
      <paraID>24407F72</paraID>
      <start>3276</start>
      <end>3278</end>
      <status>unmodified</status>
      <modifiedWord/>
      <trackRevisions>false</trackRevisions>
    </reviewItem>
    <reviewItem>
      <errorID>048ca90c-cace-4141-9866-c9c272bd5434</errorID>
      <errorWord>设置值</errorWord>
      <group>L1_Word</group>
      <groupName>字词问题</groupName>
      <ability>L2_Typo</ability>
      <abilityName>字词错误</abilityName>
      <candidateList>
        <item>设置</item>
      </candidateList>
      <explain>〈动〉❶设立：这座剧院是为儿童～的。❷安放；安装：～障碍。</explain>
      <paraID>24407F72</paraID>
      <start>3639</start>
      <end>3642</end>
      <status>unmodified</status>
      <modifiedWord/>
      <trackRevisions>false</trackRevisions>
    </reviewItem>
    <reviewItem>
      <errorID>469de2ca-d72b-4e97-8a9e-5db66fa80558</errorID>
      <errorWord>:</errorWord>
      <group>L1_Format</group>
      <groupName>格式问题</groupName>
      <ability>L2_HalfPunc</ability>
      <abilityName>全半角检查</abilityName>
      <candidateList>
        <item>：</item>
      </candidateList>
      <explain>文本全半角错误。</explain>
      <paraID>3CFF9AD0</paraID>
      <start>17</start>
      <end>18</end>
      <status>unmodified</status>
      <modifiedWord/>
      <trackRevisions>false</trackRevisions>
    </reviewItem>
    <reviewItem>
      <errorID>6cf39525-c90c-4f7a-8b4d-617585c3399b</errorID>
      <errorWord>:</errorWord>
      <group>L1_Format</group>
      <groupName>格式问题</groupName>
      <ability>L2_HalfPunc</ability>
      <abilityName>全半角检查</abilityName>
      <candidateList>
        <item>：</item>
      </candidateList>
      <explain>文本全半角错误。</explain>
      <paraID>4A4711FF</paraID>
      <start>16</start>
      <end>17</end>
      <status>unmodified</status>
      <modifiedWord/>
      <trackRevisions>false</trackRevisions>
    </reviewItem>
    <reviewItem>
      <errorID>5f944394-6113-46fe-af5c-13adc4092556</errorID>
      <errorWord>:</errorWord>
      <group>L1_Format</group>
      <groupName>格式问题</groupName>
      <ability>L2_HalfPunc</ability>
      <abilityName>全半角检查</abilityName>
      <candidateList>
        <item>：</item>
      </candidateList>
      <explain>文本全半角错误。</explain>
      <paraID>295AC8FB</paraID>
      <start>16</start>
      <end>17</end>
      <status>unmodified</status>
      <modifiedWord/>
      <trackRevisions>false</trackRevisions>
    </reviewItem>
    <reviewItem>
      <errorID>08f6c77d-b3d2-4ce8-bca9-f6f35be2f417</errorID>
      <errorWord>-</errorWord>
      <group>L1_Format</group>
      <groupName>格式问题</groupName>
      <ability>L2_HalfPunc</ability>
      <abilityName>全半角检查</abilityName>
      <candidateList>
        <item>－</item>
      </candidateList>
      <explain>文本全半角错误。</explain>
      <paraID>65EBD395</paraID>
      <start>6</start>
      <end>7</end>
      <status>unmodified</status>
      <modifiedWord/>
      <trackRevisions>false</trackRevisions>
    </reviewItem>
    <reviewItem>
      <errorID>b4c8483c-9595-444c-82fb-083de3a2e281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2320F94F</paraID>
      <start>0</start>
      <end>2</end>
      <status>unmodified</status>
      <modifiedWord/>
      <trackRevisions>false</trackRevisions>
    </reviewItem>
    <reviewItem>
      <errorID>a26d8b76-17b8-40ce-8ee2-d9462444b768</errorID>
      <errorWord>（</errorWord>
      <group>L1_Punc</group>
      <groupName>标点问题</groupName>
      <ability>L2_Punc</ability>
      <abilityName>标点符号检查</abilityName>
      <candidateList>
        <item/>
      </candidateList>
      <explain>同一形式括号套用。</explain>
      <paraID>2320F94F</paraID>
      <start>99</start>
      <end>100</end>
      <status>unmodified</status>
      <modifiedWord/>
      <trackRevisions>false</trackRevisions>
    </reviewItem>
    <reviewItem>
      <errorID>d803fbf5-c191-4154-967c-3ea2e996e1eb</errorID>
      <errorWord>(</errorWord>
      <group>L1_Punc</group>
      <groupName>标点问题</groupName>
      <ability>L2_Punc</ability>
      <abilityName>标点符号检查</abilityName>
      <candidateList/>
      <explain>同一形式括号套用。</explain>
      <paraID>2320F94F</paraID>
      <start>110</start>
      <end>111</end>
      <status>unmodified</status>
      <modifiedWord/>
      <trackRevisions>false</trackRevisions>
    </reviewItem>
    <reviewItem>
      <errorID>4d54d1c7-5b06-411a-9555-14d6b44a5c14</errorID>
      <errorWord>)</errorWord>
      <group>L1_Punc</group>
      <groupName>标点问题</groupName>
      <ability>L2_Punc</ability>
      <abilityName>标点符号检查</abilityName>
      <candidateList/>
      <explain>同一形式括号套用。</explain>
      <paraID>2320F94F</paraID>
      <start>115</start>
      <end>116</end>
      <status>unmodified</status>
      <modifiedWord/>
      <trackRevisions>false</trackRevisions>
    </reviewItem>
    <reviewItem>
      <errorID>3cc5222c-ac90-40bc-a9f3-7ea48df439c9</errorID>
      <errorWord>）</errorWord>
      <group>L1_Punc</group>
      <groupName>标点问题</groupName>
      <ability>L2_Punc</ability>
      <abilityName>标点符号检查</abilityName>
      <candidateList/>
      <explain>同一形式括号套用。</explain>
      <paraID>2320F94F</paraID>
      <start>163</start>
      <end>164</end>
      <status>unmodified</status>
      <modifiedWord/>
      <trackRevisions>false</trackRevisions>
    </reviewItem>
    <reviewItem>
      <errorID>a57a5055-0782-4c67-88ef-20e58295f2ac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460FA953</paraID>
      <start>0</start>
      <end>2</end>
      <status>unmodified</status>
      <modifiedWord/>
      <trackRevisions>false</trackRevisions>
    </reviewItem>
    <reviewItem>
      <errorID>dc574290-08bc-4407-b5e8-7dbd0fe55de7</errorID>
      <errorWord>屏保显示</errorWord>
      <group>L1_Word</group>
      <groupName>字词问题</groupName>
      <ability>L2_Typo</ability>
      <abilityName>字词错误</abilityName>
      <candidateList>
        <item>屏幕显示</item>
      </candidateList>
      <explain/>
      <paraID>460FA953</paraID>
      <start>168</start>
      <end>172</end>
      <status>unmodified</status>
      <modifiedWord/>
      <trackRevisions>false</trackRevisions>
    </reviewItem>
    <reviewItem>
      <errorID>366e7433-18ef-46a0-8846-a18dc16165a3</errorID>
      <errorWord>-</errorWord>
      <group>L1_Format</group>
      <groupName>格式问题</groupName>
      <ability>L2_HalfPunc</ability>
      <abilityName>全半角检查</abilityName>
      <candidateList>
        <item>－</item>
      </candidateList>
      <explain>文本全半角错误。</explain>
      <paraID>188871DD</paraID>
      <start>6</start>
      <end>7</end>
      <status>unmodified</status>
      <modifiedWord/>
      <trackRevisions>false</trackRevisions>
    </reviewItem>
    <reviewItem>
      <errorID>fa7f8e79-01cd-43e2-9344-a521d1aa2e81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4584EA00</paraID>
      <start>0</start>
      <end>2</end>
      <status>unmodified</status>
      <modifiedWord/>
      <trackRevisions>false</trackRevisions>
    </reviewItem>
    <reviewItem>
      <errorID>d3991187-6052-408b-949f-198f9ebcdaf0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2643F2DF</paraID>
      <start>0</start>
      <end>2</end>
      <status>unmodified</status>
      <modifiedWord/>
      <trackRevisions>false</trackRevisions>
    </reviewItem>
    <reviewItem>
      <errorID>04891da1-ab50-459d-a48c-f45ad69db269</errorID>
      <errorWord>-</errorWord>
      <group>L1_Format</group>
      <groupName>格式问题</groupName>
      <ability>L2_HalfPunc</ability>
      <abilityName>全半角检查</abilityName>
      <candidateList>
        <item>－</item>
      </candidateList>
      <explain>文本全半角错误。</explain>
      <paraID> 2A673ED</paraID>
      <start>6</start>
      <end>7</end>
      <status>unmodified</status>
      <modifiedWord/>
      <trackRevisions>false</trackRevisions>
    </reviewItem>
    <reviewItem>
      <errorID>eaa54dc1-07c6-4ba6-a33a-d0e4a290be75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46B9F116</paraID>
      <start>0</start>
      <end>2</end>
      <status>unmodified</status>
      <modifiedWord/>
      <trackRevisions>false</trackRevisions>
    </reviewItem>
    <reviewItem>
      <errorID>d2d7fb87-4d2a-40e6-a824-f5c0d0751540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5E70CCAD</paraID>
      <start>0</start>
      <end>2</end>
      <status>unmodified</status>
      <modifiedWord/>
      <trackRevisions>false</trackRevisions>
    </reviewItem>
    <reviewItem>
      <errorID>e26a50f2-80ab-495c-9eff-93bd2ea3c69f</errorID>
      <errorWord>信</errorWord>
      <group>L1_Word</group>
      <groupName>字词问题</groupName>
      <ability>L2_Typo</ability>
      <abilityName>字词错误</abilityName>
      <candidateList>
        <item>信息</item>
      </candidateList>
      <explain/>
      <paraID>5E70CCAD</paraID>
      <start>569</start>
      <end>570</end>
      <status>unmodified</status>
      <modifiedWord/>
      <trackRevisions>false</trackRevisions>
    </reviewItem>
    <reviewItem>
      <errorID>adae68a6-6353-4acf-8ecd-b6dad6e4ec9f</errorID>
      <errorWord>(</errorWord>
      <group>L1_Format</group>
      <groupName>格式问题</groupName>
      <ability>L2_HalfPunc</ability>
      <abilityName>全半角检查</abilityName>
      <candidateList>
        <item>（</item>
      </candidateList>
      <explain>文本全半角错误。</explain>
      <paraID>1846632E</paraID>
      <start>13</start>
      <end>14</end>
      <status>unmodified</status>
      <modifiedWord/>
      <trackRevisions>false</trackRevisions>
    </reviewItem>
    <reviewItem>
      <errorID>15b3d803-fa66-415c-a047-7de43ee9894b</errorID>
      <errorWord>)</errorWord>
      <group>L1_Format</group>
      <groupName>格式问题</groupName>
      <ability>L2_HalfPunc</ability>
      <abilityName>全半角检查</abilityName>
      <candidateList>
        <item>）</item>
      </candidateList>
      <explain>文本全半角错误。</explain>
      <paraID>1846632E</paraID>
      <start>21</start>
      <end>22</end>
      <status>unmodified</status>
      <modifiedWord/>
      <trackRevisions>false</trackRevisions>
    </reviewItem>
    <reviewItem>
      <errorID>42375ff3-8fd9-46e8-9972-a7db40d8cfd8</errorID>
      <errorWord>(</errorWord>
      <group>L1_Format</group>
      <groupName>格式问题</groupName>
      <ability>L2_HalfPunc</ability>
      <abilityName>全半角检查</abilityName>
      <candidateList>
        <item>（</item>
      </candidateList>
      <explain>文本全半角错误。</explain>
      <paraID>218AD110</paraID>
      <start>13</start>
      <end>14</end>
      <status>unmodified</status>
      <modifiedWord/>
      <trackRevisions>false</trackRevisions>
    </reviewItem>
    <reviewItem>
      <errorID>9ef4f54c-68e9-44dc-bf27-05938aaed838</errorID>
      <errorWord>)</errorWord>
      <group>L1_Format</group>
      <groupName>格式问题</groupName>
      <ability>L2_HalfPunc</ability>
      <abilityName>全半角检查</abilityName>
      <candidateList>
        <item>）</item>
      </candidateList>
      <explain>文本全半角错误。</explain>
      <paraID>218AD110</paraID>
      <start>21</start>
      <end>22</end>
      <status>unmodified</status>
      <modifiedWord/>
      <trackRevisions>false</trackRevisions>
    </reviewItem>
    <reviewItem>
      <errorID>ec03d08a-1142-4680-a263-4e60204e6d4a</errorID>
      <errorWord>(</errorWord>
      <group>L1_Format</group>
      <groupName>格式问题</groupName>
      <ability>L2_HalfPunc</ability>
      <abilityName>全半角检查</abilityName>
      <candidateList>
        <item>（</item>
      </candidateList>
      <explain>文本全半角错误。</explain>
      <paraID>69D05904</paraID>
      <start>13</start>
      <end>14</end>
      <status>unmodified</status>
      <modifiedWord/>
      <trackRevisions>false</trackRevisions>
    </reviewItem>
    <reviewItem>
      <errorID>fe71fc34-a2d9-4c9e-b922-f8436bee9360</errorID>
      <errorWord>)</errorWord>
      <group>L1_Format</group>
      <groupName>格式问题</groupName>
      <ability>L2_HalfPunc</ability>
      <abilityName>全半角检查</abilityName>
      <candidateList>
        <item>）</item>
      </candidateList>
      <explain>文本全半角错误。</explain>
      <paraID>69D05904</paraID>
      <start>21</start>
      <end>22</end>
      <status>unmodified</status>
      <modifiedWord/>
      <trackRevisions>false</trackRevisions>
    </reviewItem>
    <reviewItem>
      <errorID>9066a5fb-9d04-438c-8abc-e42b9ed423a3</errorID>
      <errorWord>)</errorWord>
      <group>L1_Format</group>
      <groupName>格式问题</groupName>
      <ability>L2_HalfPunc</ability>
      <abilityName>全半角检查</abilityName>
      <candidateList>
        <item>）</item>
      </candidateList>
      <explain>文本全半角错误。</explain>
      <paraID>76683B28</paraID>
      <start>28</start>
      <end>29</end>
      <status>unmodified</status>
      <modifiedWord/>
      <trackRevisions>false</trackRevisions>
    </reviewItem>
    <reviewItem>
      <errorID>6a740814-0943-4e5a-a1b0-54dc2d241f59</errorID>
      <errorWord>)</errorWord>
      <group>L1_Format</group>
      <groupName>格式问题</groupName>
      <ability>L2_HalfPunc</ability>
      <abilityName>全半角检查</abilityName>
      <candidateList>
        <item>）</item>
      </candidateList>
      <explain>文本全半角错误。</explain>
      <paraID>238AE261</paraID>
      <start>16</start>
      <end>17</end>
      <status>unmodified</status>
      <modifiedWord/>
      <trackRevisions>false</trackRevisions>
    </reviewItem>
    <reviewItem>
      <errorID>660bebde-e8eb-4541-bbda-896a3876d8c3</errorID>
      <errorWord>)</errorWord>
      <group>L1_Format</group>
      <groupName>格式问题</groupName>
      <ability>L2_HalfPunc</ability>
      <abilityName>全半角检查</abilityName>
      <candidateList>
        <item>）</item>
      </candidateList>
      <explain>文本全半角错误。</explain>
      <paraID>238AE261</paraID>
      <start>101</start>
      <end>102</end>
      <status>unmodified</status>
      <modifiedWord/>
      <trackRevisions>false</trackRevisions>
    </reviewItem>
    <reviewItem>
      <errorID>f6ca4491-586e-4f7c-a1ea-ab9b6d16de8b</errorID>
      <errorWord>)</errorWord>
      <group>L1_Format</group>
      <groupName>格式问题</groupName>
      <ability>L2_HalfPunc</ability>
      <abilityName>全半角检查</abilityName>
      <candidateList>
        <item>）</item>
      </candidateList>
      <explain>文本全半角错误。</explain>
      <paraID>238AE261</paraID>
      <start>141</start>
      <end>142</end>
      <status>unmodified</status>
      <modifiedWord/>
      <trackRevisions>false</trackRevisions>
    </reviewItem>
    <reviewItem>
      <errorID>b5056617-b499-422e-b0e3-1ae58ffa9b11</errorID>
      <errorWord>)</errorWord>
      <group>L1_Format</group>
      <groupName>格式问题</groupName>
      <ability>L2_HalfPunc</ability>
      <abilityName>全半角检查</abilityName>
      <candidateList>
        <item>）</item>
      </candidateList>
      <explain>文本全半角错误。</explain>
      <paraID>238AE261</paraID>
      <start>232</start>
      <end>233</end>
      <status>unmodified</status>
      <modifiedWord/>
      <trackRevisions>false</trackRevisions>
    </reviewItem>
    <reviewItem>
      <errorID>a45dcab3-107b-4c2e-80f3-b056aecae4c8</errorID>
      <errorWord>，</errorWord>
      <group>L1_Word</group>
      <groupName>字词问题</groupName>
      <ability>L2_Typo</ability>
      <abilityName>字词错误</abilityName>
      <candidateList>
        <item>，可</item>
      </candidateList>
      <explain/>
      <paraID>238AE261</paraID>
      <start>243</start>
      <end>244</end>
      <status>unmodified</status>
      <modifiedWord/>
      <trackRevisions>false</trackRevisions>
    </reviewItem>
    <reviewItem>
      <errorID>5f4c6abc-dbc2-464d-9aef-7e1d4b221a51</errorID>
      <errorWord>，</errorWord>
      <group>L1_Word</group>
      <groupName>字词问题</groupName>
      <ability>L2_Typo</ability>
      <abilityName>字词错误</abilityName>
      <candidateList>
        <item>，具</item>
      </candidateList>
      <explain/>
      <paraID>238AE261</paraID>
      <start>291</start>
      <end>292</end>
      <status>unmodified</status>
      <modifiedWord/>
      <trackRevisions>false</trackRevisions>
    </reviewItem>
    <reviewItem>
      <errorID>a0976133-b01f-4664-80d8-4aba1aa38a7a</errorID>
      <errorWord>)</errorWord>
      <group>L1_Format</group>
      <groupName>格式问题</groupName>
      <ability>L2_HalfPunc</ability>
      <abilityName>全半角检查</abilityName>
      <candidateList>
        <item>）</item>
      </candidateList>
      <explain>文本全半角错误。</explain>
      <paraID>238AE261</paraID>
      <start>311</start>
      <end>312</end>
      <status>unmodified</status>
      <modifiedWord/>
      <trackRevisions>false</trackRevisions>
    </reviewItem>
    <reviewItem>
      <errorID>f143001d-4beb-495c-becb-d54483300715</errorID>
      <errorWord>)</errorWord>
      <group>L1_Format</group>
      <groupName>格式问题</groupName>
      <ability>L2_HalfPunc</ability>
      <abilityName>全半角检查</abilityName>
      <candidateList>
        <item>）</item>
      </candidateList>
      <explain>文本全半角错误。</explain>
      <paraID>238AE261</paraID>
      <start>339</start>
      <end>340</end>
      <status>unmodified</status>
      <modifiedWord/>
      <trackRevisions>false</trackRevisions>
    </reviewItem>
    <reviewItem>
      <errorID>c10e1050-b00f-4118-8543-39aaabc2622e</errorID>
      <errorWord>)</errorWord>
      <group>L1_Format</group>
      <groupName>格式问题</groupName>
      <ability>L2_HalfPunc</ability>
      <abilityName>全半角检查</abilityName>
      <candidateList>
        <item>）</item>
      </candidateList>
      <explain>文本全半角错误。</explain>
      <paraID>238AE261</paraID>
      <start>387</start>
      <end>388</end>
      <status>unmodified</status>
      <modifiedWord/>
      <trackRevisions>false</trackRevisions>
    </reviewItem>
    <reviewItem>
      <errorID>5bca3370-30f3-4bff-9161-50424df9e34f</errorID>
      <errorWord>图标</errorWord>
      <group>L1_Word</group>
      <groupName>字词问题</groupName>
      <ability>L2_Typo</ability>
      <abilityName>字词错误</abilityName>
      <candidateList>
        <item>图表</item>
      </candidateList>
      <explain>〈名〉表示各种情况和注明各种数字的图和表的总称，如示意图、统计表等。</explain>
      <paraID>238AE261</paraID>
      <start>422</start>
      <end>424</end>
      <status>unmodified</status>
      <modifiedWord/>
      <trackRevisions>false</trackRevisions>
    </reviewItem>
    <reviewItem>
      <errorID>db29c748-ff60-4c0c-a7e8-c130e0cf0d36</errorID>
      <errorWord>)</errorWord>
      <group>L1_Format</group>
      <groupName>格式问题</groupName>
      <ability>L2_HalfPunc</ability>
      <abilityName>全半角检查</abilityName>
      <candidateList>
        <item>）</item>
      </candidateList>
      <explain>文本全半角错误。</explain>
      <paraID>238AE261</paraID>
      <start>446</start>
      <end>447</end>
      <status>unmodified</status>
      <modifiedWord/>
      <trackRevisions>false</trackRevisions>
    </reviewItem>
    <reviewItem>
      <errorID>e9172087-815b-442d-92c3-5e9d7e0afdff</errorID>
      <errorWord>)</errorWord>
      <group>L1_Format</group>
      <groupName>格式问题</groupName>
      <ability>L2_HalfPunc</ability>
      <abilityName>全半角检查</abilityName>
      <candidateList>
        <item>）</item>
      </candidateList>
      <explain>文本全半角错误。</explain>
      <paraID>238AE261</paraID>
      <start>528</start>
      <end>529</end>
      <status>unmodified</status>
      <modifiedWord/>
      <trackRevisions>false</trackRevisions>
    </reviewItem>
    <reviewItem>
      <errorID>9351815a-609a-4d38-896d-dd0dc60929aa</errorID>
      <errorWord>)</errorWord>
      <group>L1_Format</group>
      <groupName>格式问题</groupName>
      <ability>L2_HalfPunc</ability>
      <abilityName>全半角检查</abilityName>
      <candidateList>
        <item>）</item>
      </candidateList>
      <explain>文本全半角错误。</explain>
      <paraID>238AE261</paraID>
      <start>592</start>
      <end>593</end>
      <status>unmodified</status>
      <modifiedWord/>
      <trackRevisions>false</trackRevisions>
    </reviewItem>
    <reviewItem>
      <errorID>9f5a6a49-3554-4729-be17-0646f60eacf1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238AE261</paraID>
      <start>669</start>
      <end>671</end>
      <status>unmodified</status>
      <modifiedWord/>
      <trackRevisions>false</trackRevisions>
    </reviewItem>
    <reviewItem>
      <errorID>704c7ea4-50de-4723-a47b-0f550770a3fa</errorID>
      <errorWord>)</errorWord>
      <group>L1_Format</group>
      <groupName>格式问题</groupName>
      <ability>L2_HalfPunc</ability>
      <abilityName>全半角检查</abilityName>
      <candidateList>
        <item>）</item>
      </candidateList>
      <explain>文本全半角错误。</explain>
      <paraID>238AE261</paraID>
      <start>691</start>
      <end>692</end>
      <status>unmodified</status>
      <modifiedWord/>
      <trackRevisions>false</trackRevisions>
    </reviewItem>
    <reviewItem>
      <errorID>ec1067f7-412f-4d56-9077-1032e3493d82</errorID>
      <errorWord>)</errorWord>
      <group>L1_Format</group>
      <groupName>格式问题</groupName>
      <ability>L2_HalfPunc</ability>
      <abilityName>全半角检查</abilityName>
      <candidateList>
        <item>）</item>
      </candidateList>
      <explain>文本全半角错误。</explain>
      <paraID>238AE261</paraID>
      <start>781</start>
      <end>782</end>
      <status>unmodified</status>
      <modifiedWord/>
      <trackRevisions>false</trackRevisions>
    </reviewItem>
    <reviewItem>
      <errorID>d05b640e-6b1d-4b00-a776-8fa08397086f</errorID>
      <errorWord>)</errorWord>
      <group>L1_Format</group>
      <groupName>格式问题</groupName>
      <ability>L2_HalfPunc</ability>
      <abilityName>全半角检查</abilityName>
      <candidateList>
        <item>）</item>
      </candidateList>
      <explain>文本全半角错误。</explain>
      <paraID>238AE261</paraID>
      <start>860</start>
      <end>861</end>
      <status>unmodified</status>
      <modifiedWord/>
      <trackRevisions>false</trackRevisions>
    </reviewItem>
    <reviewItem>
      <errorID>9af086c5-4e14-47b5-8b73-8f8a67d2e6bb</errorID>
      <errorWord>)</errorWord>
      <group>L1_Format</group>
      <groupName>格式问题</groupName>
      <ability>L2_HalfPunc</ability>
      <abilityName>全半角检查</abilityName>
      <candidateList>
        <item>）</item>
      </candidateList>
      <explain>文本全半角错误。</explain>
      <paraID>238AE261</paraID>
      <start>927</start>
      <end>928</end>
      <status>unmodified</status>
      <modifiedWord/>
      <trackRevisions>false</trackRevisions>
    </reviewItem>
    <reviewItem>
      <errorID>ad33cc53-a1ce-4524-960d-3f437e85fdf0</errorID>
      <errorWord>)</errorWord>
      <group>L1_Format</group>
      <groupName>格式问题</groupName>
      <ability>L2_HalfPunc</ability>
      <abilityName>全半角检查</abilityName>
      <candidateList>
        <item>）</item>
      </candidateList>
      <explain>文本全半角错误。</explain>
      <paraID>238AE261</paraID>
      <start>987</start>
      <end>988</end>
      <status>unmodified</status>
      <modifiedWord/>
      <trackRevisions>false</trackRevisions>
    </reviewItem>
    <reviewItem>
      <errorID>4cdbdfbb-d294-482a-ae61-0c9a71af2254</errorID>
      <errorWord>频</errorWord>
      <group>L1_Word</group>
      <groupName>字词问题</groupName>
      <ability>L2_Typo</ability>
      <abilityName>字词错误</abilityName>
      <candidateList>
        <item>频资</item>
      </candidateList>
      <explain/>
      <paraID>238AE261</paraID>
      <start>1020</start>
      <end>1021</end>
      <status>unmodified</status>
      <modifiedWord/>
      <trackRevisions>false</trackRevisions>
    </reviewItem>
    <reviewItem>
      <errorID>992e912f-1d00-480c-b2e1-100c56299af4</errorID>
      <errorWord>)</errorWord>
      <group>L1_Format</group>
      <groupName>格式问题</groupName>
      <ability>L2_HalfPunc</ability>
      <abilityName>全半角检查</abilityName>
      <candidateList>
        <item>）</item>
      </candidateList>
      <explain>文本全半角错误。</explain>
      <paraID>238AE261</paraID>
      <start>1059</start>
      <end>1060</end>
      <status>unmodified</status>
      <modifiedWord/>
      <trackRevisions>false</trackRevisions>
    </reviewItem>
    <reviewItem>
      <errorID>50cd6974-e06d-4c35-bb4b-335e494c7ec1</errorID>
      <errorWord>)</errorWord>
      <group>L1_Format</group>
      <groupName>格式问题</groupName>
      <ability>L2_HalfPunc</ability>
      <abilityName>全半角检查</abilityName>
      <candidateList>
        <item>）</item>
      </candidateList>
      <explain>文本全半角错误。</explain>
      <paraID>238AE261</paraID>
      <start>1153</start>
      <end>1154</end>
      <status>unmodified</status>
      <modifiedWord/>
      <trackRevisions>false</trackRevisions>
    </reviewItem>
    <reviewItem>
      <errorID>907bc486-1f4a-4b83-986b-7f7c19553cd9</errorID>
      <errorWord>)</errorWord>
      <group>L1_Format</group>
      <groupName>格式问题</groupName>
      <ability>L2_HalfPunc</ability>
      <abilityName>全半角检查</abilityName>
      <candidateList>
        <item>）</item>
      </candidateList>
      <explain>文本全半角错误。</explain>
      <paraID>238AE261</paraID>
      <start>1295</start>
      <end>1296</end>
      <status>unmodified</status>
      <modifiedWord/>
      <trackRevisions>false</trackRevisions>
    </reviewItem>
    <reviewItem>
      <errorID>51982ef2-37e0-4801-927f-ed642f590921</errorID>
      <errorWord>)</errorWord>
      <group>L1_Format</group>
      <groupName>格式问题</groupName>
      <ability>L2_HalfPunc</ability>
      <abilityName>全半角检查</abilityName>
      <candidateList>
        <item>）</item>
      </candidateList>
      <explain>文本全半角错误。</explain>
      <paraID>238AE261</paraID>
      <start>1371</start>
      <end>1372</end>
      <status>unmodified</status>
      <modifiedWord/>
      <trackRevisions>false</trackRevisions>
    </reviewItem>
    <reviewItem>
      <errorID>c2eb6c02-4870-4733-aee4-cc1c8a25125a</errorID>
      <errorWord>)</errorWord>
      <group>L1_Format</group>
      <groupName>格式问题</groupName>
      <ability>L2_HalfPunc</ability>
      <abilityName>全半角检查</abilityName>
      <candidateList>
        <item>）</item>
      </candidateList>
      <explain>文本全半角错误。</explain>
      <paraID>238AE261</paraID>
      <start>1476</start>
      <end>1477</end>
      <status>unmodified</status>
      <modifiedWord/>
      <trackRevisions>false</trackRevisions>
    </reviewItem>
    <reviewItem>
      <errorID>7409fdf5-474b-42b5-9aac-89025fcfeae5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238AE261</paraID>
      <start>1517</start>
      <end>1518</end>
      <status>unmodified</status>
      <modifiedWord/>
      <trackRevisions>false</trackRevisions>
    </reviewItem>
    <reviewItem>
      <errorID>f25b99a4-3dda-4534-8ff6-16d9bd25dd99</errorID>
      <errorWord>)</errorWord>
      <group>L1_Format</group>
      <groupName>格式问题</groupName>
      <ability>L2_HalfPunc</ability>
      <abilityName>全半角检查</abilityName>
      <candidateList>
        <item>）</item>
      </candidateList>
      <explain>文本全半角错误。</explain>
      <paraID>238AE261</paraID>
      <start>1577</start>
      <end>1578</end>
      <status>unmodified</status>
      <modifiedWord/>
      <trackRevisions>false</trackRevisions>
    </reviewItem>
    <reviewItem>
      <errorID>d37300b7-7138-4d67-9466-5bc39faffec3</errorID>
      <errorWord>)</errorWord>
      <group>L1_Format</group>
      <groupName>格式问题</groupName>
      <ability>L2_HalfPunc</ability>
      <abilityName>全半角检查</abilityName>
      <candidateList>
        <item>）</item>
      </candidateList>
      <explain>文本全半角错误。</explain>
      <paraID>238AE261</paraID>
      <start>1622</start>
      <end>1623</end>
      <status>unmodified</status>
      <modifiedWord/>
      <trackRevisions>false</trackRevisions>
    </reviewItem>
    <reviewItem>
      <errorID>cbc5e4a3-bb8a-4992-b312-be3c97976fb0</errorID>
      <errorWord>)</errorWord>
      <group>L1_Format</group>
      <groupName>格式问题</groupName>
      <ability>L2_HalfPunc</ability>
      <abilityName>全半角检查</abilityName>
      <candidateList>
        <item>）</item>
      </candidateList>
      <explain>文本全半角错误。</explain>
      <paraID>238AE261</paraID>
      <start>1709</start>
      <end>1710</end>
      <status>unmodified</status>
      <modifiedWord/>
      <trackRevisions>false</trackRevisions>
    </reviewItem>
    <reviewItem>
      <errorID>38960748-d164-4de8-8fc8-4597ead96cb1</errorID>
      <errorWord>根据人</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238AE261</paraID>
      <start>1745</start>
      <end>1748</end>
      <status>unmodified</status>
      <modifiedWord/>
      <trackRevisions>false</trackRevisions>
    </reviewItem>
    <reviewItem>
      <errorID>d3d819c5-9ceb-4753-a6b7-13e7c20c4ba4</errorID>
      <errorWord>)</errorWord>
      <group>L1_Format</group>
      <groupName>格式问题</groupName>
      <ability>L2_HalfPunc</ability>
      <abilityName>全半角检查</abilityName>
      <candidateList>
        <item>）</item>
      </candidateList>
      <explain>文本全半角错误。</explain>
      <paraID>238AE261</paraID>
      <start>1922</start>
      <end>1923</end>
      <status>unmodified</status>
      <modifiedWord/>
      <trackRevisions>false</trackRevisions>
    </reviewItem>
    <reviewItem>
      <errorID>82de3ae2-e871-48b6-b022-e10e2839d015</errorID>
      <errorWord>,</errorWord>
      <group>L1_Format</group>
      <groupName>格式问题</groupName>
      <ability>L2_HalfPunc</ability>
      <abilityName>全半角检查</abilityName>
      <candidateList>
        <item>，</item>
      </candidateList>
      <explain>文本全半角错误。</explain>
      <paraID>238AE261</paraID>
      <start>1977</start>
      <end>1978</end>
      <status>unmodified</status>
      <modifiedWord/>
      <trackRevisions>false</trackRevisions>
    </reviewItem>
    <reviewItem>
      <errorID>390913b0-dbeb-4654-a241-3678fa49135a</errorID>
      <errorWord>)</errorWord>
      <group>L1_Format</group>
      <groupName>格式问题</groupName>
      <ability>L2_HalfPunc</ability>
      <abilityName>全半角检查</abilityName>
      <candidateList>
        <item>）</item>
      </candidateList>
      <explain>文本全半角错误。</explain>
      <paraID>238AE261</paraID>
      <start>2004</start>
      <end>2005</end>
      <status>unmodified</status>
      <modifiedWord/>
      <trackRevisions>false</trackRevisions>
    </reviewItem>
    <reviewItem>
      <errorID>f54baa94-f8c8-4037-a455-5002aa1f7f94</errorID>
      <errorWord>)</errorWord>
      <group>L1_Format</group>
      <groupName>格式问题</groupName>
      <ability>L2_HalfPunc</ability>
      <abilityName>全半角检查</abilityName>
      <candidateList>
        <item>）</item>
      </candidateList>
      <explain>文本全半角错误。</explain>
      <paraID>238AE261</paraID>
      <start>2076</start>
      <end>2077</end>
      <status>unmodified</status>
      <modifiedWord/>
      <trackRevisions>false</trackRevisions>
    </reviewItem>
    <reviewItem>
      <errorID>34fe085a-9fbb-4e20-9678-7bbbe6c81ec7</errorID>
      <errorWord>)</errorWord>
      <group>L1_Format</group>
      <groupName>格式问题</groupName>
      <ability>L2_HalfPunc</ability>
      <abilityName>全半角检查</abilityName>
      <candidateList>
        <item>）</item>
      </candidateList>
      <explain>文本全半角错误。</explain>
      <paraID>238AE261</paraID>
      <start>2223</start>
      <end>2224</end>
      <status>unmodified</status>
      <modifiedWord/>
      <trackRevisions>false</trackRevisions>
    </reviewItem>
    <reviewItem>
      <errorID>79781ae8-0fb0-4d88-aa32-2e84665580cd</errorID>
      <errorWord>)</errorWord>
      <group>L1_Format</group>
      <groupName>格式问题</groupName>
      <ability>L2_HalfPunc</ability>
      <abilityName>全半角检查</abilityName>
      <candidateList>
        <item>）</item>
      </candidateList>
      <explain>文本全半角错误。</explain>
      <paraID>238AE261</paraID>
      <start>2297</start>
      <end>2298</end>
      <status>unmodified</status>
      <modifiedWord/>
      <trackRevisions>false</trackRevisions>
    </reviewItem>
    <reviewItem>
      <errorID>fc1a7a6b-589f-4998-a36c-a129db15f462</errorID>
      <errorWord>好</errorWord>
      <group>L1_Word</group>
      <groupName>字词问题</groupName>
      <ability>L2_Typo</ability>
      <abilityName>字词错误</abilityName>
      <candidateList>
        <item>好地</item>
      </candidateList>
      <explain/>
      <paraID>238AE261</paraID>
      <start>2336</start>
      <end>2337</end>
      <status>unmodified</status>
      <modifiedWord/>
      <trackRevisions>false</trackRevisions>
    </reviewItem>
    <reviewItem>
      <errorID>08aed6e4-896e-4c8e-b9b0-c452c39fdcc0</errorID>
      <errorWord>)</errorWord>
      <group>L1_Format</group>
      <groupName>格式问题</groupName>
      <ability>L2_HalfPunc</ability>
      <abilityName>全半角检查</abilityName>
      <candidateList>
        <item>）</item>
      </candidateList>
      <explain>文本全半角错误。</explain>
      <paraID>238AE261</paraID>
      <start>2345</start>
      <end>2346</end>
      <status>unmodified</status>
      <modifiedWord/>
      <trackRevisions>false</trackRevisions>
    </reviewItem>
    <reviewItem>
      <errorID>a67340e9-cbfb-4f7c-b858-a48e62378adb</errorID>
      <errorWord>)</errorWord>
      <group>L1_Format</group>
      <groupName>格式问题</groupName>
      <ability>L2_HalfPunc</ability>
      <abilityName>全半角检查</abilityName>
      <candidateList>
        <item>）</item>
      </candidateList>
      <explain>文本全半角错误。</explain>
      <paraID>238AE261</paraID>
      <start>2382</start>
      <end>2383</end>
      <status>unmodified</status>
      <modifiedWord/>
      <trackRevisions>false</trackRevisions>
    </reviewItem>
    <reviewItem>
      <errorID>5d1e86fa-63f4-479b-aa76-3f8d6b4c0a98</errorID>
      <errorWord>)</errorWord>
      <group>L1_Format</group>
      <groupName>格式问题</groupName>
      <ability>L2_HalfPunc</ability>
      <abilityName>全半角检查</abilityName>
      <candidateList>
        <item>）</item>
      </candidateList>
      <explain>文本全半角错误。</explain>
      <paraID>238AE261</paraID>
      <start>2488</start>
      <end>2489</end>
      <status>unmodified</status>
      <modifiedWord/>
      <trackRevisions>false</trackRevisions>
    </reviewItem>
    <reviewItem>
      <errorID>6db6f0b1-a219-45d7-a9c5-913b31d1cb0f</errorID>
      <errorWord>)</errorWord>
      <group>L1_Format</group>
      <groupName>格式问题</groupName>
      <ability>L2_HalfPunc</ability>
      <abilityName>全半角检查</abilityName>
      <candidateList>
        <item>）</item>
      </candidateList>
      <explain>文本全半角错误。</explain>
      <paraID>238AE261</paraID>
      <start>2568</start>
      <end>2569</end>
      <status>unmodified</status>
      <modifiedWord/>
      <trackRevisions>false</trackRevisions>
    </reviewItem>
    <reviewItem>
      <errorID>7659fa6f-046e-4dd9-ad5b-cb71f2d74202</errorID>
      <errorWord>)</errorWord>
      <group>L1_Format</group>
      <groupName>格式问题</groupName>
      <ability>L2_HalfPunc</ability>
      <abilityName>全半角检查</abilityName>
      <candidateList>
        <item>）</item>
      </candidateList>
      <explain>文本全半角错误。</explain>
      <paraID>238AE261</paraID>
      <start>2641</start>
      <end>2642</end>
      <status>unmodified</status>
      <modifiedWord/>
      <trackRevisions>false</trackRevisions>
    </reviewItem>
    <reviewItem>
      <errorID>d98c1cde-912c-45d7-8e05-cfab547479ce</errorID>
      <errorWord>)</errorWord>
      <group>L1_Format</group>
      <groupName>格式问题</groupName>
      <ability>L2_HalfPunc</ability>
      <abilityName>全半角检查</abilityName>
      <candidateList>
        <item>）</item>
      </candidateList>
      <explain>文本全半角错误。</explain>
      <paraID>238AE261</paraID>
      <start>2689</start>
      <end>2690</end>
      <status>unmodified</status>
      <modifiedWord/>
      <trackRevisions>false</trackRevisions>
    </reviewItem>
    <reviewItem>
      <errorID>6058252e-1e2d-4883-bde0-11cf95b7f984</errorID>
      <errorWord>)</errorWord>
      <group>L1_Format</group>
      <groupName>格式问题</groupName>
      <ability>L2_HalfPunc</ability>
      <abilityName>全半角检查</abilityName>
      <candidateList>
        <item>）</item>
      </candidateList>
      <explain>文本全半角错误。</explain>
      <paraID>238AE261</paraID>
      <start>2749</start>
      <end>2750</end>
      <status>unmodified</status>
      <modifiedWord/>
      <trackRevisions>false</trackRevisions>
    </reviewItem>
    <reviewItem>
      <errorID>8bc584da-5e3f-42fc-998f-e44477e8b46b</errorID>
      <errorWord>)</errorWord>
      <group>L1_Format</group>
      <groupName>格式问题</groupName>
      <ability>L2_HalfPunc</ability>
      <abilityName>全半角检查</abilityName>
      <candidateList>
        <item>）</item>
      </candidateList>
      <explain>文本全半角错误。</explain>
      <paraID>238AE261</paraID>
      <start>2773</start>
      <end>2774</end>
      <status>unmodified</status>
      <modifiedWord/>
      <trackRevisions>false</trackRevisions>
    </reviewItem>
    <reviewItem>
      <errorID>a0dc1bfc-6cb5-446a-afa2-12a71d7d8251</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238AE261</paraID>
      <start>2774</start>
      <end>2776</end>
      <status>unmodified</status>
      <modifiedWord/>
      <trackRevisions>false</trackRevisions>
    </reviewItem>
    <reviewItem>
      <errorID>fa60650a-8da7-489c-a376-066a21f6dff2</errorID>
      <errorWord>)</errorWord>
      <group>L1_Format</group>
      <groupName>格式问题</groupName>
      <ability>L2_HalfPunc</ability>
      <abilityName>全半角检查</abilityName>
      <candidateList>
        <item>）</item>
      </candidateList>
      <explain>文本全半角错误。</explain>
      <paraID>238AE261</paraID>
      <start>2817</start>
      <end>2818</end>
      <status>unmodified</status>
      <modifiedWord/>
      <trackRevisions>false</trackRevisions>
    </reviewItem>
    <reviewItem>
      <errorID>9b9b948f-eeed-4464-afc8-4022faf4ffbe</errorID>
      <errorWord>务</errorWord>
      <group>L1_Word</group>
      <groupName>字词问题</groupName>
      <ability>L2_Typo</ability>
      <abilityName>字词错误</abilityName>
      <candidateList>
        <item>务证</item>
      </candidateList>
      <explain/>
      <paraID>238AE261</paraID>
      <start>2829</start>
      <end>2830</end>
      <status>unmodified</status>
      <modifiedWord/>
      <trackRevisions>false</trackRevisions>
    </reviewItem>
    <reviewItem>
      <errorID>148f9c97-d316-43c2-b677-850195c5d3d6</errorID>
      <errorWord>，</errorWord>
      <group>L1_Word</group>
      <groupName>字词问题</groupName>
      <ability>L2_Typo</ability>
      <abilityName>字词错误</abilityName>
      <candidateList>
        <item>，具</item>
      </candidateList>
      <explain/>
      <paraID>238AE261</paraID>
      <start>2903</start>
      <end>2904</end>
      <status>unmodified</status>
      <modifiedWord/>
      <trackRevisions>false</trackRevisions>
    </reviewItem>
    <reviewItem>
      <errorID>f36207c5-bca7-4ff0-b226-46c1c76821a8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4DD05236</paraID>
      <start>0</start>
      <end>2</end>
      <status>unmodified</status>
      <modifiedWord/>
      <trackRevisions>false</trackRevisions>
    </reviewItem>
    <reviewItem>
      <errorID>b95a34fc-ca8b-4d0b-862f-a27718b6460b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43BC9B81</paraID>
      <start>0</start>
      <end>2</end>
      <status>unmodified</status>
      <modifiedWord/>
      <trackRevisions>false</trackRevisions>
    </reviewItem>
    <reviewItem>
      <errorID>15d297f0-2e82-4798-840c-4a4db94c976b</errorID>
      <errorWord>(</errorWord>
      <group>L1_Format</group>
      <groupName>格式问题</groupName>
      <ability>L2_HalfPunc</ability>
      <abilityName>全半角检查</abilityName>
      <candidateList>
        <item>（</item>
      </candidateList>
      <explain>文本全半角错误。</explain>
      <paraID>43BC9B81</paraID>
      <start>17</start>
      <end>18</end>
      <status>unmodified</status>
      <modifiedWord/>
      <trackRevisions>false</trackRevisions>
    </reviewItem>
    <reviewItem>
      <errorID>74b70172-f16e-4fb3-88f3-1db9d320fcc0</errorID>
      <errorWord>)</errorWord>
      <group>L1_Format</group>
      <groupName>格式问题</groupName>
      <ability>L2_HalfPunc</ability>
      <abilityName>全半角检查</abilityName>
      <candidateList>
        <item>）</item>
      </candidateList>
      <explain>文本全半角错误。</explain>
      <paraID>43BC9B81</paraID>
      <start>40</start>
      <end>41</end>
      <status>unmodified</status>
      <modifiedWord/>
      <trackRevisions>false</trackRevisions>
    </reviewItem>
    <reviewItem>
      <errorID>6b5bf849-760e-4f32-8fe3-cb789015918c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7E1DA863</paraID>
      <start>0</start>
      <end>2</end>
      <status>unmodified</status>
      <modifiedWord/>
      <trackRevisions>false</trackRevisions>
    </reviewItem>
    <reviewItem>
      <errorID>3325cc84-17a4-475f-a6d3-173881880a28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5DC5D4F3</paraID>
      <start>0</start>
      <end>2</end>
      <status>unmodified</status>
      <modifiedWord/>
      <trackRevisions>false</trackRevisions>
    </reviewItem>
    <reviewItem>
      <errorID>0b21fe86-fbba-41f1-b7f9-b7c10d11c0a5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5812308E</paraID>
      <start>0</start>
      <end>2</end>
      <status>unmodified</status>
      <modifiedWord/>
      <trackRevisions>false</trackRevisions>
    </reviewItem>
    <reviewItem>
      <errorID>9747d29c-5737-4ded-94ac-85e5b1adf020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21068E54</paraID>
      <start>0</start>
      <end>2</end>
      <status>unmodified</status>
      <modifiedWord/>
      <trackRevisions>false</trackRevisions>
    </reviewItem>
    <reviewItem>
      <errorID>c86af080-8277-4ba8-a51c-f1920ae8471a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3CC9E8C7</paraID>
      <start>0</start>
      <end>2</end>
      <status>unmodified</status>
      <modifiedWord/>
      <trackRevisions>false</trackRevisions>
    </reviewItem>
    <reviewItem>
      <errorID>8b0e1c53-191a-4edc-a096-623609129682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1B6F9119</paraID>
      <start>0</start>
      <end>2</end>
      <status>unmodified</status>
      <modifiedWord/>
      <trackRevisions>false</trackRevisions>
    </reviewItem>
    <reviewItem>
      <errorID>ae6649c3-0a21-47e5-a84c-d932734c28df</errorID>
      <errorWord>如是</errorWord>
      <group>L1_Word</group>
      <groupName>字词问题</groupName>
      <ability>L2_Typo</ability>
      <abilityName>字词错误</abilityName>
      <candidateList>
        <item>如</item>
      </candidateList>
      <explain/>
      <paraID>1B6F9119</paraID>
      <start>28</start>
      <end>30</end>
      <status>unmodified</status>
      <modifiedWord/>
      <trackRevisions>false</trackRevisions>
    </reviewItem>
    <reviewItem>
      <errorID>b0fb7e3d-8073-450b-8feb-7e4f21113dbb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575EC2D0</paraID>
      <start>0</start>
      <end>2</end>
      <status>unmodified</status>
      <modifiedWord/>
      <trackRevisions>false</trackRevisions>
    </reviewItem>
    <reviewItem>
      <errorID>c9134cda-c620-4273-9f26-c53e43d87b80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2E139F99</paraID>
      <start>0</start>
      <end>2</end>
      <status>unmodified</status>
      <modifiedWord/>
      <trackRevisions>false</trackRevisions>
    </reviewItem>
    <reviewItem>
      <errorID>59aff143-db62-4964-8791-bf760915994c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3DB1093D</paraID>
      <start>0</start>
      <end>2</end>
      <status>unmodified</status>
      <modifiedWord/>
      <trackRevisions>false</trackRevisions>
    </reviewItem>
    <reviewItem>
      <errorID>f82d5eff-fba5-4bf6-975a-03a2915de7b8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3B15EBDB</paraID>
      <start>0</start>
      <end>2</end>
      <status>unmodified</status>
      <modifiedWord/>
      <trackRevisions>false</trackRevisions>
    </reviewItem>
    <reviewItem>
      <errorID>28e55e76-080b-4313-a0fe-8403176c72fa</errorID>
      <errorWord>其它无效</errorWord>
      <group>L1_Word</group>
      <groupName>字词问题</groupName>
      <ability>L2_Alias</ability>
      <abilityName>也作/曾用词</abilityName>
      <candidateList>
        <item>其他无效</item>
      </candidateList>
      <explain>词汇[其它无效]为不规范表述或旧称，其规范书面表述为[其他无效]。</explain>
      <paraID>3B15EBDB</paraID>
      <start>16</start>
      <end>20</end>
      <status>unmodified</status>
      <modifiedWord/>
      <trackRevisions>false</trackRevisions>
    </reviewItem>
    <reviewItem>
      <errorID>594f2acb-990e-41cb-b20b-11640315da17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3F1973CC</paraID>
      <start>0</start>
      <end>2</end>
      <status>unmodified</status>
      <modifiedWord/>
      <trackRevisions>false</trackRevisions>
    </reviewItem>
    <reviewItem>
      <errorID>a63c72ca-5957-4412-9f52-769c97a8917c</errorID>
      <errorWord>(</errorWord>
      <group>L1_Format</group>
      <groupName>格式问题</groupName>
      <ability>L2_HalfPunc</ability>
      <abilityName>全半角检查</abilityName>
      <candidateList>
        <item>（</item>
      </candidateList>
      <explain>文本全半角错误。</explain>
      <paraID>2CB0E820</paraID>
      <start>15</start>
      <end>16</end>
      <status>unmodified</status>
      <modifiedWord/>
      <trackRevisions>false</trackRevisions>
    </reviewItem>
    <reviewItem>
      <errorID>b74b63c3-7f65-4bc7-b6a9-29937eadf620</errorID>
      <errorWord>)</errorWord>
      <group>L1_Format</group>
      <groupName>格式问题</groupName>
      <ability>L2_HalfPunc</ability>
      <abilityName>全半角检查</abilityName>
      <candidateList>
        <item>）</item>
      </candidateList>
      <explain>文本全半角错误。</explain>
      <paraID>2CB0E820</paraID>
      <start>26</start>
      <end>27</end>
      <status>unmodified</status>
      <modifiedWord/>
      <trackRevisions>false</trackRevisions>
    </reviewItem>
    <reviewItem>
      <errorID>c76dc3b1-82dd-4168-9dfd-345bf650ddf7</errorID>
      <errorWord>(</errorWord>
      <group>L1_Format</group>
      <groupName>格式问题</groupName>
      <ability>L2_HalfPunc</ability>
      <abilityName>全半角检查</abilityName>
      <candidateList>
        <item>（</item>
      </candidateList>
      <explain>文本全半角错误。</explain>
      <paraID>163C1F37</paraID>
      <start>15</start>
      <end>16</end>
      <status>unmodified</status>
      <modifiedWord/>
      <trackRevisions>false</trackRevisions>
    </reviewItem>
    <reviewItem>
      <errorID>d511f5c2-5616-4f3e-85f7-f019d9fc4c44</errorID>
      <errorWord>)</errorWord>
      <group>L1_Format</group>
      <groupName>格式问题</groupName>
      <ability>L2_HalfPunc</ability>
      <abilityName>全半角检查</abilityName>
      <candidateList>
        <item>）</item>
      </candidateList>
      <explain>文本全半角错误。</explain>
      <paraID>163C1F37</paraID>
      <start>26</start>
      <end>27</end>
      <status>unmodified</status>
      <modifiedWord/>
      <trackRevisions>false</trackRevisions>
    </reviewItem>
    <reviewItem>
      <errorID>204f6cbe-9935-4943-9d1e-2b11dda9396e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11521D2F</paraID>
      <start>0</start>
      <end>2</end>
      <status>unmodified</status>
      <modifiedWord/>
      <trackRevisions>false</trackRevisions>
    </reviewItem>
    <reviewItem>
      <errorID>436266fa-6a5c-4c93-909d-ae931e6ff3af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16363CD7</paraID>
      <start>0</start>
      <end>2</end>
      <status>unmodified</status>
      <modifiedWord/>
      <trackRevisions>false</trackRevisions>
    </reviewItem>
    <reviewItem>
      <errorID>2f77d656-01b6-43b4-8422-c8875570ca1c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39C8B064</paraID>
      <start>0</start>
      <end>2</end>
      <status>unmodified</status>
      <modifiedWord/>
      <trackRevisions>false</trackRevisions>
    </reviewItem>
    <reviewItem>
      <errorID>c23ccc28-f606-4c99-86cf-d97a765620cc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6323AD37</paraID>
      <start>0</start>
      <end>2</end>
      <status>unmodified</status>
      <modifiedWord/>
      <trackRevisions>false</trackRevisions>
    </reviewItem>
    <reviewItem>
      <errorID>0592384a-4c72-41fe-ac8f-5e05842acc4c</errorID>
      <errorWord>。</errorWord>
      <group>L1_Punc</group>
      <groupName>标点问题</groupName>
      <ability>L2_Punc</ability>
      <abilityName>标点符号检查</abilityName>
      <candidateList/>
      <explain/>
      <paraID>55B6260B</paraID>
      <start>66</start>
      <end>67</end>
      <status>unmodified</status>
      <modifiedWord/>
      <trackRevisions>false</trackRevisions>
    </reviewItem>
    <reviewItem>
      <errorID>62b3b1c2-e30c-4930-99e9-e095fd6ba6a2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47DE5EEB</paraID>
      <start>0</start>
      <end>2</end>
      <status>unmodified</status>
      <modifiedWord/>
      <trackRevisions>false</trackRevisions>
    </reviewItem>
    <reviewItem>
      <errorID>dc889735-8cfc-4621-8530-c933ffd2d53d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38EC3EEE</paraID>
      <start>0</start>
      <end>2</end>
      <status>unmodified</status>
      <modifiedWord/>
      <trackRevisions>false</trackRevisions>
    </reviewItem>
    <reviewItem>
      <errorID>640c4266-525b-40c7-a576-376d08b752df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5A36F6F8</paraID>
      <start>0</start>
      <end>2</end>
      <status>unmodified</status>
      <modifiedWord/>
      <trackRevisions>false</trackRevisions>
    </reviewItem>
    <reviewItem>
      <errorID>0310b90b-21ae-4226-adfa-8065db14b27d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9AD5F04</paraID>
      <start>0</start>
      <end>2</end>
      <status>unmodified</status>
      <modifiedWord/>
      <trackRevisions>false</trackRevisions>
    </reviewItem>
    <reviewItem>
      <errorID>e42504e5-26b6-4efc-adc9-0a6f2b31e8a8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3F68D1B</paraID>
      <start>0</start>
      <end>2</end>
      <status>unmodified</status>
      <modifiedWord/>
      <trackRevisions>false</trackRevisions>
    </reviewItem>
    <reviewItem>
      <errorID>d85e6586-6e51-4feb-bd72-94edc6a108b8</errorID>
      <errorWord>(</errorWord>
      <group>L1_Format</group>
      <groupName>格式问题</groupName>
      <ability>L2_HalfPunc</ability>
      <abilityName>全半角检查</abilityName>
      <candidateList>
        <item>（</item>
      </candidateList>
      <explain>文本全半角错误。</explain>
      <paraID> 3F68D1B</paraID>
      <start>18</start>
      <end>19</end>
      <status>unmodified</status>
      <modifiedWord/>
      <trackRevisions>false</trackRevisions>
    </reviewItem>
    <reviewItem>
      <errorID>aef7fa1b-fbf1-411f-ad96-8e1e42a1789b</errorID>
      <errorWord>)</errorWord>
      <group>L1_Format</group>
      <groupName>格式问题</groupName>
      <ability>L2_HalfPunc</ability>
      <abilityName>全半角检查</abilityName>
      <candidateList>
        <item>）</item>
      </candidateList>
      <explain>文本全半角错误。</explain>
      <paraID> 3F68D1B</paraID>
      <start>41</start>
      <end>42</end>
      <status>unmodified</status>
      <modifiedWord/>
      <trackRevisions>false</trackRevisions>
    </reviewItem>
    <reviewItem>
      <errorID>457a5c49-e4c2-47d6-8831-a90470f6b446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248FFA76</paraID>
      <start>0</start>
      <end>2</end>
      <status>unmodified</status>
      <modifiedWord/>
      <trackRevisions>false</trackRevisions>
    </reviewItem>
    <reviewItem>
      <errorID>2d995ba8-e2c9-4fb5-be77-0b59ee0a8e15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42883671</paraID>
      <start>0</start>
      <end>2</end>
      <status>unmodified</status>
      <modifiedWord/>
      <trackRevisions>false</trackRevisions>
    </reviewItem>
    <reviewItem>
      <errorID>f962be73-fe85-49ce-a6a1-3ea0efb6cacb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7E9D6204</paraID>
      <start>0</start>
      <end>2</end>
      <status>unmodified</status>
      <modifiedWord/>
      <trackRevisions>false</trackRevisions>
    </reviewItem>
    <reviewItem>
      <errorID>ef592b01-b378-449e-ad84-a9744876137a</errorID>
      <errorWord>行</errorWord>
      <group>L1_Word</group>
      <groupName>字词问题</groupName>
      <ability>L2_Typo</ability>
      <abilityName>字词错误</abilityName>
      <candidateList>
        <item>行为</item>
      </candidateList>
      <explain>〈名〉受思想支配而表现出来的活动：～不端｜揭露不法～。</explain>
      <paraID>2CFB005E</paraID>
      <start>21</start>
      <end>22</end>
      <status>unmodified</status>
      <modifiedWord/>
      <trackRevisions>false</trackRevisions>
    </reviewItem>
    <reviewItem>
      <errorID>50f937f6-5e55-46bb-8368-2679af348778</errorID>
      <errorWord>本</errorWord>
      <group>L1_Word</group>
      <groupName>字词问题</groupName>
      <ability>L2_Typo</ability>
      <abilityName>字词错误</abilityName>
      <candidateList>
        <item>本次</item>
      </candidateList>
      <explain/>
      <paraID>2869F6C3</paraID>
      <start>14</start>
      <end>15</end>
      <status>unmodified</status>
      <modifiedWord/>
      <trackRevisions>false</trackRevisions>
    </reviewItem>
    <reviewItem>
      <errorID>7ef7d686-199f-4151-963f-a18fba575f1d</errorID>
      <errorWord>评审评审</errorWord>
      <group>L1_Word</group>
      <groupName>字词问题</groupName>
      <ability>L2_Typo</ability>
      <abilityName>字词错误</abilityName>
      <candidateList>
        <item>评审</item>
      </candidateList>
      <explain/>
      <paraID>512EA05E</paraID>
      <start>26</start>
      <end>30</end>
      <status>unmodified</status>
      <modifiedWord/>
      <trackRevisions>false</trackRevisions>
    </reviewItem>
    <reviewItem>
      <errorID>5bc5ed1e-cd99-4d0c-b749-c1db4c064ead</errorID>
      <errorWord>做出</errorWord>
      <group>L1_Word</group>
      <groupName>字词问题</groupName>
      <ability>L2_Typo</ability>
      <abilityName>字词错误</abilityName>
      <candidateList>
        <item>作出</item>
      </candidateList>
      <explain/>
      <paraID>25D907CA</paraID>
      <start>49</start>
      <end>51</end>
      <status>unmodified</status>
      <modifiedWord/>
      <trackRevisions>false</trackRevisions>
    </reviewItem>
    <reviewItem>
      <errorID>898d1c3f-356e-4bc9-a483-4286e0d94314</errorID>
      <errorWord>做出</errorWord>
      <group>L1_Word</group>
      <groupName>字词问题</groupName>
      <ability>L2_Typo</ability>
      <abilityName>字词错误</abilityName>
      <candidateList>
        <item>作出</item>
      </candidateList>
      <explain/>
      <paraID>4BB6E673</paraID>
      <start>50</start>
      <end>52</end>
      <status>unmodified</status>
      <modifiedWord/>
      <trackRevisions>false</trackRevisions>
    </reviewItem>
    <reviewItem>
      <errorID>621a3ecc-a67a-4a4c-a686-6c8adc69643f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BA9FA8D</paraID>
      <start>0</start>
      <end>2</end>
      <status>unmodified</status>
      <modifiedWord/>
      <trackRevisions>false</trackRevisions>
    </reviewItem>
    <reviewItem>
      <errorID>9b175d20-0851-4d65-a9b3-55e6ec46d54c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12FDAEA5</paraID>
      <start>0</start>
      <end>2</end>
      <status>unmodified</status>
      <modifiedWord/>
      <trackRevisions>false</trackRevisions>
    </reviewItem>
    <reviewItem>
      <errorID>78852ecf-df01-4c00-a473-bc611b4b6428</errorID>
      <errorWord>项</errorWord>
      <group>L1_Word</group>
      <groupName>字词问题</groupName>
      <ability>L2_Typo</ability>
      <abilityName>字词错误</abilityName>
      <candidateList>
        <item>项目</item>
      </candidateList>
      <explain>〈名〉事物分成的门类：服务～｜体育～｜建设～。</explain>
      <paraID>12FDAEA5</paraID>
      <start>58</start>
      <end>59</end>
      <status>unmodified</status>
      <modifiedWord/>
      <trackRevisions>false</trackRevisions>
    </reviewItem>
    <reviewItem>
      <errorID>cd4b334d-3d65-4f72-997f-2b09acc6c636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2921A4FE</paraID>
      <start>0</start>
      <end>2</end>
      <status>unmodified</status>
      <modifiedWord/>
      <trackRevisions>false</trackRevisions>
    </reviewItem>
    <reviewItem>
      <errorID>29a618d8-76fa-492a-9123-84f53e4831eb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AC36ED5</paraID>
      <start>0</start>
      <end>2</end>
      <status>unmodified</status>
      <modifiedWord/>
      <trackRevisions>false</trackRevisions>
    </reviewItem>
    <reviewItem>
      <errorID>8ff3e159-2ad2-448e-a281-f32eb02dd05d</errorID>
      <errorWord>二位</errorWord>
      <group>L1_Word</group>
      <groupName>字词问题</groupName>
      <ability>L2_Typo</ability>
      <abilityName>字词错误</abilityName>
      <candidateList>
        <item>两位</item>
      </candidateList>
      <explain/>
      <paraID> AC36ED5</paraID>
      <start>36</start>
      <end>38</end>
      <status>unmodified</status>
      <modifiedWord/>
      <trackRevisions>false</trackRevisions>
    </reviewItem>
    <reviewItem>
      <errorID>e82fcfca-0041-42b9-9473-8fe4a193d07d</errorID>
      <errorWord>（</errorWord>
      <group>L1_Punc</group>
      <groupName>标点问题</groupName>
      <ability>L2_Punc</ability>
      <abilityName>标点符号检查</abilityName>
      <candidateList/>
      <explain>同一形式括号套用。</explain>
      <paraID> AC36ED5</paraID>
      <start>38</start>
      <end>39</end>
      <status>unmodified</status>
      <modifiedWord/>
      <trackRevisions>false</trackRevisions>
    </reviewItem>
    <reviewItem>
      <errorID>b68400af-01fe-4a81-8537-9ef92c63afff</errorID>
      <errorWord>）</errorWord>
      <group>L1_Punc</group>
      <groupName>标点问题</groupName>
      <ability>L2_Punc</ability>
      <abilityName>标点符号检查</abilityName>
      <candidateList/>
      <explain>同一形式括号套用。</explain>
      <paraID> AC36ED5</paraID>
      <start>56</start>
      <end>57</end>
      <status>unmodified</status>
      <modifiedWord/>
      <trackRevisions>false</trackRevisions>
    </reviewItem>
    <reviewItem>
      <errorID>aa29b465-95ef-48f4-b125-8fac7db24df8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67F8A98</paraID>
      <start>0</start>
      <end>2</end>
      <status>unmodified</status>
      <modifiedWord/>
      <trackRevisions>false</trackRevisions>
    </reviewItem>
    <reviewItem>
      <errorID>0b1879f5-d000-428e-a7c5-be1d4e56a9c8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65F498F2</paraID>
      <start>0</start>
      <end>2</end>
      <status>unmodified</status>
      <modifiedWord/>
      <trackRevisions>false</trackRevisions>
    </reviewItem>
    <reviewItem>
      <errorID>c583db1a-1fbf-4c18-8277-be700ec18d4c</errorID>
      <errorWord>:</errorWord>
      <group>L1_Format</group>
      <groupName>格式问题</groupName>
      <ability>L2_HalfPunc</ability>
      <abilityName>全半角检查</abilityName>
      <candidateList>
        <item>：</item>
      </candidateList>
      <explain>文本全半角错误。</explain>
      <paraID>65F498F2</paraID>
      <start>13</start>
      <end>14</end>
      <status>unmodified</status>
      <modifiedWord/>
      <trackRevisions>false</trackRevisions>
    </reviewItem>
    <reviewItem>
      <errorID>f8ec2d41-5a0d-4623-b46c-1b396a5f315b</errorID>
      <errorWord>(</errorWord>
      <group>L1_Format</group>
      <groupName>格式问题</groupName>
      <ability>L2_HalfPunc</ability>
      <abilityName>全半角检查</abilityName>
      <candidateList>
        <item>（</item>
      </candidateList>
      <explain>文本全半角错误。</explain>
      <paraID>690D233C</paraID>
      <start>2</start>
      <end>3</end>
      <status>unmodified</status>
      <modifiedWord/>
      <trackRevisions>false</trackRevisions>
    </reviewItem>
    <reviewItem>
      <errorID>e5592328-aa9a-4c1d-93a9-04994b7b349b</errorID>
      <errorWord>)</errorWord>
      <group>L1_Format</group>
      <groupName>格式问题</groupName>
      <ability>L2_HalfPunc</ability>
      <abilityName>全半角检查</abilityName>
      <candidateList>
        <item>）</item>
      </candidateList>
      <explain>文本全半角错误。</explain>
      <paraID>690D233C</paraID>
      <start>4</start>
      <end>5</end>
      <status>unmodified</status>
      <modifiedWord/>
      <trackRevisions>false</trackRevisions>
    </reviewItem>
    <reviewItem>
      <errorID>9f75f305-744c-43a4-a0aa-bf3027fe4c75</errorID>
      <errorWord>(</errorWord>
      <group>L1_Format</group>
      <groupName>格式问题</groupName>
      <ability>L2_HalfPunc</ability>
      <abilityName>全半角检查</abilityName>
      <candidateList>
        <item>（</item>
      </candidateList>
      <explain>文本全半角错误。</explain>
      <paraID>55CE6E7E</paraID>
      <start>8</start>
      <end>9</end>
      <status>unmodified</status>
      <modifiedWord/>
      <trackRevisions>false</trackRevisions>
    </reviewItem>
    <reviewItem>
      <errorID>b8c6cad4-cd36-41f2-a7b6-51a4d8174715</errorID>
      <errorWord>)</errorWord>
      <group>L1_Format</group>
      <groupName>格式问题</groupName>
      <ability>L2_HalfPunc</ability>
      <abilityName>全半角检查</abilityName>
      <candidateList>
        <item>）</item>
      </candidateList>
      <explain>文本全半角错误。</explain>
      <paraID>55CE6E7E</paraID>
      <start>19</start>
      <end>20</end>
      <status>unmodified</status>
      <modifiedWord/>
      <trackRevisions>false</trackRevisions>
    </reviewItem>
    <reviewItem>
      <errorID>990ac33a-5e08-4a84-813b-c81e2d80d551</errorID>
      <errorWord>,</errorWord>
      <group>L1_Format</group>
      <groupName>格式问题</groupName>
      <ability>L2_HalfPunc</ability>
      <abilityName>全半角检查</abilityName>
      <candidateList>
        <item>，</item>
      </candidateList>
      <explain>文本全半角错误。</explain>
      <paraID>6B71B847</paraID>
      <start>59</start>
      <end>60</end>
      <status>unmodified</status>
      <modifiedWord/>
      <trackRevisions>false</trackRevisions>
    </reviewItem>
    <reviewItem>
      <errorID>572e8937-ada0-485f-b055-f12451d5784f</errorID>
      <errorWord>噪音</errorWord>
      <group>L1_Word</group>
      <groupName>字词问题</groupName>
      <ability>L2_Alias</ability>
      <abilityName>也作/曾用词</abilityName>
      <candidateList>
        <item>噪声</item>
      </candidateList>
      <explain>词汇[噪音]为不规范表述或旧称，其规范书面表述为[噪声]。</explain>
      <paraID>6B71B847</paraID>
      <start>109</start>
      <end>111</end>
      <status>unmodified</status>
      <modifiedWord/>
      <trackRevisions>false</trackRevisions>
    </reviewItem>
    <reviewItem>
      <errorID>8c4bce52-69f0-469c-a777-f966503ea72a</errorID>
      <errorWord>接入的</errorWord>
      <group>L1_Word</group>
      <groupName>字词问题</groupName>
      <ability>L2_Typo</ability>
      <abilityName>字词错误</abilityName>
      <candidateList>
        <item>接入</item>
      </candidateList>
      <explain/>
      <paraID>560BA7C1</paraID>
      <start>150</start>
      <end>153</end>
      <status>unmodified</status>
      <modifiedWord/>
      <trackRevisions>false</trackRevisions>
    </reviewItem>
    <reviewItem>
      <errorID>14fa1681-3d0f-4d2b-b528-9d9a44dbd931</errorID>
      <errorWord>.</errorWord>
      <group>L1_Format</group>
      <groupName>格式问题</groupName>
      <ability>L2_HalfPunc</ability>
      <abilityName>全半角检查</abilityName>
      <candidateList>
        <item>。</item>
      </candidateList>
      <explain>文本全半角错误。</explain>
      <paraID>560BA7C1</paraID>
      <start>269</start>
      <end>270</end>
      <status>unmodified</status>
      <modifiedWord/>
      <trackRevisions>false</trackRevisions>
    </reviewItem>
    <reviewItem>
      <errorID>047033de-2d55-4d8c-bb52-6b0f3f3a4063</errorID>
      <errorWord>、等等</errorWord>
      <group>L1_Punc</group>
      <groupName>标点问题</groupName>
      <ability>L2_Punc</ability>
      <abilityName>标点符号检查</abilityName>
      <candidateList>
        <item>等等</item>
      </candidateList>
      <explain/>
      <paraID>560BA7C1</paraID>
      <start>722</start>
      <end>725</end>
      <status>unmodified</status>
      <modifiedWord/>
      <trackRevisions>false</trackRevisions>
    </reviewItem>
    <reviewItem>
      <errorID>9ed621cc-802f-4741-bdaa-5a72c70c4afc</errorID>
      <errorWord>、以及</errorWord>
      <group>L1_Punc</group>
      <groupName>标点问题</groupName>
      <ability>L2_Punc</ability>
      <abilityName>标点符号检查</abilityName>
      <candidateList>
        <item>，以及</item>
      </candidateList>
      <explain>连接词前后不宜使用顿号，建议使用逗号。</explain>
      <paraID>560BA7C1</paraID>
      <start>834</start>
      <end>837</end>
      <status>unmodified</status>
      <modifiedWord/>
      <trackRevisions>false</trackRevisions>
    </reviewItem>
    <reviewItem>
      <errorID>a6214402-c96e-4ba5-9e80-ec981778cf18</errorID>
      <errorWord>(</errorWord>
      <group>L1_Format</group>
      <groupName>格式问题</groupName>
      <ability>L2_HalfPunc</ability>
      <abilityName>全半角检查</abilityName>
      <candidateList>
        <item>（</item>
      </candidateList>
      <explain>文本全半角错误。</explain>
      <paraID>560BA7C1</paraID>
      <start>1640</start>
      <end>1641</end>
      <status>unmodified</status>
      <modifiedWord/>
      <trackRevisions>false</trackRevisions>
    </reviewItem>
    <reviewItem>
      <errorID>58dfb1e5-7fbf-4340-a316-7d4183b1515a</errorID>
      <errorWord>)</errorWord>
      <group>L1_Format</group>
      <groupName>格式问题</groupName>
      <ability>L2_HalfPunc</ability>
      <abilityName>全半角检查</abilityName>
      <candidateList>
        <item>）</item>
      </candidateList>
      <explain>文本全半角错误。</explain>
      <paraID>560BA7C1</paraID>
      <start>1644</start>
      <end>1645</end>
      <status>unmodified</status>
      <modifiedWord/>
      <trackRevisions>false</trackRevisions>
    </reviewItem>
    <reviewItem>
      <errorID>e571ed3d-e3e4-42ea-a442-6a81206239ab</errorID>
      <errorWord>心跳时间</errorWord>
      <group>L1_Knowledge</group>
      <groupName>知识性问题</groupName>
      <ability>L2_Term</ability>
      <abilityName>专业术语</abilityName>
      <candidateList>
        <item>回跳时间</item>
      </candidateList>
      <explain/>
      <paraID>560BA7C1</paraID>
      <start>1837</start>
      <end>1841</end>
      <status>unmodified</status>
      <modifiedWord/>
      <trackRevisions>false</trackRevisions>
    </reviewItem>
    <reviewItem>
      <errorID>bbf690cd-a1e2-4be3-a277-86e5ddec670c</errorID>
      <errorWord>控控</errorWord>
      <group>L1_Word</group>
      <groupName>字词问题</groupName>
      <ability>L2_Typo</ability>
      <abilityName>字词错误</abilityName>
      <candidateList>
        <item>控</item>
      </candidateList>
      <explain/>
      <paraID>560BA7C1</paraID>
      <start>2338</start>
      <end>2340</end>
      <status>unmodified</status>
      <modifiedWord/>
      <trackRevisions>false</trackRevisions>
    </reviewItem>
    <reviewItem>
      <errorID>98cd7bda-cae1-4c5d-8a21-4dcc3b0bb58b</errorID>
      <errorWord>密匙</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560BA7C1</paraID>
      <start>2499</start>
      <end>2501</end>
      <status>unmodified</status>
      <modifiedWord/>
      <trackRevisions>false</trackRevisions>
    </reviewItem>
    <reviewItem>
      <errorID>a851c92a-1c01-4cc3-ad91-cdd08d82cac6</errorID>
      <errorWord>以</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560BA7C1</paraID>
      <start>2927</start>
      <end>2928</end>
      <status>unmodified</status>
      <modifiedWord/>
      <trackRevisions>false</trackRevisions>
    </reviewItem>
    <reviewItem>
      <errorID>e4be0f87-63f7-4bdd-af0c-b27155cfdd2b</errorID>
      <errorWord>阀值</errorWord>
      <group>L1_Word</group>
      <groupName>字词问题</groupName>
      <ability>L2_Alias</ability>
      <abilityName>也作/曾用词</abilityName>
      <candidateList>
        <item>阈值</item>
      </candidateList>
      <explain>词汇[阀值]为不规范表述或旧称，其规范书面表述为[阈值]。</explain>
      <paraID>560BA7C1</paraID>
      <start>3253</start>
      <end>3255</end>
      <status>unmodified</status>
      <modifiedWord/>
      <trackRevisions>false</trackRevisions>
    </reviewItem>
    <reviewItem>
      <errorID>50f1587f-b399-4222-a176-fc67f4df894b</errorID>
      <errorWord>阀值</errorWord>
      <group>L1_Word</group>
      <groupName>字词问题</groupName>
      <ability>L2_Alias</ability>
      <abilityName>也作/曾用词</abilityName>
      <candidateList>
        <item>阈值</item>
      </candidateList>
      <explain>词汇[阀值]为不规范表述或旧称，其规范书面表述为[阈值]。</explain>
      <paraID>560BA7C1</paraID>
      <start>3260</start>
      <end>3262</end>
      <status>unmodified</status>
      <modifiedWord/>
      <trackRevisions>false</trackRevisions>
    </reviewItem>
    <reviewItem>
      <errorID>4a35c11c-41a9-485b-b15b-c68ea74b8a25</errorID>
      <errorWord>设置值</errorWord>
      <group>L1_Word</group>
      <groupName>字词问题</groupName>
      <ability>L2_Typo</ability>
      <abilityName>字词错误</abilityName>
      <candidateList>
        <item>设置</item>
      </candidateList>
      <explain>〈动〉❶设立：这座剧院是为儿童～的。❷安放；安装：～障碍。</explain>
      <paraID>560BA7C1</paraID>
      <start>3623</start>
      <end>3626</end>
      <status>unmodified</status>
      <modifiedWord/>
      <trackRevisions>false</trackRevisions>
    </reviewItem>
    <reviewItem>
      <errorID>3d74ddc9-25c9-4d5f-af3a-425aa59d9bfc</errorID>
      <errorWord>接入的</errorWord>
      <group>L1_Word</group>
      <groupName>字词问题</groupName>
      <ability>L2_Typo</ability>
      <abilityName>字词错误</abilityName>
      <candidateList>
        <item>接入</item>
      </candidateList>
      <explain/>
      <paraID>16AF7639</paraID>
      <start>150</start>
      <end>153</end>
      <status>unmodified</status>
      <modifiedWord/>
      <trackRevisions>false</trackRevisions>
    </reviewItem>
    <reviewItem>
      <errorID>dd4af4d1-a0bd-469e-ae0a-4ee0a15bf7c5</errorID>
      <errorWord>.</errorWord>
      <group>L1_Format</group>
      <groupName>格式问题</groupName>
      <ability>L2_HalfPunc</ability>
      <abilityName>全半角检查</abilityName>
      <candidateList>
        <item>。</item>
      </candidateList>
      <explain>文本全半角错误。</explain>
      <paraID>16AF7639</paraID>
      <start>269</start>
      <end>270</end>
      <status>unmodified</status>
      <modifiedWord/>
      <trackRevisions>false</trackRevisions>
    </reviewItem>
    <reviewItem>
      <errorID>240b3563-b66e-4aaa-99c1-944884cb6bec</errorID>
      <errorWord>、等等</errorWord>
      <group>L1_Punc</group>
      <groupName>标点问题</groupName>
      <ability>L2_Punc</ability>
      <abilityName>标点符号检查</abilityName>
      <candidateList>
        <item>等等</item>
      </candidateList>
      <explain/>
      <paraID>16AF7639</paraID>
      <start>722</start>
      <end>725</end>
      <status>unmodified</status>
      <modifiedWord/>
      <trackRevisions>false</trackRevisions>
    </reviewItem>
    <reviewItem>
      <errorID>2a8e2c64-6182-4f3c-a64d-e80af2e84e65</errorID>
      <errorWord>、以及</errorWord>
      <group>L1_Punc</group>
      <groupName>标点问题</groupName>
      <ability>L2_Punc</ability>
      <abilityName>标点符号检查</abilityName>
      <candidateList>
        <item>，以及</item>
      </candidateList>
      <explain>连接词前后不宜使用顿号，建议使用逗号。</explain>
      <paraID>16AF7639</paraID>
      <start>834</start>
      <end>837</end>
      <status>unmodified</status>
      <modifiedWord/>
      <trackRevisions>false</trackRevisions>
    </reviewItem>
    <reviewItem>
      <errorID>49aee87f-f393-4776-89a6-7f598513c9a0</errorID>
      <errorWord>(</errorWord>
      <group>L1_Format</group>
      <groupName>格式问题</groupName>
      <ability>L2_HalfPunc</ability>
      <abilityName>全半角检查</abilityName>
      <candidateList>
        <item>（</item>
      </candidateList>
      <explain>文本全半角错误。</explain>
      <paraID>16AF7639</paraID>
      <start>1636</start>
      <end>1637</end>
      <status>unmodified</status>
      <modifiedWord/>
      <trackRevisions>false</trackRevisions>
    </reviewItem>
    <reviewItem>
      <errorID>681bbe5e-00d8-477e-8aad-3736d5f76735</errorID>
      <errorWord>)</errorWord>
      <group>L1_Format</group>
      <groupName>格式问题</groupName>
      <ability>L2_HalfPunc</ability>
      <abilityName>全半角检查</abilityName>
      <candidateList>
        <item>）</item>
      </candidateList>
      <explain>文本全半角错误。</explain>
      <paraID>16AF7639</paraID>
      <start>1640</start>
      <end>1641</end>
      <status>unmodified</status>
      <modifiedWord/>
      <trackRevisions>false</trackRevisions>
    </reviewItem>
    <reviewItem>
      <errorID>8319a56e-8090-4893-a76a-e31f9433e6b2</errorID>
      <errorWord>心跳时间</errorWord>
      <group>L1_Knowledge</group>
      <groupName>知识性问题</groupName>
      <ability>L2_Term</ability>
      <abilityName>专业术语</abilityName>
      <candidateList>
        <item>回跳时间</item>
      </candidateList>
      <explain/>
      <paraID>16AF7639</paraID>
      <start>1833</start>
      <end>1837</end>
      <status>unmodified</status>
      <modifiedWord/>
      <trackRevisions>false</trackRevisions>
    </reviewItem>
    <reviewItem>
      <errorID>e73c683c-3922-4e53-ac8b-b7fdeb9266a0</errorID>
      <errorWord>控控</errorWord>
      <group>L1_Word</group>
      <groupName>字词问题</groupName>
      <ability>L2_Typo</ability>
      <abilityName>字词错误</abilityName>
      <candidateList>
        <item>控</item>
      </candidateList>
      <explain/>
      <paraID>16AF7639</paraID>
      <start>2334</start>
      <end>2336</end>
      <status>unmodified</status>
      <modifiedWord/>
      <trackRevisions>false</trackRevisions>
    </reviewItem>
    <reviewItem>
      <errorID>e76a450e-e61d-4972-84fe-b2205a1b461d</errorID>
      <errorWord>密匙</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16AF7639</paraID>
      <start>2495</start>
      <end>2497</end>
      <status>unmodified</status>
      <modifiedWord/>
      <trackRevisions>false</trackRevisions>
    </reviewItem>
    <reviewItem>
      <errorID>43a48410-7f13-4c31-b39b-39114a16eadc</errorID>
      <errorWord>以</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16AF7639</paraID>
      <start>2923</start>
      <end>2924</end>
      <status>unmodified</status>
      <modifiedWord/>
      <trackRevisions>false</trackRevisions>
    </reviewItem>
    <reviewItem>
      <errorID>61865370-cac1-49fd-a9fe-9deb14634f78</errorID>
      <errorWord>阀值</errorWord>
      <group>L1_Word</group>
      <groupName>字词问题</groupName>
      <ability>L2_Alias</ability>
      <abilityName>也作/曾用词</abilityName>
      <candidateList>
        <item>阈值</item>
      </candidateList>
      <explain>词汇[阀值]为不规范表述或旧称，其规范书面表述为[阈值]。</explain>
      <paraID>16AF7639</paraID>
      <start>3249</start>
      <end>3251</end>
      <status>unmodified</status>
      <modifiedWord/>
      <trackRevisions>false</trackRevisions>
    </reviewItem>
    <reviewItem>
      <errorID>696fcad5-fd35-45fe-85c9-e37931685b6a</errorID>
      <errorWord>阀值</errorWord>
      <group>L1_Word</group>
      <groupName>字词问题</groupName>
      <ability>L2_Alias</ability>
      <abilityName>也作/曾用词</abilityName>
      <candidateList>
        <item>阈值</item>
      </candidateList>
      <explain>词汇[阀值]为不规范表述或旧称，其规范书面表述为[阈值]。</explain>
      <paraID>16AF7639</paraID>
      <start>3256</start>
      <end>3258</end>
      <status>unmodified</status>
      <modifiedWord/>
      <trackRevisions>false</trackRevisions>
    </reviewItem>
    <reviewItem>
      <errorID>69a4abc0-8623-4425-b8ba-9c9fcbce0065</errorID>
      <errorWord>设置值</errorWord>
      <group>L1_Word</group>
      <groupName>字词问题</groupName>
      <ability>L2_Typo</ability>
      <abilityName>字词错误</abilityName>
      <candidateList>
        <item>设置</item>
      </candidateList>
      <explain>〈动〉❶设立：这座剧院是为儿童～的。❷安放；安装：～障碍。</explain>
      <paraID>16AF7639</paraID>
      <start>3619</start>
      <end>3622</end>
      <status>unmodified</status>
      <modifiedWord/>
      <trackRevisions>false</trackRevisions>
    </reviewItem>
    <reviewItem>
      <errorID>e20f34f8-a40f-4d4c-9ffc-cc7f1e2aa25b</errorID>
      <errorWord>接入的</errorWord>
      <group>L1_Word</group>
      <groupName>字词问题</groupName>
      <ability>L2_Typo</ability>
      <abilityName>字词错误</abilityName>
      <candidateList>
        <item>接入</item>
      </candidateList>
      <explain/>
      <paraID> A7867DE</paraID>
      <start>150</start>
      <end>153</end>
      <status>unmodified</status>
      <modifiedWord/>
      <trackRevisions>false</trackRevisions>
    </reviewItem>
    <reviewItem>
      <errorID>1dba4704-1dd9-42b4-acf8-f231b4333e81</errorID>
      <errorWord>.</errorWord>
      <group>L1_Format</group>
      <groupName>格式问题</groupName>
      <ability>L2_HalfPunc</ability>
      <abilityName>全半角检查</abilityName>
      <candidateList>
        <item>。</item>
      </candidateList>
      <explain>文本全半角错误。</explain>
      <paraID> A7867DE</paraID>
      <start>269</start>
      <end>270</end>
      <status>unmodified</status>
      <modifiedWord/>
      <trackRevisions>false</trackRevisions>
    </reviewItem>
    <reviewItem>
      <errorID>dc43202d-e9b0-4d09-80f6-e830e8ad3f1c</errorID>
      <errorWord>、等等</errorWord>
      <group>L1_Punc</group>
      <groupName>标点问题</groupName>
      <ability>L2_Punc</ability>
      <abilityName>标点符号检查</abilityName>
      <candidateList>
        <item>等等</item>
      </candidateList>
      <explain/>
      <paraID> A7867DE</paraID>
      <start>722</start>
      <end>725</end>
      <status>unmodified</status>
      <modifiedWord/>
      <trackRevisions>false</trackRevisions>
    </reviewItem>
    <reviewItem>
      <errorID>c37c0d7b-3d48-41cf-93e5-fd216950677e</errorID>
      <errorWord>、以及</errorWord>
      <group>L1_Punc</group>
      <groupName>标点问题</groupName>
      <ability>L2_Punc</ability>
      <abilityName>标点符号检查</abilityName>
      <candidateList>
        <item>，以及</item>
      </candidateList>
      <explain>连接词前后不宜使用顿号，建议使用逗号。</explain>
      <paraID> A7867DE</paraID>
      <start>834</start>
      <end>837</end>
      <status>unmodified</status>
      <modifiedWord/>
      <trackRevisions>false</trackRevisions>
    </reviewItem>
    <reviewItem>
      <errorID>b4b43c8b-58a4-4444-b575-b62c5945b34d</errorID>
      <errorWord>外挂</errorWord>
      <group>L1_Sensitive</group>
      <groupName>敏感问题</groupName>
      <ability>L2_Prohibited</ability>
      <abilityName>违禁内容</abilityName>
      <candidateList/>
      <explain>【违禁内容】句中涉及国家法律明令禁止的违禁内容，请注意甄别。</explain>
      <paraID> A7867DE</paraID>
      <start>1553</start>
      <end>1555</end>
      <status>unmodified</status>
      <modifiedWord/>
      <trackRevisions>false</trackRevisions>
    </reviewItem>
    <reviewItem>
      <errorID>062c25ec-7de4-4d4e-92aa-2a4e7c194d15</errorID>
      <errorWord>(</errorWord>
      <group>L1_Format</group>
      <groupName>格式问题</groupName>
      <ability>L2_HalfPunc</ability>
      <abilityName>全半角检查</abilityName>
      <candidateList>
        <item>（</item>
      </candidateList>
      <explain>文本全半角错误。</explain>
      <paraID> A7867DE</paraID>
      <start>1656</start>
      <end>1657</end>
      <status>unmodified</status>
      <modifiedWord/>
      <trackRevisions>false</trackRevisions>
    </reviewItem>
    <reviewItem>
      <errorID>1ba8f407-cc92-4fe7-a347-2eeb81f126bd</errorID>
      <errorWord>)</errorWord>
      <group>L1_Format</group>
      <groupName>格式问题</groupName>
      <ability>L2_HalfPunc</ability>
      <abilityName>全半角检查</abilityName>
      <candidateList>
        <item>）</item>
      </candidateList>
      <explain>文本全半角错误。</explain>
      <paraID> A7867DE</paraID>
      <start>1660</start>
      <end>1661</end>
      <status>unmodified</status>
      <modifiedWord/>
      <trackRevisions>false</trackRevisions>
    </reviewItem>
    <reviewItem>
      <errorID>f4a68e1c-010b-4581-9513-7aa930f01ec7</errorID>
      <errorWord>心跳时间</errorWord>
      <group>L1_Knowledge</group>
      <groupName>知识性问题</groupName>
      <ability>L2_Term</ability>
      <abilityName>专业术语</abilityName>
      <candidateList>
        <item>回跳时间</item>
      </candidateList>
      <explain/>
      <paraID> A7867DE</paraID>
      <start>1853</start>
      <end>1857</end>
      <status>unmodified</status>
      <modifiedWord/>
      <trackRevisions>false</trackRevisions>
    </reviewItem>
    <reviewItem>
      <errorID>98f3eea2-8c1e-420d-b241-b50b5ef1166c</errorID>
      <errorWord>控控</errorWord>
      <group>L1_Word</group>
      <groupName>字词问题</groupName>
      <ability>L2_Typo</ability>
      <abilityName>字词错误</abilityName>
      <candidateList>
        <item>控</item>
      </candidateList>
      <explain/>
      <paraID> A7867DE</paraID>
      <start>2354</start>
      <end>2356</end>
      <status>unmodified</status>
      <modifiedWord/>
      <trackRevisions>false</trackRevisions>
    </reviewItem>
    <reviewItem>
      <errorID>30b02334-d7d0-47f5-937e-4f578f0b1389</errorID>
      <errorWord>密匙</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 A7867DE</paraID>
      <start>2515</start>
      <end>2517</end>
      <status>unmodified</status>
      <modifiedWord/>
      <trackRevisions>false</trackRevisions>
    </reviewItem>
    <reviewItem>
      <errorID>078d52cd-5f25-4382-8145-82c75704b43f</errorID>
      <errorWord>以</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 A7867DE</paraID>
      <start>2943</start>
      <end>2944</end>
      <status>unmodified</status>
      <modifiedWord/>
      <trackRevisions>false</trackRevisions>
    </reviewItem>
    <reviewItem>
      <errorID>71816da3-a603-4b32-a051-21dee8c03b18</errorID>
      <errorWord>阀值</errorWord>
      <group>L1_Word</group>
      <groupName>字词问题</groupName>
      <ability>L2_Alias</ability>
      <abilityName>也作/曾用词</abilityName>
      <candidateList>
        <item>阈值</item>
      </candidateList>
      <explain>词汇[阀值]为不规范表述或旧称，其规范书面表述为[阈值]。</explain>
      <paraID> A7867DE</paraID>
      <start>3269</start>
      <end>3271</end>
      <status>unmodified</status>
      <modifiedWord/>
      <trackRevisions>false</trackRevisions>
    </reviewItem>
    <reviewItem>
      <errorID>dd9c87a6-5d09-4669-9277-6faf2134d9dc</errorID>
      <errorWord>阀值</errorWord>
      <group>L1_Word</group>
      <groupName>字词问题</groupName>
      <ability>L2_Alias</ability>
      <abilityName>也作/曾用词</abilityName>
      <candidateList>
        <item>阈值</item>
      </candidateList>
      <explain>词汇[阀值]为不规范表述或旧称，其规范书面表述为[阈值]。</explain>
      <paraID> A7867DE</paraID>
      <start>3276</start>
      <end>3278</end>
      <status>unmodified</status>
      <modifiedWord/>
      <trackRevisions>false</trackRevisions>
    </reviewItem>
    <reviewItem>
      <errorID>8d711298-5ca3-4a3a-bbbd-8e7e8ff64194</errorID>
      <errorWord>设置值</errorWord>
      <group>L1_Word</group>
      <groupName>字词问题</groupName>
      <ability>L2_Typo</ability>
      <abilityName>字词错误</abilityName>
      <candidateList>
        <item>设置</item>
      </candidateList>
      <explain>〈动〉❶设立：这座剧院是为儿童～的。❷安放；安装：～障碍。</explain>
      <paraID> A7867DE</paraID>
      <start>3639</start>
      <end>3642</end>
      <status>unmodified</status>
      <modifiedWord/>
      <trackRevisions>false</trackRevisions>
    </reviewItem>
    <reviewItem>
      <errorID>c44fc5f7-a7c7-499c-81e2-a558fb065379</errorID>
      <errorWord>:</errorWord>
      <group>L1_Format</group>
      <groupName>格式问题</groupName>
      <ability>L2_HalfPunc</ability>
      <abilityName>全半角检查</abilityName>
      <candidateList>
        <item>：</item>
      </candidateList>
      <explain>文本全半角错误。</explain>
      <paraID>1F3F58D2</paraID>
      <start>17</start>
      <end>18</end>
      <status>unmodified</status>
      <modifiedWord/>
      <trackRevisions>false</trackRevisions>
    </reviewItem>
    <reviewItem>
      <errorID>56e325b6-005f-4f4f-9869-2d7aac8ddc5e</errorID>
      <errorWord>:</errorWord>
      <group>L1_Format</group>
      <groupName>格式问题</groupName>
      <ability>L2_HalfPunc</ability>
      <abilityName>全半角检查</abilityName>
      <candidateList>
        <item>：</item>
      </candidateList>
      <explain>文本全半角错误。</explain>
      <paraID>2E618DAF</paraID>
      <start>16</start>
      <end>17</end>
      <status>unmodified</status>
      <modifiedWord/>
      <trackRevisions>false</trackRevisions>
    </reviewItem>
    <reviewItem>
      <errorID>5f8840d3-df2c-492e-9142-e062666fcc19</errorID>
      <errorWord>:</errorWord>
      <group>L1_Format</group>
      <groupName>格式问题</groupName>
      <ability>L2_HalfPunc</ability>
      <abilityName>全半角检查</abilityName>
      <candidateList>
        <item>：</item>
      </candidateList>
      <explain>文本全半角错误。</explain>
      <paraID>6FCCED11</paraID>
      <start>16</start>
      <end>17</end>
      <status>unmodified</status>
      <modifiedWord/>
      <trackRevisions>false</trackRevisions>
    </reviewItem>
    <reviewItem>
      <errorID>0058b67e-a008-4ff1-ac25-4ef9a04dc5d6</errorID>
      <errorWord>-</errorWord>
      <group>L1_Format</group>
      <groupName>格式问题</groupName>
      <ability>L2_HalfPunc</ability>
      <abilityName>全半角检查</abilityName>
      <candidateList>
        <item>－</item>
      </candidateList>
      <explain>文本全半角错误。</explain>
      <paraID>51813FA8</paraID>
      <start>6</start>
      <end>7</end>
      <status>unmodified</status>
      <modifiedWord/>
      <trackRevisions>false</trackRevisions>
    </reviewItem>
    <reviewItem>
      <errorID>de6787a8-28c7-422e-b990-20839d979377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6673F329</paraID>
      <start>0</start>
      <end>2</end>
      <status>unmodified</status>
      <modifiedWord/>
      <trackRevisions>false</trackRevisions>
    </reviewItem>
    <reviewItem>
      <errorID>848f1ac6-b351-4eb6-8c42-1b493e1902f5</errorID>
      <errorWord>（</errorWord>
      <group>L1_Punc</group>
      <groupName>标点问题</groupName>
      <ability>L2_Punc</ability>
      <abilityName>标点符号检查</abilityName>
      <candidateList>
        <item/>
      </candidateList>
      <explain>同一形式括号套用。</explain>
      <paraID>6673F329</paraID>
      <start>99</start>
      <end>100</end>
      <status>unmodified</status>
      <modifiedWord/>
      <trackRevisions>false</trackRevisions>
    </reviewItem>
    <reviewItem>
      <errorID>6996c930-7db0-4532-add4-a62d12b6d373</errorID>
      <errorWord>(</errorWord>
      <group>L1_Punc</group>
      <groupName>标点问题</groupName>
      <ability>L2_Punc</ability>
      <abilityName>标点符号检查</abilityName>
      <candidateList/>
      <explain>同一形式括号套用。</explain>
      <paraID>6673F329</paraID>
      <start>110</start>
      <end>111</end>
      <status>unmodified</status>
      <modifiedWord/>
      <trackRevisions>false</trackRevisions>
    </reviewItem>
    <reviewItem>
      <errorID>e816fbf7-2c96-43bf-a6e9-de5a5888afba</errorID>
      <errorWord>)</errorWord>
      <group>L1_Punc</group>
      <groupName>标点问题</groupName>
      <ability>L2_Punc</ability>
      <abilityName>标点符号检查</abilityName>
      <candidateList/>
      <explain>同一形式括号套用。</explain>
      <paraID>6673F329</paraID>
      <start>115</start>
      <end>116</end>
      <status>unmodified</status>
      <modifiedWord/>
      <trackRevisions>false</trackRevisions>
    </reviewItem>
    <reviewItem>
      <errorID>03f2388a-2f04-42ba-b6fc-db424798a76b</errorID>
      <errorWord>）</errorWord>
      <group>L1_Punc</group>
      <groupName>标点问题</groupName>
      <ability>L2_Punc</ability>
      <abilityName>标点符号检查</abilityName>
      <candidateList/>
      <explain>同一形式括号套用。</explain>
      <paraID>6673F329</paraID>
      <start>163</start>
      <end>164</end>
      <status>unmodified</status>
      <modifiedWord/>
      <trackRevisions>false</trackRevisions>
    </reviewItem>
    <reviewItem>
      <errorID>551df69b-e60e-47a4-ba2b-4db9fadcc575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22FA7872</paraID>
      <start>0</start>
      <end>2</end>
      <status>unmodified</status>
      <modifiedWord/>
      <trackRevisions>false</trackRevisions>
    </reviewItem>
    <reviewItem>
      <errorID>9ec6b94b-c485-4241-a5df-841c2aa023ac</errorID>
      <errorWord>屏保显示</errorWord>
      <group>L1_Word</group>
      <groupName>字词问题</groupName>
      <ability>L2_Typo</ability>
      <abilityName>字词错误</abilityName>
      <candidateList>
        <item>屏幕显示</item>
      </candidateList>
      <explain/>
      <paraID>22FA7872</paraID>
      <start>168</start>
      <end>172</end>
      <status>unmodified</status>
      <modifiedWord/>
      <trackRevisions>false</trackRevisions>
    </reviewItem>
    <reviewItem>
      <errorID>66521b09-35c9-489b-9b58-752bdbd5601b</errorID>
      <errorWord>-</errorWord>
      <group>L1_Format</group>
      <groupName>格式问题</groupName>
      <ability>L2_HalfPunc</ability>
      <abilityName>全半角检查</abilityName>
      <candidateList>
        <item>－</item>
      </candidateList>
      <explain>文本全半角错误。</explain>
      <paraID>6DD71CD8</paraID>
      <start>6</start>
      <end>7</end>
      <status>unmodified</status>
      <modifiedWord/>
      <trackRevisions>false</trackRevisions>
    </reviewItem>
    <reviewItem>
      <errorID>aab1b07f-07de-4610-91ad-dab4208f6915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707A710B</paraID>
      <start>0</start>
      <end>2</end>
      <status>unmodified</status>
      <modifiedWord/>
      <trackRevisions>false</trackRevisions>
    </reviewItem>
    <reviewItem>
      <errorID>45373476-ac46-4122-935c-171ed5c6984f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5F77E52F</paraID>
      <start>0</start>
      <end>2</end>
      <status>unmodified</status>
      <modifiedWord/>
      <trackRevisions>false</trackRevisions>
    </reviewItem>
    <reviewItem>
      <errorID>f23a9d74-1887-43a2-b05c-77c86eb099ed</errorID>
      <errorWord>-</errorWord>
      <group>L1_Format</group>
      <groupName>格式问题</groupName>
      <ability>L2_HalfPunc</ability>
      <abilityName>全半角检查</abilityName>
      <candidateList>
        <item>－</item>
      </candidateList>
      <explain>文本全半角错误。</explain>
      <paraID>2B8F32C1</paraID>
      <start>6</start>
      <end>7</end>
      <status>unmodified</status>
      <modifiedWord/>
      <trackRevisions>false</trackRevisions>
    </reviewItem>
    <reviewItem>
      <errorID>12e22278-5752-4501-8f9e-c434d073be74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2F9AEB9C</paraID>
      <start>0</start>
      <end>2</end>
      <status>unmodified</status>
      <modifiedWord/>
      <trackRevisions>false</trackRevisions>
    </reviewItem>
    <reviewItem>
      <errorID>215fdb5e-2258-4031-bbf6-5575bc71ed83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3DBD119F</paraID>
      <start>0</start>
      <end>2</end>
      <status>unmodified</status>
      <modifiedWord/>
      <trackRevisions>false</trackRevisions>
    </reviewItem>
    <reviewItem>
      <errorID>a03fc014-7824-48fc-a9be-12f225a65466</errorID>
      <errorWord>信</errorWord>
      <group>L1_Word</group>
      <groupName>字词问题</groupName>
      <ability>L2_Typo</ability>
      <abilityName>字词错误</abilityName>
      <candidateList>
        <item>信息</item>
      </candidateList>
      <explain/>
      <paraID>3DBD119F</paraID>
      <start>569</start>
      <end>570</end>
      <status>unmodified</status>
      <modifiedWord/>
      <trackRevisions>false</trackRevisions>
    </reviewItem>
    <reviewItem>
      <errorID>43731a64-889a-4c24-a69d-384aeb24f60a</errorID>
      <errorWord>(</errorWord>
      <group>L1_Format</group>
      <groupName>格式问题</groupName>
      <ability>L2_HalfPunc</ability>
      <abilityName>全半角检查</abilityName>
      <candidateList>
        <item>（</item>
      </candidateList>
      <explain>文本全半角错误。</explain>
      <paraID>369063B0</paraID>
      <start>13</start>
      <end>14</end>
      <status>unmodified</status>
      <modifiedWord/>
      <trackRevisions>false</trackRevisions>
    </reviewItem>
    <reviewItem>
      <errorID>a810704e-6b73-42cf-9fec-b45bccac742c</errorID>
      <errorWord>)</errorWord>
      <group>L1_Format</group>
      <groupName>格式问题</groupName>
      <ability>L2_HalfPunc</ability>
      <abilityName>全半角检查</abilityName>
      <candidateList>
        <item>）</item>
      </candidateList>
      <explain>文本全半角错误。</explain>
      <paraID>369063B0</paraID>
      <start>21</start>
      <end>22</end>
      <status>unmodified</status>
      <modifiedWord/>
      <trackRevisions>false</trackRevisions>
    </reviewItem>
    <reviewItem>
      <errorID>2d6a8fbc-6a41-4c8b-9b38-e57c189cefc7</errorID>
      <errorWord>(</errorWord>
      <group>L1_Format</group>
      <groupName>格式问题</groupName>
      <ability>L2_HalfPunc</ability>
      <abilityName>全半角检查</abilityName>
      <candidateList>
        <item>（</item>
      </candidateList>
      <explain>文本全半角错误。</explain>
      <paraID>2E502904</paraID>
      <start>13</start>
      <end>14</end>
      <status>unmodified</status>
      <modifiedWord/>
      <trackRevisions>false</trackRevisions>
    </reviewItem>
    <reviewItem>
      <errorID>0d0daf96-cace-4df9-ab25-bf65f55d50ec</errorID>
      <errorWord>)</errorWord>
      <group>L1_Format</group>
      <groupName>格式问题</groupName>
      <ability>L2_HalfPunc</ability>
      <abilityName>全半角检查</abilityName>
      <candidateList>
        <item>）</item>
      </candidateList>
      <explain>文本全半角错误。</explain>
      <paraID>2E502904</paraID>
      <start>21</start>
      <end>22</end>
      <status>unmodified</status>
      <modifiedWord/>
      <trackRevisions>false</trackRevisions>
    </reviewItem>
    <reviewItem>
      <errorID>28ddc66a-b3c9-4bf2-83fa-e8c3cc0168f4</errorID>
      <errorWord>(</errorWord>
      <group>L1_Format</group>
      <groupName>格式问题</groupName>
      <ability>L2_HalfPunc</ability>
      <abilityName>全半角检查</abilityName>
      <candidateList>
        <item>（</item>
      </candidateList>
      <explain>文本全半角错误。</explain>
      <paraID>50867C38</paraID>
      <start>13</start>
      <end>14</end>
      <status>unmodified</status>
      <modifiedWord/>
      <trackRevisions>false</trackRevisions>
    </reviewItem>
    <reviewItem>
      <errorID>56ea6742-1981-4818-8ad3-d0b61a55ebdc</errorID>
      <errorWord>)</errorWord>
      <group>L1_Format</group>
      <groupName>格式问题</groupName>
      <ability>L2_HalfPunc</ability>
      <abilityName>全半角检查</abilityName>
      <candidateList>
        <item>）</item>
      </candidateList>
      <explain>文本全半角错误。</explain>
      <paraID>50867C38</paraID>
      <start>21</start>
      <end>22</end>
      <status>unmodified</status>
      <modifiedWord/>
      <trackRevisions>false</trackRevisions>
    </reviewItem>
    <reviewItem>
      <errorID>dcc5e2a2-e4f8-4e44-8b65-e62d13da5a5e</errorID>
      <errorWord>)</errorWord>
      <group>L1_Format</group>
      <groupName>格式问题</groupName>
      <ability>L2_HalfPunc</ability>
      <abilityName>全半角检查</abilityName>
      <candidateList>
        <item>）</item>
      </candidateList>
      <explain>文本全半角错误。</explain>
      <paraID>62F76241</paraID>
      <start>28</start>
      <end>29</end>
      <status>unmodified</status>
      <modifiedWord/>
      <trackRevisions>false</trackRevisions>
    </reviewItem>
    <reviewItem>
      <errorID>6a740814-0943-4e5a-a1b0-54dc2d241f59</errorID>
      <errorWord>)</errorWord>
      <group>L1_Format</group>
      <groupName>格式问题</groupName>
      <ability>L2_HalfPunc</ability>
      <abilityName>全半角检查</abilityName>
      <candidateList>
        <item>）</item>
      </candidateList>
      <explain>文本全半角错误。</explain>
      <paraID>4706EEF6</paraID>
      <start>16</start>
      <end>17</end>
      <status>unmodified</status>
      <modifiedWord/>
      <trackRevisions>false</trackRevisions>
    </reviewItem>
    <reviewItem>
      <errorID>660bebde-e8eb-4541-bbda-896a3876d8c3</errorID>
      <errorWord>)</errorWord>
      <group>L1_Format</group>
      <groupName>格式问题</groupName>
      <ability>L2_HalfPunc</ability>
      <abilityName>全半角检查</abilityName>
      <candidateList>
        <item>）</item>
      </candidateList>
      <explain>文本全半角错误。</explain>
      <paraID>4706EEF6</paraID>
      <start>101</start>
      <end>102</end>
      <status>unmodified</status>
      <modifiedWord/>
      <trackRevisions>false</trackRevisions>
    </reviewItem>
    <reviewItem>
      <errorID>f6ca4491-586e-4f7c-a1ea-ab9b6d16de8b</errorID>
      <errorWord>)</errorWord>
      <group>L1_Format</group>
      <groupName>格式问题</groupName>
      <ability>L2_HalfPunc</ability>
      <abilityName>全半角检查</abilityName>
      <candidateList>
        <item>）</item>
      </candidateList>
      <explain>文本全半角错误。</explain>
      <paraID>4706EEF6</paraID>
      <start>141</start>
      <end>142</end>
      <status>unmodified</status>
      <modifiedWord/>
      <trackRevisions>false</trackRevisions>
    </reviewItem>
    <reviewItem>
      <errorID>b5056617-b499-422e-b0e3-1ae58ffa9b11</errorID>
      <errorWord>)</errorWord>
      <group>L1_Format</group>
      <groupName>格式问题</groupName>
      <ability>L2_HalfPunc</ability>
      <abilityName>全半角检查</abilityName>
      <candidateList>
        <item>）</item>
      </candidateList>
      <explain>文本全半角错误。</explain>
      <paraID>4706EEF6</paraID>
      <start>232</start>
      <end>233</end>
      <status>unmodified</status>
      <modifiedWord/>
      <trackRevisions>false</trackRevisions>
    </reviewItem>
    <reviewItem>
      <errorID>a45dcab3-107b-4c2e-80f3-b056aecae4c8</errorID>
      <errorWord>，</errorWord>
      <group>L1_Word</group>
      <groupName>字词问题</groupName>
      <ability>L2_Typo</ability>
      <abilityName>字词错误</abilityName>
      <candidateList>
        <item>，可</item>
      </candidateList>
      <explain/>
      <paraID>4706EEF6</paraID>
      <start>243</start>
      <end>244</end>
      <status>unmodified</status>
      <modifiedWord/>
      <trackRevisions>false</trackRevisions>
    </reviewItem>
    <reviewItem>
      <errorID>5f4c6abc-dbc2-464d-9aef-7e1d4b221a51</errorID>
      <errorWord>，</errorWord>
      <group>L1_Word</group>
      <groupName>字词问题</groupName>
      <ability>L2_Typo</ability>
      <abilityName>字词错误</abilityName>
      <candidateList>
        <item>，具</item>
      </candidateList>
      <explain/>
      <paraID>4706EEF6</paraID>
      <start>291</start>
      <end>292</end>
      <status>unmodified</status>
      <modifiedWord/>
      <trackRevisions>false</trackRevisions>
    </reviewItem>
    <reviewItem>
      <errorID>a0976133-b01f-4664-80d8-4aba1aa38a7a</errorID>
      <errorWord>)</errorWord>
      <group>L1_Format</group>
      <groupName>格式问题</groupName>
      <ability>L2_HalfPunc</ability>
      <abilityName>全半角检查</abilityName>
      <candidateList>
        <item>）</item>
      </candidateList>
      <explain>文本全半角错误。</explain>
      <paraID>4706EEF6</paraID>
      <start>311</start>
      <end>312</end>
      <status>unmodified</status>
      <modifiedWord/>
      <trackRevisions>false</trackRevisions>
    </reviewItem>
    <reviewItem>
      <errorID>f143001d-4beb-495c-becb-d54483300715</errorID>
      <errorWord>)</errorWord>
      <group>L1_Format</group>
      <groupName>格式问题</groupName>
      <ability>L2_HalfPunc</ability>
      <abilityName>全半角检查</abilityName>
      <candidateList>
        <item>）</item>
      </candidateList>
      <explain>文本全半角错误。</explain>
      <paraID>4706EEF6</paraID>
      <start>339</start>
      <end>340</end>
      <status>unmodified</status>
      <modifiedWord/>
      <trackRevisions>false</trackRevisions>
    </reviewItem>
    <reviewItem>
      <errorID>c10e1050-b00f-4118-8543-39aaabc2622e</errorID>
      <errorWord>)</errorWord>
      <group>L1_Format</group>
      <groupName>格式问题</groupName>
      <ability>L2_HalfPunc</ability>
      <abilityName>全半角检查</abilityName>
      <candidateList>
        <item>）</item>
      </candidateList>
      <explain>文本全半角错误。</explain>
      <paraID>4706EEF6</paraID>
      <start>387</start>
      <end>388</end>
      <status>unmodified</status>
      <modifiedWord/>
      <trackRevisions>false</trackRevisions>
    </reviewItem>
    <reviewItem>
      <errorID>5bca3370-30f3-4bff-9161-50424df9e34f</errorID>
      <errorWord>图标</errorWord>
      <group>L1_Word</group>
      <groupName>字词问题</groupName>
      <ability>L2_Typo</ability>
      <abilityName>字词错误</abilityName>
      <candidateList>
        <item>图表</item>
      </candidateList>
      <explain>〈名〉表示各种情况和注明各种数字的图和表的总称，如示意图、统计表等。</explain>
      <paraID>4706EEF6</paraID>
      <start>422</start>
      <end>424</end>
      <status>unmodified</status>
      <modifiedWord/>
      <trackRevisions>false</trackRevisions>
    </reviewItem>
    <reviewItem>
      <errorID>db29c748-ff60-4c0c-a7e8-c130e0cf0d36</errorID>
      <errorWord>)</errorWord>
      <group>L1_Format</group>
      <groupName>格式问题</groupName>
      <ability>L2_HalfPunc</ability>
      <abilityName>全半角检查</abilityName>
      <candidateList>
        <item>）</item>
      </candidateList>
      <explain>文本全半角错误。</explain>
      <paraID>4706EEF6</paraID>
      <start>446</start>
      <end>447</end>
      <status>unmodified</status>
      <modifiedWord/>
      <trackRevisions>false</trackRevisions>
    </reviewItem>
    <reviewItem>
      <errorID>e9172087-815b-442d-92c3-5e9d7e0afdff</errorID>
      <errorWord>)</errorWord>
      <group>L1_Format</group>
      <groupName>格式问题</groupName>
      <ability>L2_HalfPunc</ability>
      <abilityName>全半角检查</abilityName>
      <candidateList>
        <item>）</item>
      </candidateList>
      <explain>文本全半角错误。</explain>
      <paraID>4706EEF6</paraID>
      <start>528</start>
      <end>529</end>
      <status>unmodified</status>
      <modifiedWord/>
      <trackRevisions>false</trackRevisions>
    </reviewItem>
    <reviewItem>
      <errorID>9351815a-609a-4d38-896d-dd0dc60929aa</errorID>
      <errorWord>)</errorWord>
      <group>L1_Format</group>
      <groupName>格式问题</groupName>
      <ability>L2_HalfPunc</ability>
      <abilityName>全半角检查</abilityName>
      <candidateList>
        <item>）</item>
      </candidateList>
      <explain>文本全半角错误。</explain>
      <paraID>4706EEF6</paraID>
      <start>592</start>
      <end>593</end>
      <status>unmodified</status>
      <modifiedWord/>
      <trackRevisions>false</trackRevisions>
    </reviewItem>
    <reviewItem>
      <errorID>9f5a6a49-3554-4729-be17-0646f60eacf1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4706EEF6</paraID>
      <start>669</start>
      <end>671</end>
      <status>unmodified</status>
      <modifiedWord/>
      <trackRevisions>false</trackRevisions>
    </reviewItem>
    <reviewItem>
      <errorID>704c7ea4-50de-4723-a47b-0f550770a3fa</errorID>
      <errorWord>)</errorWord>
      <group>L1_Format</group>
      <groupName>格式问题</groupName>
      <ability>L2_HalfPunc</ability>
      <abilityName>全半角检查</abilityName>
      <candidateList>
        <item>）</item>
      </candidateList>
      <explain>文本全半角错误。</explain>
      <paraID>4706EEF6</paraID>
      <start>691</start>
      <end>692</end>
      <status>unmodified</status>
      <modifiedWord/>
      <trackRevisions>false</trackRevisions>
    </reviewItem>
    <reviewItem>
      <errorID>ec1067f7-412f-4d56-9077-1032e3493d82</errorID>
      <errorWord>)</errorWord>
      <group>L1_Format</group>
      <groupName>格式问题</groupName>
      <ability>L2_HalfPunc</ability>
      <abilityName>全半角检查</abilityName>
      <candidateList>
        <item>）</item>
      </candidateList>
      <explain>文本全半角错误。</explain>
      <paraID>4706EEF6</paraID>
      <start>781</start>
      <end>782</end>
      <status>unmodified</status>
      <modifiedWord/>
      <trackRevisions>false</trackRevisions>
    </reviewItem>
    <reviewItem>
      <errorID>d05b640e-6b1d-4b00-a776-8fa08397086f</errorID>
      <errorWord>)</errorWord>
      <group>L1_Format</group>
      <groupName>格式问题</groupName>
      <ability>L2_HalfPunc</ability>
      <abilityName>全半角检查</abilityName>
      <candidateList>
        <item>）</item>
      </candidateList>
      <explain>文本全半角错误。</explain>
      <paraID>4706EEF6</paraID>
      <start>860</start>
      <end>861</end>
      <status>unmodified</status>
      <modifiedWord/>
      <trackRevisions>false</trackRevisions>
    </reviewItem>
    <reviewItem>
      <errorID>9af086c5-4e14-47b5-8b73-8f8a67d2e6bb</errorID>
      <errorWord>)</errorWord>
      <group>L1_Format</group>
      <groupName>格式问题</groupName>
      <ability>L2_HalfPunc</ability>
      <abilityName>全半角检查</abilityName>
      <candidateList>
        <item>）</item>
      </candidateList>
      <explain>文本全半角错误。</explain>
      <paraID>4706EEF6</paraID>
      <start>927</start>
      <end>928</end>
      <status>unmodified</status>
      <modifiedWord/>
      <trackRevisions>false</trackRevisions>
    </reviewItem>
    <reviewItem>
      <errorID>ad33cc53-a1ce-4524-960d-3f437e85fdf0</errorID>
      <errorWord>)</errorWord>
      <group>L1_Format</group>
      <groupName>格式问题</groupName>
      <ability>L2_HalfPunc</ability>
      <abilityName>全半角检查</abilityName>
      <candidateList>
        <item>）</item>
      </candidateList>
      <explain>文本全半角错误。</explain>
      <paraID>4706EEF6</paraID>
      <start>987</start>
      <end>988</end>
      <status>unmodified</status>
      <modifiedWord/>
      <trackRevisions>false</trackRevisions>
    </reviewItem>
    <reviewItem>
      <errorID>4cdbdfbb-d294-482a-ae61-0c9a71af2254</errorID>
      <errorWord>频</errorWord>
      <group>L1_Word</group>
      <groupName>字词问题</groupName>
      <ability>L2_Typo</ability>
      <abilityName>字词错误</abilityName>
      <candidateList>
        <item>频资</item>
      </candidateList>
      <explain/>
      <paraID>4706EEF6</paraID>
      <start>1020</start>
      <end>1021</end>
      <status>unmodified</status>
      <modifiedWord/>
      <trackRevisions>false</trackRevisions>
    </reviewItem>
    <reviewItem>
      <errorID>992e912f-1d00-480c-b2e1-100c56299af4</errorID>
      <errorWord>)</errorWord>
      <group>L1_Format</group>
      <groupName>格式问题</groupName>
      <ability>L2_HalfPunc</ability>
      <abilityName>全半角检查</abilityName>
      <candidateList>
        <item>）</item>
      </candidateList>
      <explain>文本全半角错误。</explain>
      <paraID>4706EEF6</paraID>
      <start>1059</start>
      <end>1060</end>
      <status>unmodified</status>
      <modifiedWord/>
      <trackRevisions>false</trackRevisions>
    </reviewItem>
    <reviewItem>
      <errorID>50cd6974-e06d-4c35-bb4b-335e494c7ec1</errorID>
      <errorWord>)</errorWord>
      <group>L1_Format</group>
      <groupName>格式问题</groupName>
      <ability>L2_HalfPunc</ability>
      <abilityName>全半角检查</abilityName>
      <candidateList>
        <item>）</item>
      </candidateList>
      <explain>文本全半角错误。</explain>
      <paraID>4706EEF6</paraID>
      <start>1153</start>
      <end>1154</end>
      <status>unmodified</status>
      <modifiedWord/>
      <trackRevisions>false</trackRevisions>
    </reviewItem>
    <reviewItem>
      <errorID>907bc486-1f4a-4b83-986b-7f7c19553cd9</errorID>
      <errorWord>)</errorWord>
      <group>L1_Format</group>
      <groupName>格式问题</groupName>
      <ability>L2_HalfPunc</ability>
      <abilityName>全半角检查</abilityName>
      <candidateList>
        <item>）</item>
      </candidateList>
      <explain>文本全半角错误。</explain>
      <paraID>4706EEF6</paraID>
      <start>1295</start>
      <end>1296</end>
      <status>unmodified</status>
      <modifiedWord/>
      <trackRevisions>false</trackRevisions>
    </reviewItem>
    <reviewItem>
      <errorID>51982ef2-37e0-4801-927f-ed642f590921</errorID>
      <errorWord>)</errorWord>
      <group>L1_Format</group>
      <groupName>格式问题</groupName>
      <ability>L2_HalfPunc</ability>
      <abilityName>全半角检查</abilityName>
      <candidateList>
        <item>）</item>
      </candidateList>
      <explain>文本全半角错误。</explain>
      <paraID>4706EEF6</paraID>
      <start>1371</start>
      <end>1372</end>
      <status>unmodified</status>
      <modifiedWord/>
      <trackRevisions>false</trackRevisions>
    </reviewItem>
    <reviewItem>
      <errorID>c2eb6c02-4870-4733-aee4-cc1c8a25125a</errorID>
      <errorWord>)</errorWord>
      <group>L1_Format</group>
      <groupName>格式问题</groupName>
      <ability>L2_HalfPunc</ability>
      <abilityName>全半角检查</abilityName>
      <candidateList>
        <item>）</item>
      </candidateList>
      <explain>文本全半角错误。</explain>
      <paraID>4706EEF6</paraID>
      <start>1476</start>
      <end>1477</end>
      <status>unmodified</status>
      <modifiedWord/>
      <trackRevisions>false</trackRevisions>
    </reviewItem>
    <reviewItem>
      <errorID>7409fdf5-474b-42b5-9aac-89025fcfeae5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4706EEF6</paraID>
      <start>1517</start>
      <end>1518</end>
      <status>unmodified</status>
      <modifiedWord/>
      <trackRevisions>false</trackRevisions>
    </reviewItem>
    <reviewItem>
      <errorID>f25b99a4-3dda-4534-8ff6-16d9bd25dd99</errorID>
      <errorWord>)</errorWord>
      <group>L1_Format</group>
      <groupName>格式问题</groupName>
      <ability>L2_HalfPunc</ability>
      <abilityName>全半角检查</abilityName>
      <candidateList>
        <item>）</item>
      </candidateList>
      <explain>文本全半角错误。</explain>
      <paraID>4706EEF6</paraID>
      <start>1577</start>
      <end>1578</end>
      <status>unmodified</status>
      <modifiedWord/>
      <trackRevisions>false</trackRevisions>
    </reviewItem>
    <reviewItem>
      <errorID>d37300b7-7138-4d67-9466-5bc39faffec3</errorID>
      <errorWord>)</errorWord>
      <group>L1_Format</group>
      <groupName>格式问题</groupName>
      <ability>L2_HalfPunc</ability>
      <abilityName>全半角检查</abilityName>
      <candidateList>
        <item>）</item>
      </candidateList>
      <explain>文本全半角错误。</explain>
      <paraID>4706EEF6</paraID>
      <start>1622</start>
      <end>1623</end>
      <status>unmodified</status>
      <modifiedWord/>
      <trackRevisions>false</trackRevisions>
    </reviewItem>
    <reviewItem>
      <errorID>cbc5e4a3-bb8a-4992-b312-be3c97976fb0</errorID>
      <errorWord>)</errorWord>
      <group>L1_Format</group>
      <groupName>格式问题</groupName>
      <ability>L2_HalfPunc</ability>
      <abilityName>全半角检查</abilityName>
      <candidateList>
        <item>）</item>
      </candidateList>
      <explain>文本全半角错误。</explain>
      <paraID>4706EEF6</paraID>
      <start>1709</start>
      <end>1710</end>
      <status>unmodified</status>
      <modifiedWord/>
      <trackRevisions>false</trackRevisions>
    </reviewItem>
    <reviewItem>
      <errorID>38960748-d164-4de8-8fc8-4597ead96cb1</errorID>
      <errorWord>根据人</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4706EEF6</paraID>
      <start>1745</start>
      <end>1748</end>
      <status>unmodified</status>
      <modifiedWord/>
      <trackRevisions>false</trackRevisions>
    </reviewItem>
    <reviewItem>
      <errorID>d3d819c5-9ceb-4753-a6b7-13e7c20c4ba4</errorID>
      <errorWord>)</errorWord>
      <group>L1_Format</group>
      <groupName>格式问题</groupName>
      <ability>L2_HalfPunc</ability>
      <abilityName>全半角检查</abilityName>
      <candidateList>
        <item>）</item>
      </candidateList>
      <explain>文本全半角错误。</explain>
      <paraID>4706EEF6</paraID>
      <start>1922</start>
      <end>1923</end>
      <status>unmodified</status>
      <modifiedWord/>
      <trackRevisions>false</trackRevisions>
    </reviewItem>
    <reviewItem>
      <errorID>82de3ae2-e871-48b6-b022-e10e2839d015</errorID>
      <errorWord>,</errorWord>
      <group>L1_Format</group>
      <groupName>格式问题</groupName>
      <ability>L2_HalfPunc</ability>
      <abilityName>全半角检查</abilityName>
      <candidateList>
        <item>，</item>
      </candidateList>
      <explain>文本全半角错误。</explain>
      <paraID>4706EEF6</paraID>
      <start>1977</start>
      <end>1978</end>
      <status>unmodified</status>
      <modifiedWord/>
      <trackRevisions>false</trackRevisions>
    </reviewItem>
    <reviewItem>
      <errorID>390913b0-dbeb-4654-a241-3678fa49135a</errorID>
      <errorWord>)</errorWord>
      <group>L1_Format</group>
      <groupName>格式问题</groupName>
      <ability>L2_HalfPunc</ability>
      <abilityName>全半角检查</abilityName>
      <candidateList>
        <item>）</item>
      </candidateList>
      <explain>文本全半角错误。</explain>
      <paraID>4706EEF6</paraID>
      <start>2004</start>
      <end>2005</end>
      <status>unmodified</status>
      <modifiedWord/>
      <trackRevisions>false</trackRevisions>
    </reviewItem>
    <reviewItem>
      <errorID>f54baa94-f8c8-4037-a455-5002aa1f7f94</errorID>
      <errorWord>)</errorWord>
      <group>L1_Format</group>
      <groupName>格式问题</groupName>
      <ability>L2_HalfPunc</ability>
      <abilityName>全半角检查</abilityName>
      <candidateList>
        <item>）</item>
      </candidateList>
      <explain>文本全半角错误。</explain>
      <paraID>4706EEF6</paraID>
      <start>2076</start>
      <end>2077</end>
      <status>unmodified</status>
      <modifiedWord/>
      <trackRevisions>false</trackRevisions>
    </reviewItem>
    <reviewItem>
      <errorID>34fe085a-9fbb-4e20-9678-7bbbe6c81ec7</errorID>
      <errorWord>)</errorWord>
      <group>L1_Format</group>
      <groupName>格式问题</groupName>
      <ability>L2_HalfPunc</ability>
      <abilityName>全半角检查</abilityName>
      <candidateList>
        <item>）</item>
      </candidateList>
      <explain>文本全半角错误。</explain>
      <paraID>4706EEF6</paraID>
      <start>2223</start>
      <end>2224</end>
      <status>unmodified</status>
      <modifiedWord/>
      <trackRevisions>false</trackRevisions>
    </reviewItem>
    <reviewItem>
      <errorID>79781ae8-0fb0-4d88-aa32-2e84665580cd</errorID>
      <errorWord>)</errorWord>
      <group>L1_Format</group>
      <groupName>格式问题</groupName>
      <ability>L2_HalfPunc</ability>
      <abilityName>全半角检查</abilityName>
      <candidateList>
        <item>）</item>
      </candidateList>
      <explain>文本全半角错误。</explain>
      <paraID>4706EEF6</paraID>
      <start>2297</start>
      <end>2298</end>
      <status>unmodified</status>
      <modifiedWord/>
      <trackRevisions>false</trackRevisions>
    </reviewItem>
    <reviewItem>
      <errorID>fc1a7a6b-589f-4998-a36c-a129db15f462</errorID>
      <errorWord>好</errorWord>
      <group>L1_Word</group>
      <groupName>字词问题</groupName>
      <ability>L2_Typo</ability>
      <abilityName>字词错误</abilityName>
      <candidateList>
        <item>好地</item>
      </candidateList>
      <explain/>
      <paraID>4706EEF6</paraID>
      <start>2336</start>
      <end>2337</end>
      <status>unmodified</status>
      <modifiedWord/>
      <trackRevisions>false</trackRevisions>
    </reviewItem>
    <reviewItem>
      <errorID>08aed6e4-896e-4c8e-b9b0-c452c39fdcc0</errorID>
      <errorWord>)</errorWord>
      <group>L1_Format</group>
      <groupName>格式问题</groupName>
      <ability>L2_HalfPunc</ability>
      <abilityName>全半角检查</abilityName>
      <candidateList>
        <item>）</item>
      </candidateList>
      <explain>文本全半角错误。</explain>
      <paraID>4706EEF6</paraID>
      <start>2345</start>
      <end>2346</end>
      <status>unmodified</status>
      <modifiedWord/>
      <trackRevisions>false</trackRevisions>
    </reviewItem>
    <reviewItem>
      <errorID>a67340e9-cbfb-4f7c-b858-a48e62378adb</errorID>
      <errorWord>)</errorWord>
      <group>L1_Format</group>
      <groupName>格式问题</groupName>
      <ability>L2_HalfPunc</ability>
      <abilityName>全半角检查</abilityName>
      <candidateList>
        <item>）</item>
      </candidateList>
      <explain>文本全半角错误。</explain>
      <paraID>4706EEF6</paraID>
      <start>2382</start>
      <end>2383</end>
      <status>unmodified</status>
      <modifiedWord/>
      <trackRevisions>false</trackRevisions>
    </reviewItem>
    <reviewItem>
      <errorID>5d1e86fa-63f4-479b-aa76-3f8d6b4c0a98</errorID>
      <errorWord>)</errorWord>
      <group>L1_Format</group>
      <groupName>格式问题</groupName>
      <ability>L2_HalfPunc</ability>
      <abilityName>全半角检查</abilityName>
      <candidateList>
        <item>）</item>
      </candidateList>
      <explain>文本全半角错误。</explain>
      <paraID>4706EEF6</paraID>
      <start>2488</start>
      <end>2489</end>
      <status>unmodified</status>
      <modifiedWord/>
      <trackRevisions>false</trackRevisions>
    </reviewItem>
    <reviewItem>
      <errorID>6db6f0b1-a219-45d7-a9c5-913b31d1cb0f</errorID>
      <errorWord>)</errorWord>
      <group>L1_Format</group>
      <groupName>格式问题</groupName>
      <ability>L2_HalfPunc</ability>
      <abilityName>全半角检查</abilityName>
      <candidateList>
        <item>）</item>
      </candidateList>
      <explain>文本全半角错误。</explain>
      <paraID>4706EEF6</paraID>
      <start>2568</start>
      <end>2569</end>
      <status>unmodified</status>
      <modifiedWord/>
      <trackRevisions>false</trackRevisions>
    </reviewItem>
    <reviewItem>
      <errorID>7659fa6f-046e-4dd9-ad5b-cb71f2d74202</errorID>
      <errorWord>)</errorWord>
      <group>L1_Format</group>
      <groupName>格式问题</groupName>
      <ability>L2_HalfPunc</ability>
      <abilityName>全半角检查</abilityName>
      <candidateList>
        <item>）</item>
      </candidateList>
      <explain>文本全半角错误。</explain>
      <paraID>4706EEF6</paraID>
      <start>2641</start>
      <end>2642</end>
      <status>unmodified</status>
      <modifiedWord/>
      <trackRevisions>false</trackRevisions>
    </reviewItem>
    <reviewItem>
      <errorID>d98c1cde-912c-45d7-8e05-cfab547479ce</errorID>
      <errorWord>)</errorWord>
      <group>L1_Format</group>
      <groupName>格式问题</groupName>
      <ability>L2_HalfPunc</ability>
      <abilityName>全半角检查</abilityName>
      <candidateList>
        <item>）</item>
      </candidateList>
      <explain>文本全半角错误。</explain>
      <paraID>4706EEF6</paraID>
      <start>2689</start>
      <end>2690</end>
      <status>unmodified</status>
      <modifiedWord/>
      <trackRevisions>false</trackRevisions>
    </reviewItem>
    <reviewItem>
      <errorID>6058252e-1e2d-4883-bde0-11cf95b7f984</errorID>
      <errorWord>)</errorWord>
      <group>L1_Format</group>
      <groupName>格式问题</groupName>
      <ability>L2_HalfPunc</ability>
      <abilityName>全半角检查</abilityName>
      <candidateList>
        <item>）</item>
      </candidateList>
      <explain>文本全半角错误。</explain>
      <paraID>4706EEF6</paraID>
      <start>2749</start>
      <end>2750</end>
      <status>unmodified</status>
      <modifiedWord/>
      <trackRevisions>false</trackRevisions>
    </reviewItem>
    <reviewItem>
      <errorID>8bc584da-5e3f-42fc-998f-e44477e8b46b</errorID>
      <errorWord>)</errorWord>
      <group>L1_Format</group>
      <groupName>格式问题</groupName>
      <ability>L2_HalfPunc</ability>
      <abilityName>全半角检查</abilityName>
      <candidateList>
        <item>）</item>
      </candidateList>
      <explain>文本全半角错误。</explain>
      <paraID>4706EEF6</paraID>
      <start>2773</start>
      <end>2774</end>
      <status>unmodified</status>
      <modifiedWord/>
      <trackRevisions>false</trackRevisions>
    </reviewItem>
    <reviewItem>
      <errorID>a0dc1bfc-6cb5-446a-afa2-12a71d7d8251</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4706EEF6</paraID>
      <start>2774</start>
      <end>2776</end>
      <status>unmodified</status>
      <modifiedWord/>
      <trackRevisions>false</trackRevisions>
    </reviewItem>
    <reviewItem>
      <errorID>fa60650a-8da7-489c-a376-066a21f6dff2</errorID>
      <errorWord>)</errorWord>
      <group>L1_Format</group>
      <groupName>格式问题</groupName>
      <ability>L2_HalfPunc</ability>
      <abilityName>全半角检查</abilityName>
      <candidateList>
        <item>）</item>
      </candidateList>
      <explain>文本全半角错误。</explain>
      <paraID>4706EEF6</paraID>
      <start>2817</start>
      <end>2818</end>
      <status>unmodified</status>
      <modifiedWord/>
      <trackRevisions>false</trackRevisions>
    </reviewItem>
    <reviewItem>
      <errorID>9b9b948f-eeed-4464-afc8-4022faf4ffbe</errorID>
      <errorWord>务</errorWord>
      <group>L1_Word</group>
      <groupName>字词问题</groupName>
      <ability>L2_Typo</ability>
      <abilityName>字词错误</abilityName>
      <candidateList>
        <item>务证</item>
      </candidateList>
      <explain/>
      <paraID>4706EEF6</paraID>
      <start>2829</start>
      <end>2830</end>
      <status>unmodified</status>
      <modifiedWord/>
      <trackRevisions>false</trackRevisions>
    </reviewItem>
    <reviewItem>
      <errorID>148f9c97-d316-43c2-b677-850195c5d3d6</errorID>
      <errorWord>，</errorWord>
      <group>L1_Word</group>
      <groupName>字词问题</groupName>
      <ability>L2_Typo</ability>
      <abilityName>字词错误</abilityName>
      <candidateList>
        <item>，具</item>
      </candidateList>
      <explain/>
      <paraID>4706EEF6</paraID>
      <start>2903</start>
      <end>2904</end>
      <status>unmodified</status>
      <modifiedWord/>
      <trackRevisions>false</trackRevisions>
    </reviewItem>
    <reviewItem>
      <errorID>63324390-c39a-4e26-8bd8-dd17d019c65d</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23C5E257</paraID>
      <start>0</start>
      <end>1</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7657f0-87c0-4558-8130-7871721b2a8c}">
  <ds:schemaRefs/>
</ds:datastoreItem>
</file>

<file path=customXml/itemProps3.xml><?xml version="1.0" encoding="utf-8"?>
<ds:datastoreItem xmlns:ds="http://schemas.openxmlformats.org/officeDocument/2006/customXml" ds:itemID="{E6A149B7-F729-4219-9C54-BFC5771A4081}">
  <ds:schemaRefs/>
</ds:datastoreItem>
</file>

<file path=docProps/app.xml><?xml version="1.0" encoding="utf-8"?>
<Properties xmlns="http://schemas.openxmlformats.org/officeDocument/2006/extended-properties" xmlns:vt="http://schemas.openxmlformats.org/officeDocument/2006/docPropsVTypes">
  <Template>Normal</Template>
  <Company>/</Company>
  <Pages>114</Pages>
  <Words>63938</Words>
  <Characters>68636</Characters>
  <Lines>3919</Lines>
  <Paragraphs>539</Paragraphs>
  <TotalTime>1</TotalTime>
  <ScaleCrop>false</ScaleCrop>
  <LinksUpToDate>false</LinksUpToDate>
  <CharactersWithSpaces>70542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2024-01-05T06:40:00Z</dcterms:created>
  <dc:creator>wbq</dc:creator>
  <cp:lastModifiedBy>苦药</cp:lastModifiedBy>
  <cp:lastPrinted>2024-11-01T07:23:00Z</cp:lastPrinted>
  <dcterms:modified xsi:type="dcterms:W3CDTF">2025-11-21T11:42:05Z</dcterms:modified>
  <dc:title>招标编号：G911-DXSH-ZB-1704238</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FDA585324939423B9889EE02095AC624_13</vt:lpwstr>
  </property>
  <property fmtid="{D5CDD505-2E9C-101B-9397-08002B2CF9AE}" pid="4" name="KSOTemplateDocerSaveRecord">
    <vt:lpwstr>eyJoZGlkIjoiOWQ2ZWExMDIwMTAyNTlkY2I3MDQ0MGE2NzkwYzQ5NGQiLCJ1c2VySWQiOiIyNjI4MzExMDcifQ==</vt:lpwstr>
  </property>
</Properties>
</file>