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中山市东升医院手动双摇病床及床垫采购项目（二次）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9" w:line="324" w:lineRule="auto"/>
        <w:ind w:left="119" w:right="113" w:firstLine="420"/>
        <w:jc w:val="both"/>
        <w:textAlignment w:val="baseline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06CE8DB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50"/>
        <w:textAlignment w:val="baseline"/>
        <w:rPr>
          <w:rFonts w:hint="default" w:eastAsia="宋体"/>
          <w:b/>
          <w:bCs/>
          <w:lang w:val="en-US" w:eastAsia="zh-CN"/>
        </w:rPr>
      </w:pPr>
    </w:p>
    <w:p w14:paraId="2B884CF5">
      <w:pPr>
        <w:pStyle w:val="3"/>
        <w:rPr>
          <w:rFonts w:hint="default"/>
          <w:lang w:val="en-US" w:eastAsia="zh-CN"/>
        </w:rPr>
      </w:pPr>
    </w:p>
    <w:tbl>
      <w:tblPr>
        <w:tblStyle w:val="11"/>
        <w:tblW w:w="90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789"/>
        <w:gridCol w:w="3046"/>
        <w:gridCol w:w="2259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5" w:hRule="atLeast"/>
          <w:jc w:val="center"/>
        </w:trPr>
        <w:tc>
          <w:tcPr>
            <w:tcW w:w="3789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3046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下浮率报价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%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259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74" w:hRule="atLeast"/>
          <w:jc w:val="center"/>
        </w:trPr>
        <w:tc>
          <w:tcPr>
            <w:tcW w:w="3789" w:type="dxa"/>
            <w:vAlign w:val="center"/>
          </w:tcPr>
          <w:p w14:paraId="15FE9704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4"/>
                <w:szCs w:val="24"/>
                <w:lang w:val="en-US" w:eastAsia="zh-CN"/>
              </w:rPr>
              <w:t>中山市东升医院手动双摇病床及床垫采购项目（二次）</w:t>
            </w:r>
          </w:p>
        </w:tc>
        <w:tc>
          <w:tcPr>
            <w:tcW w:w="3046" w:type="dxa"/>
            <w:vAlign w:val="center"/>
          </w:tcPr>
          <w:p w14:paraId="7DDAFCE5">
            <w:pPr>
              <w:tabs>
                <w:tab w:val="left" w:pos="1770"/>
              </w:tabs>
              <w:jc w:val="center"/>
              <w:outlineLvl w:val="0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%</w:t>
            </w:r>
          </w:p>
        </w:tc>
        <w:tc>
          <w:tcPr>
            <w:tcW w:w="2259" w:type="dxa"/>
            <w:vAlign w:val="center"/>
          </w:tcPr>
          <w:p w14:paraId="417A20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0" w:lineRule="atLeast"/>
              <w:jc w:val="center"/>
              <w:textAlignment w:val="baseline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提供详细项目清单</w:t>
            </w:r>
          </w:p>
          <w:p w14:paraId="755E07BE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0" w:lineRule="atLeast"/>
              <w:jc w:val="center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（格式自拟）</w:t>
            </w:r>
          </w:p>
        </w:tc>
      </w:tr>
    </w:tbl>
    <w:p w14:paraId="06BFCCF9">
      <w:pPr>
        <w:pStyle w:val="3"/>
        <w:spacing w:line="371" w:lineRule="auto"/>
      </w:pPr>
    </w:p>
    <w:p w14:paraId="1CE97BEE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80" w:lineRule="exact"/>
        <w:textAlignment w:val="baseline"/>
        <w:rPr>
          <w:rFonts w:hint="eastAsia" w:asciiTheme="minorEastAsia" w:hAnsiTheme="minorEastAsia" w:eastAsiaTheme="minorEastAsia" w:cstheme="minorEastAsia"/>
          <w:b/>
          <w:bCs/>
          <w:spacing w:val="7"/>
          <w:sz w:val="20"/>
          <w:szCs w:val="20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7"/>
          <w:sz w:val="20"/>
          <w:szCs w:val="20"/>
          <w:lang w:val="en-US" w:eastAsia="zh-CN"/>
        </w:rPr>
        <w:t>供应商应依据《技术参数及配置要求》中最高单价限价报出一个统一的响应下浮率，下浮率取值范围为0%（含）至50%（含），超出此范围的报价将被视为无效响应。</w:t>
      </w:r>
      <w:r>
        <w:rPr>
          <w:rFonts w:hint="eastAsia" w:asciiTheme="minorEastAsia" w:hAnsiTheme="minorEastAsia" w:eastAsiaTheme="minorEastAsia" w:cstheme="minorEastAsia"/>
          <w:b/>
          <w:bCs/>
          <w:spacing w:val="7"/>
          <w:sz w:val="20"/>
          <w:szCs w:val="20"/>
          <w:lang w:eastAsia="zh-CN"/>
        </w:rPr>
        <w:t>不得随意更改本表格式。</w:t>
      </w:r>
    </w:p>
    <w:p w14:paraId="40A56808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80" w:lineRule="exact"/>
        <w:ind w:left="0" w:leftChars="0" w:firstLine="0" w:firstLineChars="0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0"/>
          <w:szCs w:val="20"/>
          <w:lang w:val="en-US" w:eastAsia="zh-CN"/>
        </w:rPr>
        <w:t>本项目的评审采用最低价法方式，在符合项目需求的前提下，选取最低价格为拟中选供应商。</w:t>
      </w:r>
    </w:p>
    <w:p w14:paraId="75F08E2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80" w:lineRule="exact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0"/>
          <w:szCs w:val="20"/>
          <w:lang w:val="en-US" w:eastAsia="zh-CN"/>
        </w:rPr>
        <w:t>3. 结算公式：结算价格 = 单项最高单价限价×（1-成交下浮率）×实际采购数量，结果四舍五入保留至小数点后两位。该单价为合同期间的最终价格，合同期内不随市场同类商品价格波动进行调整。</w:t>
      </w:r>
    </w:p>
    <w:p w14:paraId="17E08FB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80" w:lineRule="exact"/>
        <w:textAlignment w:val="baseline"/>
        <w:rPr>
          <w:rFonts w:hint="eastAsia" w:asciiTheme="minorEastAsia" w:hAnsiTheme="minorEastAsia" w:eastAsiaTheme="minorEastAsia" w:cstheme="minorEastAsia"/>
          <w:b/>
          <w:bCs/>
          <w:spacing w:val="2"/>
          <w:sz w:val="20"/>
          <w:szCs w:val="20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2"/>
          <w:sz w:val="20"/>
          <w:szCs w:val="20"/>
          <w:lang w:val="en-US" w:eastAsia="zh-CN"/>
        </w:rPr>
        <w:t>4. 报价次数：1次。</w:t>
      </w:r>
    </w:p>
    <w:p w14:paraId="573023C5">
      <w:pPr>
        <w:pStyle w:val="4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00D596C">
      <w:pPr>
        <w:pStyle w:val="4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中山市东升医院手动双摇病床及床垫采购项目（二次）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具备独立承担民事责任的能力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(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相关业务经营范围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营业执照)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；分支机构参与投标的，须提提供总公司及分公司的营业执照复印件，以及总公司向分支机构出具的授权文件。</w:t>
      </w: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23D54E56">
      <w:pPr>
        <w:spacing w:before="41" w:line="228" w:lineRule="auto"/>
        <w:ind w:left="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六、无围标、串标行为声明函</w:t>
      </w:r>
    </w:p>
    <w:p w14:paraId="46DEA0D5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1F6E8CF2">
      <w:pPr>
        <w:pStyle w:val="3"/>
        <w:spacing w:line="373" w:lineRule="auto"/>
        <w:rPr>
          <w:lang w:eastAsia="zh-CN"/>
        </w:rPr>
      </w:pPr>
    </w:p>
    <w:p w14:paraId="2C9DDB3A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中山市东升医院手动双摇病床及床垫采购项目（二次）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78416D8E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700E896B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63FEBB2B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60B46159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0DC68F00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2D76146D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0F1DD6B1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121D321">
      <w:pPr>
        <w:pStyle w:val="3"/>
        <w:spacing w:line="283" w:lineRule="auto"/>
        <w:rPr>
          <w:lang w:eastAsia="zh-CN"/>
        </w:rPr>
      </w:pPr>
    </w:p>
    <w:p w14:paraId="6F145D85">
      <w:pPr>
        <w:pStyle w:val="3"/>
        <w:spacing w:line="284" w:lineRule="auto"/>
        <w:rPr>
          <w:lang w:eastAsia="zh-CN"/>
        </w:rPr>
      </w:pPr>
    </w:p>
    <w:p w14:paraId="0CB32484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49D56D4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593E03F9">
      <w:pPr>
        <w:pStyle w:val="3"/>
        <w:spacing w:line="277" w:lineRule="auto"/>
        <w:rPr>
          <w:lang w:eastAsia="zh-CN"/>
        </w:rPr>
      </w:pPr>
    </w:p>
    <w:p w14:paraId="130A4A24">
      <w:pPr>
        <w:pStyle w:val="3"/>
        <w:spacing w:line="277" w:lineRule="auto"/>
        <w:rPr>
          <w:lang w:eastAsia="zh-CN"/>
        </w:rPr>
      </w:pPr>
    </w:p>
    <w:p w14:paraId="379E201F">
      <w:pPr>
        <w:pStyle w:val="3"/>
        <w:spacing w:line="277" w:lineRule="auto"/>
        <w:rPr>
          <w:lang w:eastAsia="zh-CN"/>
        </w:rPr>
      </w:pPr>
    </w:p>
    <w:p w14:paraId="4C47DA1B">
      <w:pPr>
        <w:pStyle w:val="3"/>
        <w:spacing w:line="278" w:lineRule="auto"/>
        <w:rPr>
          <w:lang w:eastAsia="zh-CN"/>
        </w:rPr>
      </w:pPr>
    </w:p>
    <w:p w14:paraId="4CD07A94">
      <w:pPr>
        <w:pStyle w:val="3"/>
        <w:spacing w:line="278" w:lineRule="auto"/>
        <w:rPr>
          <w:lang w:eastAsia="zh-CN"/>
        </w:rPr>
      </w:pPr>
    </w:p>
    <w:p w14:paraId="7A912B19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1B57311D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3B366163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5589425E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七、提供</w:t>
      </w:r>
      <w:r>
        <w:rPr>
          <w:rFonts w:ascii="宋体" w:hAnsi="宋体" w:eastAsia="宋体" w:cs="宋体"/>
          <w:spacing w:val="-42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-40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近</w:t>
      </w:r>
      <w:r>
        <w:rPr>
          <w:rFonts w:ascii="宋体" w:hAnsi="宋体" w:eastAsia="宋体" w:cs="宋体"/>
          <w:spacing w:val="-29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6"/>
          <w:sz w:val="20"/>
          <w:szCs w:val="20"/>
          <w:lang w:eastAsia="zh-CN"/>
        </w:rPr>
        <w:t>12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个月内任何</w:t>
      </w:r>
      <w:r>
        <w:rPr>
          <w:rFonts w:ascii="宋体" w:hAnsi="宋体" w:eastAsia="宋体" w:cs="宋体"/>
          <w:spacing w:val="-3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1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个月编制的财务报表复印</w:t>
      </w:r>
      <w:r>
        <w:rPr>
          <w:rFonts w:ascii="宋体" w:hAnsi="宋体" w:eastAsia="宋体" w:cs="宋体"/>
          <w:b/>
          <w:bCs/>
          <w:spacing w:val="-1"/>
          <w:sz w:val="20"/>
          <w:szCs w:val="20"/>
          <w:lang w:eastAsia="zh-CN"/>
        </w:rPr>
        <w:t>件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八、近</w:t>
      </w:r>
      <w:r>
        <w:rPr>
          <w:rFonts w:ascii="宋体" w:hAnsi="宋体" w:eastAsia="宋体" w:cs="宋体"/>
          <w:spacing w:val="-34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8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纳税证明资料复印件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，如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依法免税的，应提供相应文件证明</w:t>
      </w:r>
    </w:p>
    <w:p w14:paraId="1C0313C7">
      <w:pPr>
        <w:spacing w:line="227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ind w:left="23" w:firstLine="5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九、近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EC7D9E2">
      <w:pPr>
        <w:spacing w:before="137" w:line="227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十一、有效的医疗器械产品注册或备案证明材料、报价人的经营许可或备案证明材料等相关资料。</w:t>
      </w:r>
    </w:p>
    <w:p w14:paraId="089ACB47">
      <w:pPr>
        <w:rPr>
          <w:rFonts w:hint="default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default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br w:type="page"/>
      </w:r>
    </w:p>
    <w:p w14:paraId="2E07A2B7">
      <w:pPr>
        <w:spacing w:before="137" w:line="227" w:lineRule="auto"/>
        <w:rPr>
          <w:rFonts w:hint="default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二、按照公告文件第四条《技术参数及配置要求》提供相应的证明文件（须加盖公章），包括但不限于：明细清晰的产品实物图、参数规格信息、各关键部位细节图片、第三方检测报告（如有）等，并且对本需求书的技术参数及其他相关条款进行逐条真实应答描述。</w:t>
      </w:r>
    </w:p>
    <w:p w14:paraId="7677C5C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三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30" w:line="28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30" w:line="28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hint="eastAsia" w:ascii="Calibri" w:hAnsi="Calibri" w:eastAsia="Calibri" w:cs="Calibri"/>
          <w:spacing w:val="8"/>
          <w:sz w:val="20"/>
          <w:szCs w:val="20"/>
          <w:lang w:val="en-US" w:eastAsia="zh-CN"/>
        </w:rPr>
        <w:t xml:space="preserve">.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30" w:line="28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hint="eastAsia" w:ascii="Calibri" w:hAnsi="Calibri" w:eastAsia="Calibri" w:cs="Calibri"/>
          <w:spacing w:val="-14"/>
          <w:sz w:val="20"/>
          <w:szCs w:val="20"/>
          <w:lang w:val="en-US" w:eastAsia="zh-CN"/>
        </w:rPr>
        <w:t xml:space="preserve">. 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其中带★的参数是必须完全响应的参数。</w:t>
      </w:r>
    </w:p>
    <w:p w14:paraId="5439A5A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30" w:after="0" w:afterLines="50" w:line="280" w:lineRule="exact"/>
        <w:textAlignment w:val="baseline"/>
        <w:rPr>
          <w:rFonts w:ascii="宋体" w:hAnsi="宋体" w:eastAsia="宋体" w:cs="宋体"/>
          <w:spacing w:val="7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hint="eastAsia" w:ascii="Calibri" w:hAnsi="Calibri" w:eastAsia="Calibri" w:cs="Calibri"/>
          <w:spacing w:val="-23"/>
          <w:sz w:val="20"/>
          <w:szCs w:val="20"/>
          <w:lang w:val="en-US" w:eastAsia="zh-CN"/>
        </w:rPr>
        <w:t xml:space="preserve">.  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</w:p>
    <w:tbl>
      <w:tblPr>
        <w:tblStyle w:val="11"/>
        <w:tblW w:w="9660" w:type="dxa"/>
        <w:tblInd w:w="-5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98"/>
        <w:gridCol w:w="5415"/>
        <w:gridCol w:w="1222"/>
        <w:gridCol w:w="1215"/>
        <w:gridCol w:w="1110"/>
      </w:tblGrid>
      <w:tr w14:paraId="1C0F46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62" w:hRule="atLeast"/>
        </w:trPr>
        <w:tc>
          <w:tcPr>
            <w:tcW w:w="698" w:type="dxa"/>
            <w:vAlign w:val="center"/>
          </w:tcPr>
          <w:p w14:paraId="5BDB5D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415" w:type="dxa"/>
            <w:vAlign w:val="center"/>
          </w:tcPr>
          <w:p w14:paraId="3674397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222" w:type="dxa"/>
            <w:vAlign w:val="center"/>
          </w:tcPr>
          <w:p w14:paraId="53D5C9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60" w:lineRule="exact"/>
              <w:ind w:right="241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完全响应</w:t>
            </w:r>
          </w:p>
          <w:p w14:paraId="5455D04C"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60" w:lineRule="exact"/>
              <w:jc w:val="center"/>
              <w:textAlignment w:val="baseline"/>
              <w:rPr>
                <w:rFonts w:hint="eastAsia" w:cs="宋体"/>
                <w:b/>
                <w:bCs/>
                <w:lang w:val="en-US" w:eastAsia="zh-CN"/>
              </w:rPr>
            </w:pPr>
            <w:r>
              <w:rPr>
                <w:rFonts w:hint="eastAsia" w:cs="宋体"/>
                <w:b/>
                <w:bCs/>
                <w:lang w:val="en-US" w:eastAsia="zh-CN"/>
              </w:rPr>
              <w:t>或</w:t>
            </w:r>
          </w:p>
          <w:p w14:paraId="487051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60" w:lineRule="exact"/>
              <w:jc w:val="center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 w:cs="宋体"/>
                <w:b/>
                <w:bCs/>
                <w:lang w:val="en-US" w:eastAsia="zh-CN"/>
              </w:rPr>
              <w:t>正/负偏离</w:t>
            </w:r>
          </w:p>
        </w:tc>
        <w:tc>
          <w:tcPr>
            <w:tcW w:w="1215" w:type="dxa"/>
            <w:vAlign w:val="center"/>
          </w:tcPr>
          <w:p w14:paraId="3E93E2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189B2D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1110" w:type="dxa"/>
            <w:vAlign w:val="center"/>
          </w:tcPr>
          <w:p w14:paraId="3CD53C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相关</w:t>
            </w:r>
          </w:p>
          <w:p w14:paraId="4B5ABC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775BE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33" w:hRule="atLeast"/>
        </w:trPr>
        <w:tc>
          <w:tcPr>
            <w:tcW w:w="698" w:type="dxa"/>
            <w:vAlign w:val="center"/>
          </w:tcPr>
          <w:p w14:paraId="65A6A3D8">
            <w:pPr>
              <w:spacing w:before="65" w:line="270" w:lineRule="exact"/>
              <w:jc w:val="both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415" w:type="dxa"/>
            <w:vAlign w:val="center"/>
          </w:tcPr>
          <w:p w14:paraId="3F3F7B69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一、项目基本要求</w:t>
            </w:r>
          </w:p>
          <w:p w14:paraId="4A4144A2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 项目名称：中山市东升医院手动双摇病床及床垫采购项目</w:t>
            </w:r>
          </w:p>
          <w:p w14:paraId="71F1D085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 项目编号：HW-CW-CW-2026046</w:t>
            </w:r>
          </w:p>
          <w:p w14:paraId="38B21A6B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3. 项目预算：84000元（含税全包价）</w:t>
            </w:r>
          </w:p>
          <w:p w14:paraId="3BEBA240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4. 交货时间：中标供应商须于中标通知书发出之日起30日内，依据招标文件及其中标投标文件所确定的事项与采购人订立合同；合同签订后，在收到采购人通知的15日内，完成设备的运送、安装及调试工作。</w:t>
            </w:r>
          </w:p>
          <w:p w14:paraId="70DF0279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5. 质保期：自设备验收合格之日起计算，质保期限为3年及以上。</w:t>
            </w:r>
          </w:p>
          <w:p w14:paraId="14E1A650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6. 响应供应商须符合《医疗器械经营质量管理规范》及《医疗器械监督管理条例》的相关规定，并根据本项目的具体特性，提供有效的医疗器械产品注册或备案证明材料、报价人的经营许可或备案证明材料等相关资料。</w:t>
            </w:r>
          </w:p>
          <w:p w14:paraId="5935C8AF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7. 成交供应商不得通过任何形式将本项目进行转包或分包。</w:t>
            </w:r>
          </w:p>
          <w:p w14:paraId="68AE7737">
            <w:pPr>
              <w:pStyle w:val="6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8. 公告文件中带有“★”标识的内容条款，均为关键性的响应要求、技术指标要求及性能要求。报价人须对此作出明确回应并予以完全满足，且不得存在任何负偏离，否则其报价将被视作无效。</w:t>
            </w:r>
          </w:p>
        </w:tc>
        <w:tc>
          <w:tcPr>
            <w:tcW w:w="1222" w:type="dxa"/>
            <w:vAlign w:val="center"/>
          </w:tcPr>
          <w:p w14:paraId="5B3B314A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28582A36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4974FF2A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43E266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79" w:hRule="atLeast"/>
        </w:trPr>
        <w:tc>
          <w:tcPr>
            <w:tcW w:w="698" w:type="dxa"/>
            <w:vAlign w:val="center"/>
          </w:tcPr>
          <w:p w14:paraId="2D18E0F6">
            <w:pPr>
              <w:spacing w:before="65" w:line="270" w:lineRule="exact"/>
              <w:jc w:val="both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415" w:type="dxa"/>
            <w:vAlign w:val="center"/>
          </w:tcPr>
          <w:p w14:paraId="7F6B86E5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二、供应商的资格要求</w:t>
            </w:r>
          </w:p>
          <w:p w14:paraId="02183D87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响应供应商须为在中华人民共和国境内注册，能够独立承担民事责任的企业法人、其他组织或自然人。若为分支机构参与响应，应提供总公司与分公司的营业执照复印件，以及总公司出具给分支机构的授权书。</w:t>
            </w:r>
          </w:p>
          <w:p w14:paraId="43BC1F86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★2.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响应供应商须持有有效的营业执照，且其经营范围包含相关业务；同时，须根据本项目的具体特性，提供有效的医疗器械产品注册或备案证明材料、报价人的经营许可或备案证明材料等相关资料。</w:t>
            </w:r>
          </w:p>
          <w:p w14:paraId="0497211D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响应供应商应具备项目承接能力、合同履约能力、售后供应能力及良好的商业信誉。</w:t>
            </w:r>
          </w:p>
          <w:p w14:paraId="655BB337">
            <w:pPr>
              <w:widowControl w:val="0"/>
              <w:spacing w:line="240" w:lineRule="exact"/>
              <w:jc w:val="both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响应供应商在参与公开招标活动中，不得存在违法违纪行为及受过处罚的记录，且不得有围标、串标等行为。</w:t>
            </w:r>
          </w:p>
        </w:tc>
        <w:tc>
          <w:tcPr>
            <w:tcW w:w="1222" w:type="dxa"/>
            <w:vAlign w:val="center"/>
          </w:tcPr>
          <w:p w14:paraId="11B334CA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0566467E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35CEC9C0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5BC804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655" w:hRule="atLeast"/>
        </w:trPr>
        <w:tc>
          <w:tcPr>
            <w:tcW w:w="698" w:type="dxa"/>
            <w:vAlign w:val="center"/>
          </w:tcPr>
          <w:p w14:paraId="7A7E1C2D">
            <w:pPr>
              <w:spacing w:before="65" w:line="270" w:lineRule="exact"/>
              <w:jc w:val="both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415" w:type="dxa"/>
            <w:vAlign w:val="center"/>
          </w:tcPr>
          <w:p w14:paraId="6937A7AA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三、采购清单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：</w:t>
            </w:r>
          </w:p>
          <w:tbl>
            <w:tblPr>
              <w:tblStyle w:val="8"/>
              <w:tblpPr w:leftFromText="180" w:rightFromText="180" w:vertAnchor="text" w:horzAnchor="page" w:tblpX="101" w:tblpY="7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85" w:type="dxa"/>
                <w:left w:w="85" w:type="dxa"/>
                <w:bottom w:w="85" w:type="dxa"/>
                <w:right w:w="85" w:type="dxa"/>
              </w:tblCellMar>
            </w:tblPr>
            <w:tblGrid>
              <w:gridCol w:w="750"/>
              <w:gridCol w:w="2137"/>
              <w:gridCol w:w="1013"/>
              <w:gridCol w:w="1035"/>
            </w:tblGrid>
            <w:tr w14:paraId="1707DB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306" w:hRule="exact"/>
              </w:trPr>
              <w:tc>
                <w:tcPr>
                  <w:tcW w:w="750" w:type="dxa"/>
                  <w:vAlign w:val="center"/>
                </w:tcPr>
                <w:p w14:paraId="25484A5E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2137" w:type="dxa"/>
                  <w:vAlign w:val="center"/>
                </w:tcPr>
                <w:p w14:paraId="6BEB1C5B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  <w:t>项目名称</w:t>
                  </w:r>
                </w:p>
              </w:tc>
              <w:tc>
                <w:tcPr>
                  <w:tcW w:w="1013" w:type="dxa"/>
                  <w:vAlign w:val="center"/>
                </w:tcPr>
                <w:p w14:paraId="16CF6E4E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单位</w:t>
                  </w:r>
                </w:p>
              </w:tc>
              <w:tc>
                <w:tcPr>
                  <w:tcW w:w="1035" w:type="dxa"/>
                  <w:vAlign w:val="center"/>
                </w:tcPr>
                <w:p w14:paraId="2C16BDF4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数量</w:t>
                  </w:r>
                </w:p>
              </w:tc>
            </w:tr>
            <w:tr w14:paraId="2DAD095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306" w:hRule="exact"/>
              </w:trPr>
              <w:tc>
                <w:tcPr>
                  <w:tcW w:w="750" w:type="dxa"/>
                  <w:vAlign w:val="center"/>
                </w:tcPr>
                <w:p w14:paraId="5BFEC122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</w:t>
                  </w:r>
                </w:p>
              </w:tc>
              <w:tc>
                <w:tcPr>
                  <w:tcW w:w="2137" w:type="dxa"/>
                  <w:vAlign w:val="center"/>
                </w:tcPr>
                <w:p w14:paraId="7595B3A2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eastAsia="zh-CN"/>
                    </w:rPr>
                    <w:t>手动双摇病床</w:t>
                  </w:r>
                </w:p>
              </w:tc>
              <w:tc>
                <w:tcPr>
                  <w:tcW w:w="1013" w:type="dxa"/>
                  <w:vAlign w:val="center"/>
                </w:tcPr>
                <w:p w14:paraId="1B57259E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套</w:t>
                  </w:r>
                </w:p>
              </w:tc>
              <w:tc>
                <w:tcPr>
                  <w:tcW w:w="1035" w:type="dxa"/>
                  <w:vAlign w:val="center"/>
                </w:tcPr>
                <w:p w14:paraId="7447ED40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30</w:t>
                  </w:r>
                </w:p>
              </w:tc>
            </w:tr>
            <w:tr w14:paraId="68AF78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306" w:hRule="exact"/>
              </w:trPr>
              <w:tc>
                <w:tcPr>
                  <w:tcW w:w="750" w:type="dxa"/>
                  <w:vAlign w:val="center"/>
                </w:tcPr>
                <w:p w14:paraId="195EE5FF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2</w:t>
                  </w:r>
                </w:p>
              </w:tc>
              <w:tc>
                <w:tcPr>
                  <w:tcW w:w="2137" w:type="dxa"/>
                  <w:vAlign w:val="center"/>
                </w:tcPr>
                <w:p w14:paraId="4148C2E6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床垫</w:t>
                  </w:r>
                </w:p>
              </w:tc>
              <w:tc>
                <w:tcPr>
                  <w:tcW w:w="1013" w:type="dxa"/>
                  <w:vAlign w:val="center"/>
                </w:tcPr>
                <w:p w14:paraId="0DA2A726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张</w:t>
                  </w:r>
                </w:p>
              </w:tc>
              <w:tc>
                <w:tcPr>
                  <w:tcW w:w="1035" w:type="dxa"/>
                  <w:vAlign w:val="center"/>
                </w:tcPr>
                <w:p w14:paraId="569978C6">
                  <w:pPr>
                    <w:widowControl w:val="0"/>
                    <w:spacing w:line="240" w:lineRule="exact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30</w:t>
                  </w:r>
                </w:p>
              </w:tc>
            </w:tr>
          </w:tbl>
          <w:p w14:paraId="747896F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80" w:lineRule="exact"/>
              <w:jc w:val="both"/>
              <w:textAlignment w:val="baseline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</w:p>
        </w:tc>
        <w:tc>
          <w:tcPr>
            <w:tcW w:w="1222" w:type="dxa"/>
            <w:vAlign w:val="center"/>
          </w:tcPr>
          <w:p w14:paraId="6483D143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774B4E9C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4A390490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43FF27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1929" w:hRule="atLeast"/>
        </w:trPr>
        <w:tc>
          <w:tcPr>
            <w:tcW w:w="698" w:type="dxa"/>
            <w:vAlign w:val="center"/>
          </w:tcPr>
          <w:p w14:paraId="66BBC161">
            <w:pPr>
              <w:spacing w:before="65"/>
              <w:jc w:val="both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415" w:type="dxa"/>
            <w:vAlign w:val="center"/>
          </w:tcPr>
          <w:p w14:paraId="46878C1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四、技术参数及配置要求：</w:t>
            </w:r>
          </w:p>
          <w:tbl>
            <w:tblPr>
              <w:tblStyle w:val="7"/>
              <w:tblW w:w="4918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85" w:type="dxa"/>
                <w:left w:w="85" w:type="dxa"/>
                <w:bottom w:w="85" w:type="dxa"/>
                <w:right w:w="85" w:type="dxa"/>
              </w:tblCellMar>
            </w:tblPr>
            <w:tblGrid>
              <w:gridCol w:w="840"/>
              <w:gridCol w:w="1261"/>
              <w:gridCol w:w="724"/>
              <w:gridCol w:w="700"/>
              <w:gridCol w:w="700"/>
              <w:gridCol w:w="693"/>
            </w:tblGrid>
            <w:tr w14:paraId="0F4D42E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restart"/>
                  <w:shd w:val="clear" w:color="auto" w:fill="auto"/>
                  <w:vAlign w:val="center"/>
                </w:tcPr>
                <w:p w14:paraId="336E534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采购</w:t>
                  </w:r>
                </w:p>
                <w:p w14:paraId="39F35F2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内容</w:t>
                  </w:r>
                </w:p>
              </w:tc>
              <w:tc>
                <w:tcPr>
                  <w:tcW w:w="1985" w:type="dxa"/>
                  <w:gridSpan w:val="2"/>
                  <w:tcBorders>
                    <w:bottom w:val="single" w:color="auto" w:sz="2" w:space="0"/>
                  </w:tcBorders>
                  <w:shd w:val="clear" w:color="auto" w:fill="auto"/>
                  <w:vAlign w:val="center"/>
                </w:tcPr>
                <w:p w14:paraId="6E6109E2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标准配置</w:t>
                  </w:r>
                </w:p>
              </w:tc>
              <w:tc>
                <w:tcPr>
                  <w:tcW w:w="700" w:type="dxa"/>
                  <w:vMerge w:val="restart"/>
                  <w:shd w:val="clear" w:color="auto" w:fill="auto"/>
                  <w:vAlign w:val="center"/>
                </w:tcPr>
                <w:p w14:paraId="1D37E13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700" w:type="dxa"/>
                  <w:vMerge w:val="restart"/>
                  <w:shd w:val="clear" w:color="auto" w:fill="auto"/>
                  <w:vAlign w:val="center"/>
                </w:tcPr>
                <w:p w14:paraId="242D615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最高单价</w:t>
                  </w:r>
                </w:p>
                <w:p w14:paraId="3FDCCADF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限价</w:t>
                  </w:r>
                </w:p>
              </w:tc>
              <w:tc>
                <w:tcPr>
                  <w:tcW w:w="693" w:type="dxa"/>
                  <w:vMerge w:val="restart"/>
                  <w:shd w:val="clear" w:color="auto" w:fill="auto"/>
                  <w:vAlign w:val="center"/>
                </w:tcPr>
                <w:p w14:paraId="1E9E8960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是否允许</w:t>
                  </w:r>
                </w:p>
                <w:p w14:paraId="225B9C0E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进口产品</w:t>
                  </w:r>
                </w:p>
              </w:tc>
            </w:tr>
            <w:tr w14:paraId="723768B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shd w:val="clear" w:color="auto" w:fill="auto"/>
                  <w:vAlign w:val="center"/>
                </w:tcPr>
                <w:p w14:paraId="3075030D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48108C0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名称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790C320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700" w:type="dxa"/>
                  <w:vMerge w:val="continue"/>
                  <w:shd w:val="clear" w:color="auto" w:fill="auto"/>
                  <w:vAlign w:val="center"/>
                </w:tcPr>
                <w:p w14:paraId="296D2351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shd w:val="clear" w:color="auto" w:fill="auto"/>
                  <w:vAlign w:val="center"/>
                </w:tcPr>
                <w:p w14:paraId="7C13B76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shd w:val="clear" w:color="auto" w:fill="auto"/>
                  <w:vAlign w:val="center"/>
                </w:tcPr>
                <w:p w14:paraId="087355C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122D313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restart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5AC096C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手动双摇病床</w:t>
                  </w: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40138853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含ABS床头尾板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399C4913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1对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63A82896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30套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3F5DF935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2592</w:t>
                  </w:r>
                </w:p>
              </w:tc>
              <w:tc>
                <w:tcPr>
                  <w:tcW w:w="693" w:type="dxa"/>
                  <w:vMerge w:val="restart"/>
                  <w:tcBorders>
                    <w:top w:val="single" w:color="auto" w:sz="2" w:space="0"/>
                  </w:tcBorders>
                  <w:shd w:val="clear" w:color="auto" w:fill="auto"/>
                  <w:vAlign w:val="center"/>
                </w:tcPr>
                <w:p w14:paraId="6F6ACEB1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否</w:t>
                  </w:r>
                </w:p>
              </w:tc>
            </w:tr>
            <w:tr w14:paraId="628BC34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7E080C95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278D745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铝合金护栏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54C39B85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1对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53EA9260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558BC79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3631CFA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04FA5A7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15A0270F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3214234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输液架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78B2EFA5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1支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485EBD29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6F609516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49F7CB5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515ED57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278C26A6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239BCD9D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中控脚轮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47F4E5C3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1套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614D3ED7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0BF59ECF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6CB4C63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4E15756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2D01E3D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60D17A91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餐板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067BBF85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1张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7B47B440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72672D3F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3AA85D7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6CD847C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18221F17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6D4450B3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杂物架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6E4F3796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1个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3268B8E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535624C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34AECAA8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00122F3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5DD99017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21E8075C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引流挂勾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28F01FB0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4个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7CEAA769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4FD3A2A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2C381E5E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4415545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Merge w:val="continue"/>
                  <w:vAlign w:val="center"/>
                </w:tcPr>
                <w:p w14:paraId="659D7A21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tcBorders>
                    <w:top w:val="single" w:color="auto" w:sz="2" w:space="0"/>
                  </w:tcBorders>
                  <w:vAlign w:val="center"/>
                </w:tcPr>
                <w:p w14:paraId="3048024F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床头卡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</w:tcBorders>
                  <w:vAlign w:val="center"/>
                </w:tcPr>
                <w:p w14:paraId="7C46E37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1个</w:t>
                  </w: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1A43267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700" w:type="dxa"/>
                  <w:vMerge w:val="continue"/>
                  <w:vAlign w:val="center"/>
                </w:tcPr>
                <w:p w14:paraId="6478105A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  <w:tc>
                <w:tcPr>
                  <w:tcW w:w="693" w:type="dxa"/>
                  <w:vMerge w:val="continue"/>
                  <w:vAlign w:val="center"/>
                </w:tcPr>
                <w:p w14:paraId="66AD7A2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</w:p>
              </w:tc>
            </w:tr>
            <w:tr w14:paraId="031E83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85" w:type="dxa"/>
                  <w:left w:w="85" w:type="dxa"/>
                  <w:bottom w:w="85" w:type="dxa"/>
                  <w:right w:w="85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840" w:type="dxa"/>
                  <w:vAlign w:val="center"/>
                </w:tcPr>
                <w:p w14:paraId="6391C274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床垫</w:t>
                  </w:r>
                </w:p>
              </w:tc>
              <w:tc>
                <w:tcPr>
                  <w:tcW w:w="1261" w:type="dxa"/>
                  <w:tcBorders>
                    <w:top w:val="single" w:color="auto" w:sz="2" w:space="0"/>
                    <w:bottom w:val="single" w:color="auto" w:sz="2" w:space="0"/>
                  </w:tcBorders>
                  <w:shd w:val="clear" w:color="auto" w:fill="auto"/>
                  <w:vAlign w:val="center"/>
                </w:tcPr>
                <w:p w14:paraId="489EFD6B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配套床垫</w:t>
                  </w:r>
                </w:p>
              </w:tc>
              <w:tc>
                <w:tcPr>
                  <w:tcW w:w="724" w:type="dxa"/>
                  <w:tcBorders>
                    <w:top w:val="single" w:color="auto" w:sz="2" w:space="0"/>
                    <w:bottom w:val="single" w:color="auto" w:sz="2" w:space="0"/>
                  </w:tcBorders>
                  <w:vAlign w:val="center"/>
                </w:tcPr>
                <w:p w14:paraId="00CA6803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1张</w:t>
                  </w:r>
                </w:p>
              </w:tc>
              <w:tc>
                <w:tcPr>
                  <w:tcW w:w="700" w:type="dxa"/>
                  <w:vAlign w:val="center"/>
                </w:tcPr>
                <w:p w14:paraId="25C352F2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30张</w:t>
                  </w:r>
                </w:p>
              </w:tc>
              <w:tc>
                <w:tcPr>
                  <w:tcW w:w="700" w:type="dxa"/>
                  <w:vAlign w:val="center"/>
                </w:tcPr>
                <w:p w14:paraId="150669AE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208</w:t>
                  </w:r>
                </w:p>
              </w:tc>
              <w:tc>
                <w:tcPr>
                  <w:tcW w:w="693" w:type="dxa"/>
                  <w:vAlign w:val="center"/>
                </w:tcPr>
                <w:p w14:paraId="2A262EF1">
                  <w:pPr>
                    <w:pStyle w:val="3"/>
                    <w:jc w:val="both"/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t>否</w:t>
                  </w:r>
                </w:p>
              </w:tc>
            </w:tr>
          </w:tbl>
          <w:p w14:paraId="73E423A4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  <w:p w14:paraId="2C2373F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 病床规格（mm）：≥2150*900*480。</w:t>
            </w:r>
          </w:p>
          <w:p w14:paraId="068CA2EB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2、调节高度：背部调节角度：0°～80°（允许偏差±5°），腿部调节角度：0°～40°（允许偏差±5°）。</w:t>
            </w:r>
          </w:p>
          <w:p w14:paraId="10B2412D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3、床体承重：静态可载重≥240kg；背板动态载重≥150kg。</w:t>
            </w:r>
          </w:p>
          <w:p w14:paraId="53C6F02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4、病床床框</w:t>
            </w:r>
          </w:p>
          <w:p w14:paraId="1291BA3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采用30×60≥1.5mm矩型碳素钢管（或其他更优材质）焊接。</w:t>
            </w:r>
          </w:p>
          <w:p w14:paraId="6668217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5、背部床板</w:t>
            </w:r>
          </w:p>
          <w:p w14:paraId="2079971F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(1)采用双支撑卸力结构，一体冲压成型并具有加强筋功能背部具有手提式易清洁装置。</w:t>
            </w:r>
          </w:p>
          <w:p w14:paraId="040F009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(2)床体各部位连接根据人体力学设计，支点位置准确，焊接牢固，联动部位活动自如，无噪音。</w:t>
            </w:r>
          </w:p>
          <w:p w14:paraId="12415A65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6、病床面板</w:t>
            </w:r>
          </w:p>
          <w:p w14:paraId="14218327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采用≥1.2mm冷轧钢材（或其他更优材质）自动锟压设备锟压成型，整体一次冲孔辊压成型，每段面板两边自带辊压加强筋，带模压凹槽和透气孔，兼备防滑功能，表面无焊点，四角平滑完整；两头用ABS工程塑料封边，面板之间留有间隙槽。</w:t>
            </w:r>
          </w:p>
          <w:p w14:paraId="6A5039D4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7、涂层技术</w:t>
            </w:r>
          </w:p>
          <w:p w14:paraId="5E1BBE0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(1)金属表面采用自有喷涂线双重涂层技术：环氧树脂保护膜＋树脂粉末涂层，涂料具备抗菌、防霉作用。</w:t>
            </w:r>
          </w:p>
          <w:p w14:paraId="22943B7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(2)经电泳静电喷塑处理工艺。</w:t>
            </w:r>
          </w:p>
          <w:p w14:paraId="66685F4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(3)涂层附着力≤1级。</w:t>
            </w:r>
          </w:p>
          <w:p w14:paraId="7B94F7E4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(4)床体除经过去油、除锈、防锈、磷化等工艺外，还通过电泳底漆加粉末复式喷涂及高温电焗处理，内外全面喷涂，达到内外防锈效果。</w:t>
            </w:r>
          </w:p>
          <w:p w14:paraId="1FCA1D2F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(5)喷涂表面光洁，无露底、脱落、气泡、防霉耐褪色、涂层不脱落，不生锈。</w:t>
            </w:r>
          </w:p>
          <w:p w14:paraId="14A18C1F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8、摇杆传动系统</w:t>
            </w:r>
          </w:p>
          <w:p w14:paraId="085B56B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(1)摇杆为含油带双向到位无极限保护装置螺杆。</w:t>
            </w:r>
          </w:p>
          <w:p w14:paraId="147C5074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(2)采用全钢（或其他更优材质）传动离合器系统，无塑料结构，耐磨抗压，摇动畅顺，使用噪音小。</w:t>
            </w:r>
          </w:p>
          <w:p w14:paraId="1EEBE06A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9、床头尾板</w:t>
            </w:r>
          </w:p>
          <w:p w14:paraId="1800004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(1)采用弧线形设计,ABS工程塑料（或更优质材料）一次注塑成型。</w:t>
            </w:r>
          </w:p>
          <w:p w14:paraId="20BBC61D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(2)内嵌滚式防撞轮。</w:t>
            </w:r>
          </w:p>
          <w:p w14:paraId="7598F63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(3)床头尾板高510mm±10mm，宽1000 mm±10mm，底端厚65 mm±5mm，上面厚40 mm±5mm，中间装饰板为ABS材质。</w:t>
            </w:r>
          </w:p>
          <w:p w14:paraId="03FAA228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(4)床头板、床尾板采用金属插杆式（非挂钩式）固定于床框上，床头板、床尾板内置矩形碳钢钢管用以加固，与插杆进行配合；床头板、床尾板锁定开关为旋钮式，操作手柄为圆形，带有防滑凹槽。</w:t>
            </w:r>
          </w:p>
          <w:p w14:paraId="036BE055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(5)装饰板内锁结构非胶水连接，颜色可根据采购人要求调色，可粘贴卡通图片。</w:t>
            </w:r>
          </w:p>
          <w:p w14:paraId="0BCD686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(6)床尾板设置病人信息表卡槽，材料为透明亚克力，尺寸≥180*70mm。</w:t>
            </w:r>
          </w:p>
          <w:p w14:paraId="5A94CB0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10、床边护栏系统</w:t>
            </w:r>
          </w:p>
          <w:p w14:paraId="1939B5C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(1)床边护栏采用铝合金扶手磷化电泳硬化处理。</w:t>
            </w:r>
          </w:p>
          <w:p w14:paraId="1490E0B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(2)护栏长≥1430mm，高≥405mm。</w:t>
            </w:r>
          </w:p>
          <w:p w14:paraId="24CD36D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(3)护栏前后横向拉力≥80kg，并加设极限保险装置，加厚型开关上下座为锌合金材质。</w:t>
            </w:r>
          </w:p>
          <w:p w14:paraId="05C55D18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(4)锌合金开关厚度≥2.5mm。</w:t>
            </w:r>
          </w:p>
          <w:p w14:paraId="3FAA9F0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(5)护栏采用6支加强型钢质（或更优材质）支柱，直径≥Φ19×1.2mm厚管壁，支柱之间的间距≤230mm。</w:t>
            </w:r>
          </w:p>
          <w:p w14:paraId="0FA34EC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(6)具备卧式C型加强防晃装置，配以冷轧钢板护栏下座，厚度≥3.0mm。</w:t>
            </w:r>
          </w:p>
          <w:p w14:paraId="2BD5EDCB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(7)防夹手设计，可根据病人需要做升降调，单式按键开关，操作简便。</w:t>
            </w:r>
          </w:p>
          <w:p w14:paraId="4D19F09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bookmarkStart w:id="0" w:name="_Hlk61935963"/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11、脚轮</w:t>
            </w:r>
          </w:p>
          <w:p w14:paraId="7A47AA88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(1)采用质量合格的中控双面脚轮，直径≥125mm。</w:t>
            </w:r>
          </w:p>
          <w:p w14:paraId="6F3D6BEF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(2)全封闭自润滑轴承，防水、防尘。</w:t>
            </w:r>
          </w:p>
          <w:p w14:paraId="5622F442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(3)具备ABS防震安装结构，胎面采用TPR耐磨材料，静音平稳。</w:t>
            </w:r>
          </w:p>
          <w:p w14:paraId="6403F043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(4)中控刹车系统具有一键式刹车开关功能，一脚制动，四轮刹车；中控刹车由刹车连杆与刹车脚踏组成。</w:t>
            </w:r>
          </w:p>
          <w:bookmarkEnd w:id="0"/>
          <w:p w14:paraId="0A05F43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12、病床摇手</w:t>
            </w:r>
          </w:p>
          <w:p w14:paraId="761B40CA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(1)采用ABS工程塑料含件注塑成型，具备防滑、开合防夹手设计。</w:t>
            </w:r>
          </w:p>
          <w:p w14:paraId="171F4EC7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(2)摇手开关采用POM耐磨材料。</w:t>
            </w:r>
          </w:p>
          <w:p w14:paraId="30F7E01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(3)摇手柄长90mm（允许偏差±5mm），操作半径180mm（允许偏差±5mm）。</w:t>
            </w:r>
          </w:p>
          <w:p w14:paraId="35992473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(4)ABS手摇柄伸缩隐藏式拉杆系统，隐藏时跟床尾板平齐。</w:t>
            </w:r>
          </w:p>
          <w:p w14:paraId="03383F45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(5)可灵活调节患者背部、腿部体位升降，结实耐用，操作省力。</w:t>
            </w:r>
          </w:p>
          <w:p w14:paraId="5E6703D1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13、输液架插座/引流挂钩</w:t>
            </w:r>
          </w:p>
          <w:p w14:paraId="5E32B03E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(1)具备六个输液架插座，孔径≥19mm，由金属材质冲压成型，固定焊接插入。</w:t>
            </w:r>
          </w:p>
          <w:p w14:paraId="7299FEAB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(2)床体两侧配置移动引流袋挂钩，可实现多体位输液引流；</w:t>
            </w:r>
          </w:p>
          <w:p w14:paraId="15101FA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14、输液架</w:t>
            </w:r>
          </w:p>
          <w:p w14:paraId="6C8EDAEE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(1)带限位旋转功能输液架。</w:t>
            </w:r>
          </w:p>
          <w:p w14:paraId="4665336B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(2)不锈钢双段式可伸缩输液架，管直径≥19mm，前端Φ16*60mm椭形缩口，紧密配合不晃动。</w:t>
            </w:r>
          </w:p>
          <w:p w14:paraId="2F68A5E4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15、餐桌板</w:t>
            </w:r>
          </w:p>
          <w:p w14:paraId="3F3AFEED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(1)规格≥880-1050×320×25mm（±2%）；</w:t>
            </w:r>
          </w:p>
          <w:p w14:paraId="7712F9E6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(2)采用ABS工程塑料注塑成型，铝合金或更优材质伸缩杆；伸展摆放于护栏，可自由调节位置；收缩悬挂于床头尾板，面板硬度高，易清洁，可用水冲洗。</w:t>
            </w:r>
          </w:p>
          <w:p w14:paraId="40D4BB2F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16、杂物架</w:t>
            </w:r>
          </w:p>
          <w:p w14:paraId="1217F76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床底下方配置杂物架一个，方便患者放置杂物。</w:t>
            </w:r>
          </w:p>
          <w:p w14:paraId="3DC2B569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17、配套床垫</w:t>
            </w:r>
          </w:p>
          <w:p w14:paraId="12B342E7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(1)尺寸长宽与床相匹配；</w:t>
            </w:r>
          </w:p>
          <w:p w14:paraId="79BF90A3">
            <w:pPr>
              <w:pStyle w:val="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(2)材质：采用60mm高密度海棉+20mm天然机压环保椰棕+防水布套。</w:t>
            </w:r>
          </w:p>
          <w:p w14:paraId="33EF2FE4">
            <w:pPr>
              <w:pStyle w:val="3"/>
              <w:jc w:val="both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(3)外套：采用防水牛津布面料，经高温水消毒，防虫、抗菌等特殊处理，防止变形，具透气、透湿、防霉、耐磨作用，带拉链可灵活拆卸清洗，多折。</w:t>
            </w:r>
          </w:p>
        </w:tc>
        <w:tc>
          <w:tcPr>
            <w:tcW w:w="1222" w:type="dxa"/>
            <w:vAlign w:val="center"/>
          </w:tcPr>
          <w:p w14:paraId="193D8761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091A4CD4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2EE7FAE4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28540A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948" w:hRule="atLeast"/>
        </w:trPr>
        <w:tc>
          <w:tcPr>
            <w:tcW w:w="698" w:type="dxa"/>
            <w:vAlign w:val="center"/>
          </w:tcPr>
          <w:p w14:paraId="7F4016B6">
            <w:pPr>
              <w:spacing w:before="65" w:line="270" w:lineRule="exact"/>
              <w:jc w:val="both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415" w:type="dxa"/>
            <w:vAlign w:val="center"/>
          </w:tcPr>
          <w:p w14:paraId="7C3AE2B8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五、商务要求：</w:t>
            </w:r>
          </w:p>
          <w:p w14:paraId="7526C413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 交货及安装、验收要求</w:t>
            </w:r>
          </w:p>
          <w:p w14:paraId="61DCF731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1.1 交货地点：采购人指定地点（各科室内）。</w:t>
            </w:r>
          </w:p>
          <w:p w14:paraId="4F3941DE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1.2 交货期：中标供应商应当在中标通知书发出之日起30日内按招标文件及中标人的投标文件确定的事项与采购人签订合同，签订合同后收到采购人通知后 15 日内完成设备的送货、安装及调试。</w:t>
            </w:r>
          </w:p>
          <w:p w14:paraId="721F3E11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1.3 中标供应商须保证中标后所提供的设备为原装、全新合格的产品。</w:t>
            </w:r>
          </w:p>
          <w:p w14:paraId="6E5204B3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1.4 中标供应商负责派技术人员到现场进行安装调试，直至验收合格，安装调试所需费用应包含在响应总报价内；同时提供培训服务，必须保证需求科室操作人员融会贯通，培训所需费用全部包含在总报价内。</w:t>
            </w:r>
          </w:p>
          <w:p w14:paraId="30E82E9B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1.5 验收方式：按《小榄镇镇属医院医疗项目采购和验收管理规定》。</w:t>
            </w:r>
          </w:p>
          <w:p w14:paraId="04B5CBAE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1.6 响应供应商须在投标文件中提供承诺函，该承诺函应包含但不限于以下内容：承诺在中标后，自中标公告发布之日起五个工作日内，提交由设备制造厂商开具并加盖公章的合法有效经营资质、授权函原件（加盖公章）及售后服务承诺函原件（加盖公章）。</w:t>
            </w:r>
          </w:p>
          <w:p w14:paraId="5BE2E9D6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 售后服务要求</w:t>
            </w:r>
          </w:p>
          <w:p w14:paraId="4966063C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2.1 中标供应商必须在中国境内有售后服务机构，并附有售后服务能力说明。</w:t>
            </w:r>
          </w:p>
          <w:p w14:paraId="0D7E9C58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2.2 中标供应商须提供设备原厂质保（设备原厂质量保修范围和保修期）：手动双摇病床和床垫至少 3年。</w:t>
            </w:r>
          </w:p>
          <w:p w14:paraId="0A0A7258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2.3 在售后期内，中标供应商在接到用户的维修通知，响应时间为半小时内，工程师到达现场时间为4小时内，排除故障时限为到达现场后8小时内。</w:t>
            </w:r>
          </w:p>
          <w:p w14:paraId="042E748B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2.4 如果产品故障在检修12小时后仍无法排除，中标供应商应在24小时内提供不低于故障产品规格型号档次的备用产品供采购人使用，直至故障产品修复。</w:t>
            </w:r>
          </w:p>
          <w:p w14:paraId="2CFBF0D2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3. 付款方式</w:t>
            </w:r>
          </w:p>
          <w:p w14:paraId="42727527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3.1 分两期支付。第一期：到货后经双方验收人员书面确认验收合格后，成交供应商开具全额有效增值税普通发票（含税），采购人6个月内支付合同总额的 95%；第二期：合同总金额的 5%的款项在货物验收合格质保期满后一次性无息支付。</w:t>
            </w:r>
          </w:p>
          <w:p w14:paraId="1B96DA0B">
            <w:pPr>
              <w:widowControl w:val="0"/>
              <w:spacing w:line="240" w:lineRule="exact"/>
              <w:jc w:val="both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3.2 成交供应商须开具与投标文件中报价人名称、响应报价一致的有效全额增值税普通发票。</w:t>
            </w:r>
          </w:p>
        </w:tc>
        <w:tc>
          <w:tcPr>
            <w:tcW w:w="1222" w:type="dxa"/>
            <w:vAlign w:val="center"/>
          </w:tcPr>
          <w:p w14:paraId="400EB205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4379F7B4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0ACB41FD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52B40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59" w:hRule="atLeast"/>
        </w:trPr>
        <w:tc>
          <w:tcPr>
            <w:tcW w:w="698" w:type="dxa"/>
            <w:vAlign w:val="center"/>
          </w:tcPr>
          <w:p w14:paraId="5E6150C9">
            <w:pPr>
              <w:spacing w:before="65" w:line="270" w:lineRule="exact"/>
              <w:jc w:val="both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6</w:t>
            </w:r>
          </w:p>
        </w:tc>
        <w:tc>
          <w:tcPr>
            <w:tcW w:w="5415" w:type="dxa"/>
            <w:vAlign w:val="center"/>
          </w:tcPr>
          <w:p w14:paraId="504FA06B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六、报价方式</w:t>
            </w:r>
          </w:p>
          <w:p w14:paraId="609ABDE5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1. 供应商应依据《技术参数及配置要求》中最高单价限价报出一个统一的响应下浮率，下浮率取值范围为0%（含）至50%（含），超出此范围的报价将被视为无效响应。</w:t>
            </w:r>
          </w:p>
          <w:p w14:paraId="605FAD99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2. 结算公式：结算价格 = 单项最高单价限价×（1-成交下浮率）×实际采购数量，结果四</w:t>
            </w:r>
          </w:p>
          <w:p w14:paraId="30ECC541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舍五入保留至小数点后两位。该单价为合同期间的最终价格，合同期内不随市场同类商品价格波动进行调整。</w:t>
            </w:r>
          </w:p>
          <w:p w14:paraId="67ECDD7B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4. 结算时以实际送货量为准。</w:t>
            </w:r>
          </w:p>
          <w:p w14:paraId="454C7D2A">
            <w:pPr>
              <w:widowControl w:val="0"/>
              <w:spacing w:line="240" w:lineRule="exact"/>
              <w:jc w:val="both"/>
              <w:rPr>
                <w:rFonts w:ascii="宋体" w:hAnsi="宋体" w:eastAsia="宋体" w:cs="宋体"/>
                <w:color w:val="auto"/>
                <w:sz w:val="18"/>
                <w:szCs w:val="1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5. 报价次数：1次。</w:t>
            </w:r>
            <w:bookmarkStart w:id="1" w:name="_GoBack"/>
            <w:bookmarkEnd w:id="1"/>
          </w:p>
        </w:tc>
        <w:tc>
          <w:tcPr>
            <w:tcW w:w="1222" w:type="dxa"/>
            <w:vAlign w:val="center"/>
          </w:tcPr>
          <w:p w14:paraId="0ECC2677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79CBAC54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7623F447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290DFD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79" w:hRule="atLeast"/>
        </w:trPr>
        <w:tc>
          <w:tcPr>
            <w:tcW w:w="698" w:type="dxa"/>
            <w:vAlign w:val="center"/>
          </w:tcPr>
          <w:p w14:paraId="2A8B819C">
            <w:pPr>
              <w:spacing w:before="65" w:line="270" w:lineRule="exact"/>
              <w:jc w:val="both"/>
              <w:rPr>
                <w:rFonts w:hint="default" w:ascii="宋体" w:hAnsi="宋体" w:eastAsia="宋体" w:cs="宋体"/>
                <w:position w:val="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val="en-US" w:eastAsia="zh-CN"/>
              </w:rPr>
              <w:t>7</w:t>
            </w:r>
          </w:p>
        </w:tc>
        <w:tc>
          <w:tcPr>
            <w:tcW w:w="5415" w:type="dxa"/>
            <w:vAlign w:val="center"/>
          </w:tcPr>
          <w:p w14:paraId="618F796A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七、评审方式</w:t>
            </w:r>
          </w:p>
          <w:p w14:paraId="140A8F52">
            <w:pPr>
              <w:widowControl w:val="0"/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 w:bidi="ar"/>
              </w:rPr>
              <w:t>本项目的评审采用最低价法（报价格式详见响应文件模板中（一）报价单），在符合项目需求的前提下，选取最低价格为拟中选供应商，如有两家或以上供应商相同报价时，以平台响应报名时间更早者为优先。</w:t>
            </w:r>
          </w:p>
        </w:tc>
        <w:tc>
          <w:tcPr>
            <w:tcW w:w="1222" w:type="dxa"/>
            <w:vAlign w:val="center"/>
          </w:tcPr>
          <w:p w14:paraId="3CC5F3B6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215" w:type="dxa"/>
            <w:vAlign w:val="center"/>
          </w:tcPr>
          <w:p w14:paraId="3ECDB715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10" w:type="dxa"/>
            <w:vAlign w:val="center"/>
          </w:tcPr>
          <w:p w14:paraId="25829840">
            <w:pPr>
              <w:pStyle w:val="12"/>
              <w:jc w:val="both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4C88AA66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12316B45">
      <w:pPr>
        <w:spacing w:before="41" w:line="227" w:lineRule="auto"/>
        <w:jc w:val="both"/>
        <w:rPr>
          <w:rFonts w:hint="default" w:ascii="宋体" w:hAnsi="宋体" w:eastAsia="宋体" w:cs="宋体"/>
          <w:b/>
          <w:bCs/>
          <w:spacing w:val="5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四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近三年同类规模业绩相关证明文件，须提供合同关键页复印件（加盖公章）。</w:t>
      </w:r>
    </w:p>
    <w:p w14:paraId="1D14C0F7">
      <w:pPr>
        <w:spacing w:before="41" w:line="227" w:lineRule="auto"/>
        <w:jc w:val="both"/>
        <w:rPr>
          <w:rFonts w:ascii="宋体" w:hAnsi="宋体" w:eastAsia="宋体" w:cs="宋体"/>
          <w:sz w:val="20"/>
          <w:szCs w:val="20"/>
          <w:lang w:eastAsia="zh-CN"/>
        </w:rPr>
      </w:pPr>
    </w:p>
    <w:p w14:paraId="7029066B">
      <w:pPr>
        <w:pStyle w:val="3"/>
        <w:spacing w:line="260" w:lineRule="auto"/>
        <w:rPr>
          <w:lang w:eastAsia="zh-CN"/>
        </w:rPr>
      </w:pPr>
    </w:p>
    <w:p w14:paraId="2CD238D2">
      <w:pPr>
        <w:pStyle w:val="3"/>
        <w:spacing w:line="261" w:lineRule="auto"/>
        <w:rPr>
          <w:lang w:eastAsia="zh-CN"/>
        </w:rPr>
      </w:pPr>
    </w:p>
    <w:p w14:paraId="02EAC6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after="0" w:afterLines="50" w:line="212" w:lineRule="auto"/>
        <w:ind w:left="3572"/>
        <w:textAlignment w:val="baseline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业绩一览表</w:t>
      </w:r>
    </w:p>
    <w:tbl>
      <w:tblPr>
        <w:tblStyle w:val="11"/>
        <w:tblW w:w="9191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471"/>
      </w:tblGrid>
      <w:tr w14:paraId="5F212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</w:tcPr>
          <w:p w14:paraId="5DB97775">
            <w:pPr>
              <w:spacing w:before="86" w:line="229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</w:tcPr>
          <w:p w14:paraId="36A33F95">
            <w:pPr>
              <w:spacing w:before="87" w:line="228" w:lineRule="auto"/>
              <w:ind w:left="5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</w:tcPr>
          <w:p w14:paraId="0DF3CBF5">
            <w:pPr>
              <w:spacing w:before="87" w:line="228" w:lineRule="auto"/>
              <w:ind w:left="57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</w:tcPr>
          <w:p w14:paraId="15EC4D6E">
            <w:pPr>
              <w:spacing w:before="86" w:line="228" w:lineRule="auto"/>
              <w:ind w:left="44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</w:tcPr>
          <w:p w14:paraId="302CE52B">
            <w:pPr>
              <w:spacing w:before="86" w:line="226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合同总价</w:t>
            </w:r>
          </w:p>
        </w:tc>
        <w:tc>
          <w:tcPr>
            <w:tcW w:w="147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</w:tcPr>
          <w:p w14:paraId="0D1B9475">
            <w:pPr>
              <w:spacing w:before="87" w:line="228" w:lineRule="auto"/>
              <w:ind w:left="3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签约日期</w:t>
            </w:r>
          </w:p>
        </w:tc>
      </w:tr>
      <w:tr w14:paraId="516DF6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0C86F914">
            <w:pPr>
              <w:pStyle w:val="12"/>
            </w:pPr>
          </w:p>
        </w:tc>
        <w:tc>
          <w:tcPr>
            <w:tcW w:w="1854" w:type="dxa"/>
          </w:tcPr>
          <w:p w14:paraId="43601105">
            <w:pPr>
              <w:pStyle w:val="12"/>
            </w:pPr>
          </w:p>
        </w:tc>
        <w:tc>
          <w:tcPr>
            <w:tcW w:w="1986" w:type="dxa"/>
          </w:tcPr>
          <w:p w14:paraId="6311272B">
            <w:pPr>
              <w:pStyle w:val="12"/>
            </w:pPr>
          </w:p>
        </w:tc>
        <w:tc>
          <w:tcPr>
            <w:tcW w:w="1722" w:type="dxa"/>
          </w:tcPr>
          <w:p w14:paraId="3768DC7F">
            <w:pPr>
              <w:pStyle w:val="12"/>
            </w:pPr>
          </w:p>
        </w:tc>
        <w:tc>
          <w:tcPr>
            <w:tcW w:w="1191" w:type="dxa"/>
          </w:tcPr>
          <w:p w14:paraId="2305DC57">
            <w:pPr>
              <w:pStyle w:val="12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1DC4DC5D">
            <w:pPr>
              <w:pStyle w:val="12"/>
            </w:pPr>
          </w:p>
        </w:tc>
      </w:tr>
      <w:tr w14:paraId="3F690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0016E6C7">
            <w:pPr>
              <w:pStyle w:val="12"/>
            </w:pPr>
          </w:p>
        </w:tc>
        <w:tc>
          <w:tcPr>
            <w:tcW w:w="1854" w:type="dxa"/>
          </w:tcPr>
          <w:p w14:paraId="26C3F9DC">
            <w:pPr>
              <w:pStyle w:val="12"/>
            </w:pPr>
          </w:p>
        </w:tc>
        <w:tc>
          <w:tcPr>
            <w:tcW w:w="1986" w:type="dxa"/>
          </w:tcPr>
          <w:p w14:paraId="0C8FC5A6">
            <w:pPr>
              <w:pStyle w:val="12"/>
            </w:pPr>
          </w:p>
        </w:tc>
        <w:tc>
          <w:tcPr>
            <w:tcW w:w="1722" w:type="dxa"/>
          </w:tcPr>
          <w:p w14:paraId="036176B2">
            <w:pPr>
              <w:pStyle w:val="12"/>
            </w:pPr>
          </w:p>
        </w:tc>
        <w:tc>
          <w:tcPr>
            <w:tcW w:w="1191" w:type="dxa"/>
          </w:tcPr>
          <w:p w14:paraId="69BDA775">
            <w:pPr>
              <w:pStyle w:val="12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74EE419A">
            <w:pPr>
              <w:pStyle w:val="12"/>
            </w:pPr>
          </w:p>
        </w:tc>
      </w:tr>
      <w:tr w14:paraId="362C34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</w:tcPr>
          <w:p w14:paraId="6AD9ADC2">
            <w:pPr>
              <w:pStyle w:val="12"/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40B04108">
            <w:pPr>
              <w:pStyle w:val="12"/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4C40CFD8">
            <w:pPr>
              <w:pStyle w:val="12"/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4F595AE5">
            <w:pPr>
              <w:pStyle w:val="12"/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7692FA63">
            <w:pPr>
              <w:pStyle w:val="12"/>
            </w:pPr>
          </w:p>
        </w:tc>
        <w:tc>
          <w:tcPr>
            <w:tcW w:w="1471" w:type="dxa"/>
            <w:tcBorders>
              <w:bottom w:val="single" w:color="000000" w:sz="2" w:space="0"/>
              <w:right w:val="single" w:color="000000" w:sz="2" w:space="0"/>
            </w:tcBorders>
          </w:tcPr>
          <w:p w14:paraId="48AC055B">
            <w:pPr>
              <w:pStyle w:val="12"/>
            </w:pPr>
          </w:p>
        </w:tc>
      </w:tr>
    </w:tbl>
    <w:p w14:paraId="11E10ED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28" w:lineRule="auto"/>
        <w:ind w:left="23"/>
        <w:textAlignment w:val="baseline"/>
        <w:outlineLvl w:val="1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必须如实填写此表格。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（此表可延长）</w:t>
      </w:r>
    </w:p>
    <w:p w14:paraId="724C4D81">
      <w:pPr>
        <w:pStyle w:val="3"/>
        <w:spacing w:line="270" w:lineRule="auto"/>
        <w:rPr>
          <w:lang w:eastAsia="zh-CN"/>
        </w:rPr>
      </w:pPr>
    </w:p>
    <w:p w14:paraId="0D453BE2">
      <w:pPr>
        <w:pStyle w:val="3"/>
        <w:spacing w:line="270" w:lineRule="auto"/>
        <w:rPr>
          <w:lang w:eastAsia="zh-CN"/>
        </w:rPr>
      </w:pPr>
    </w:p>
    <w:p w14:paraId="7263ABBE">
      <w:pPr>
        <w:pStyle w:val="3"/>
        <w:spacing w:line="270" w:lineRule="auto"/>
        <w:rPr>
          <w:lang w:eastAsia="zh-CN"/>
        </w:rPr>
      </w:pPr>
    </w:p>
    <w:p w14:paraId="1E0368E6">
      <w:pPr>
        <w:pStyle w:val="3"/>
        <w:spacing w:line="270" w:lineRule="auto"/>
        <w:rPr>
          <w:lang w:eastAsia="zh-CN"/>
        </w:rPr>
      </w:pPr>
    </w:p>
    <w:p w14:paraId="4F1157A5">
      <w:pPr>
        <w:pStyle w:val="3"/>
        <w:spacing w:line="270" w:lineRule="auto"/>
        <w:rPr>
          <w:lang w:eastAsia="zh-CN"/>
        </w:rPr>
      </w:pPr>
    </w:p>
    <w:p w14:paraId="66CFC844">
      <w:pPr>
        <w:pStyle w:val="3"/>
        <w:spacing w:line="270" w:lineRule="auto"/>
        <w:rPr>
          <w:lang w:eastAsia="zh-CN"/>
        </w:rPr>
      </w:pPr>
    </w:p>
    <w:p w14:paraId="480F5979">
      <w:pPr>
        <w:pStyle w:val="3"/>
        <w:spacing w:line="270" w:lineRule="auto"/>
        <w:rPr>
          <w:lang w:eastAsia="zh-CN"/>
        </w:rPr>
      </w:pPr>
    </w:p>
    <w:p w14:paraId="799DCC83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35A09637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3FCD7951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05D76151">
      <w:pPr>
        <w:spacing w:before="162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名称（盖章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>）：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      </w:t>
      </w:r>
    </w:p>
    <w:p w14:paraId="5B5A1280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73AB7F11">
      <w:pPr>
        <w:spacing w:before="65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法定代表人（或法定代表人授权代表）签字：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</w:t>
      </w:r>
    </w:p>
    <w:p w14:paraId="505ED41D">
      <w:pPr>
        <w:spacing w:before="260" w:line="228" w:lineRule="auto"/>
        <w:ind w:left="5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日期：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年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月</w:t>
      </w:r>
      <w:r>
        <w:rPr>
          <w:rFonts w:ascii="宋体" w:hAnsi="宋体" w:eastAsia="宋体" w:cs="宋体"/>
          <w:spacing w:val="21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</w:t>
      </w:r>
    </w:p>
    <w:p w14:paraId="7B370B04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21C9D04">
      <w:pPr>
        <w:spacing w:before="41" w:line="227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承诺函（格式自拟，加盖公章），包括但不限于：①承诺在中标后，自中标公告发布之日起五个工作日内，提交由设备制造厂商开具并加盖公章的合法有效经营资质、授权函原件（加盖公章）及售后服务承诺函原件；②须承诺提供设备原厂质保（设备原厂质量保修范围和保修期）：手动双摇病床和床垫至少3年。</w:t>
      </w:r>
    </w:p>
    <w:p w14:paraId="71DCF03A">
      <w:pPr>
        <w:rPr>
          <w:rFonts w:hint="default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default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br w:type="page"/>
      </w:r>
    </w:p>
    <w:p w14:paraId="37C98485">
      <w:pPr>
        <w:spacing w:before="41" w:line="227" w:lineRule="auto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六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、项目整体实施方案（格式自拟）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包括但不限于：项目服务方案、技术服务方案、售后服务方案等。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6D0D903D">
      <w:pPr>
        <w:rPr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十七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包括但不限于：中小企业声明函等相关证明文件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格式自拟，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如无、可删）</w:t>
      </w:r>
    </w:p>
    <w:sectPr>
      <w:pgSz w:w="11900" w:h="16840"/>
      <w:pgMar w:top="907" w:right="1247" w:bottom="907" w:left="1247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0E95EB0"/>
    <w:rsid w:val="01E26336"/>
    <w:rsid w:val="04FC5596"/>
    <w:rsid w:val="05D250F6"/>
    <w:rsid w:val="06503EB0"/>
    <w:rsid w:val="06984FFC"/>
    <w:rsid w:val="07D772C8"/>
    <w:rsid w:val="07DE22A7"/>
    <w:rsid w:val="087E15BA"/>
    <w:rsid w:val="091F34DF"/>
    <w:rsid w:val="0A1B60BD"/>
    <w:rsid w:val="0A382368"/>
    <w:rsid w:val="0E881903"/>
    <w:rsid w:val="0E9C78E3"/>
    <w:rsid w:val="10526AE6"/>
    <w:rsid w:val="126C008B"/>
    <w:rsid w:val="13666B31"/>
    <w:rsid w:val="16DD5993"/>
    <w:rsid w:val="18C80C4B"/>
    <w:rsid w:val="19F43F2B"/>
    <w:rsid w:val="1E371C23"/>
    <w:rsid w:val="1E9D0594"/>
    <w:rsid w:val="1EA21FDF"/>
    <w:rsid w:val="1EDF5020"/>
    <w:rsid w:val="20607AD1"/>
    <w:rsid w:val="20BE2A44"/>
    <w:rsid w:val="22732647"/>
    <w:rsid w:val="22E457E0"/>
    <w:rsid w:val="231E7145"/>
    <w:rsid w:val="23487B36"/>
    <w:rsid w:val="2695736E"/>
    <w:rsid w:val="26B446CD"/>
    <w:rsid w:val="277D730D"/>
    <w:rsid w:val="281105FD"/>
    <w:rsid w:val="28580DF7"/>
    <w:rsid w:val="2DC70669"/>
    <w:rsid w:val="2F234D03"/>
    <w:rsid w:val="36073C0B"/>
    <w:rsid w:val="3B082DE1"/>
    <w:rsid w:val="3EB26D88"/>
    <w:rsid w:val="40671DCB"/>
    <w:rsid w:val="40C03509"/>
    <w:rsid w:val="433379C8"/>
    <w:rsid w:val="44365E73"/>
    <w:rsid w:val="45D45685"/>
    <w:rsid w:val="45DB6060"/>
    <w:rsid w:val="4A4831FA"/>
    <w:rsid w:val="4B5C6521"/>
    <w:rsid w:val="4C030C69"/>
    <w:rsid w:val="4CCB580D"/>
    <w:rsid w:val="50573AD2"/>
    <w:rsid w:val="5178029F"/>
    <w:rsid w:val="54B97F1A"/>
    <w:rsid w:val="553716BC"/>
    <w:rsid w:val="556A1102"/>
    <w:rsid w:val="56D71548"/>
    <w:rsid w:val="5774562F"/>
    <w:rsid w:val="58514D81"/>
    <w:rsid w:val="58EC63BF"/>
    <w:rsid w:val="5E5E5F4E"/>
    <w:rsid w:val="6BAB3701"/>
    <w:rsid w:val="71414F67"/>
    <w:rsid w:val="72507210"/>
    <w:rsid w:val="73052C46"/>
    <w:rsid w:val="73252077"/>
    <w:rsid w:val="7372318C"/>
    <w:rsid w:val="75E87F4B"/>
    <w:rsid w:val="790F76AC"/>
    <w:rsid w:val="7B1212E0"/>
    <w:rsid w:val="7EA366EB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5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semiHidden/>
    <w:qFormat/>
    <w:uiPriority w:val="0"/>
  </w:style>
  <w:style w:type="character" w:customStyle="1" w:styleId="13">
    <w:name w:val="正文文本缩进 2 Char"/>
    <w:link w:val="5"/>
    <w:autoRedefine/>
    <w:qFormat/>
    <w:uiPriority w:val="0"/>
    <w:rPr>
      <w:szCs w:val="20"/>
    </w:rPr>
  </w:style>
  <w:style w:type="character" w:customStyle="1" w:styleId="14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6">
    <w:name w:val="List Paragraph"/>
    <w:basedOn w:val="1"/>
    <w:qFormat/>
    <w:uiPriority w:val="34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17">
    <w:name w:val="图"/>
    <w:basedOn w:val="1"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22</Pages>
  <Words>7093</Words>
  <Characters>7526</Characters>
  <Lines>55</Lines>
  <Paragraphs>15</Paragraphs>
  <TotalTime>0</TotalTime>
  <ScaleCrop>false</ScaleCrop>
  <LinksUpToDate>false</LinksUpToDate>
  <CharactersWithSpaces>7978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dcterms:modified xsi:type="dcterms:W3CDTF">2026-07-20T10:18:57Z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82EF3B5B713A461EAD7CC1D03AFF31E6_13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