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中山市东升医院更换主机填料冷冻油及9楼918房空调设备项目（二次）</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3CA08C93">
      <w:pPr>
        <w:pStyle w:val="9"/>
      </w:pPr>
    </w:p>
    <w:tbl>
      <w:tblPr>
        <w:tblStyle w:val="10"/>
        <w:tblW w:w="93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531"/>
        <w:gridCol w:w="2805"/>
        <w:gridCol w:w="298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22" w:hRule="atLeast"/>
          <w:jc w:val="center"/>
        </w:trPr>
        <w:tc>
          <w:tcPr>
            <w:tcW w:w="3531"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805" w:type="dxa"/>
            <w:vAlign w:val="center"/>
          </w:tcPr>
          <w:p w14:paraId="612F4846">
            <w:pPr>
              <w:spacing w:before="40" w:line="219" w:lineRule="auto"/>
              <w:jc w:val="center"/>
              <w:rPr>
                <w:rFonts w:hint="eastAsia"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下浮率报价</w:t>
            </w:r>
          </w:p>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98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087" w:hRule="atLeast"/>
          <w:jc w:val="center"/>
        </w:trPr>
        <w:tc>
          <w:tcPr>
            <w:tcW w:w="3531" w:type="dxa"/>
            <w:vAlign w:val="center"/>
          </w:tcPr>
          <w:p w14:paraId="15FE9704">
            <w:pPr>
              <w:ind w:left="142" w:right="108"/>
              <w:jc w:val="center"/>
              <w:rPr>
                <w:rFonts w:hint="default" w:ascii="宋体" w:hAnsi="宋体" w:eastAsia="宋体" w:cs="宋体"/>
                <w:sz w:val="24"/>
                <w:szCs w:val="24"/>
                <w:lang w:val="en-US" w:eastAsia="zh-CN"/>
              </w:rPr>
            </w:pPr>
            <w:r>
              <w:rPr>
                <w:rFonts w:hint="eastAsia" w:ascii="宋体" w:hAnsi="宋体" w:eastAsia="宋体" w:cs="宋体"/>
                <w:b/>
                <w:bCs/>
                <w:spacing w:val="2"/>
                <w:sz w:val="24"/>
                <w:szCs w:val="24"/>
                <w:lang w:val="en-US" w:eastAsia="zh-CN"/>
              </w:rPr>
              <w:t>中山市东升医院更换主机填料冷冻油及9楼918房空调设备项目（二次）</w:t>
            </w:r>
          </w:p>
        </w:tc>
        <w:tc>
          <w:tcPr>
            <w:tcW w:w="2805"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989" w:type="dxa"/>
            <w:vAlign w:val="center"/>
          </w:tcPr>
          <w:p w14:paraId="1F9EC99D">
            <w:pPr>
              <w:pStyle w:val="3"/>
              <w:jc w:val="center"/>
              <w:rPr>
                <w:rFonts w:hint="default"/>
                <w:lang w:val="en-US" w:eastAsia="zh-CN"/>
              </w:rPr>
            </w:pPr>
            <w:r>
              <w:rPr>
                <w:rFonts w:hint="eastAsia"/>
                <w:b/>
                <w:bCs/>
                <w:lang w:val="en-US" w:eastAsia="zh-CN"/>
              </w:rPr>
              <w:t>附项目清单</w:t>
            </w:r>
          </w:p>
        </w:tc>
      </w:tr>
    </w:tbl>
    <w:p w14:paraId="1CE97BEE">
      <w:pPr>
        <w:pStyle w:val="3"/>
        <w:spacing w:line="371" w:lineRule="auto"/>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732D2139">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highlight w:val="none"/>
          <w:lang w:eastAsia="zh-CN"/>
        </w:rPr>
      </w:pPr>
      <w:r>
        <w:rPr>
          <w:rFonts w:hint="eastAsia" w:ascii="宋体" w:hAnsi="宋体" w:eastAsia="宋体" w:cs="宋体"/>
          <w:b/>
          <w:bCs/>
          <w:spacing w:val="7"/>
          <w:sz w:val="20"/>
          <w:szCs w:val="20"/>
          <w:highlight w:val="none"/>
          <w:lang w:val="en-US" w:eastAsia="zh-CN"/>
        </w:rPr>
        <w:t>本次响应报价应为人民币含税全包价，包括价格、包装费、运杂费、保险费、卸车费、安装费、人工费、税金及响应供应商认为需要的其他费用等。</w:t>
      </w:r>
    </w:p>
    <w:p w14:paraId="548A54E9">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highlight w:val="none"/>
          <w:lang w:eastAsia="zh-CN"/>
        </w:rPr>
      </w:pPr>
      <w:r>
        <w:rPr>
          <w:rFonts w:hint="eastAsia" w:ascii="宋体" w:hAnsi="宋体" w:eastAsia="宋体" w:cs="宋体"/>
          <w:b/>
          <w:bCs/>
          <w:spacing w:val="7"/>
          <w:sz w:val="20"/>
          <w:szCs w:val="20"/>
          <w:highlight w:val="none"/>
          <w:lang w:val="en-US" w:eastAsia="zh-CN"/>
        </w:rPr>
        <w:t>供应商根据项目预算金额下浮并附项目清单报价，下浮率取值范围为0%（含）至50%（含），超出取值范围按无效报价处理。</w:t>
      </w:r>
    </w:p>
    <w:p w14:paraId="366B45AC">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highlight w:val="none"/>
          <w:lang w:eastAsia="zh-CN"/>
        </w:rPr>
      </w:pPr>
      <w:r>
        <w:rPr>
          <w:rFonts w:hint="eastAsia" w:ascii="宋体" w:hAnsi="宋体" w:eastAsia="宋体" w:cs="宋体"/>
          <w:b/>
          <w:bCs/>
          <w:spacing w:val="7"/>
          <w:sz w:val="20"/>
          <w:szCs w:val="20"/>
          <w:highlight w:val="none"/>
          <w:lang w:val="en-US" w:eastAsia="zh-CN"/>
        </w:rPr>
        <w:t>计算方式为：结算价格＝项目预算金额×（1-成交下浮率）。</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highlight w:val="none"/>
          <w:lang w:val="en-US" w:eastAsia="zh-CN"/>
        </w:rPr>
        <w:t>本项目的评审采用最低价法（报价格式详见响应文件模板中（一）报价单），在符合项目需求的前提下，选取最低价格为拟中选供应商，如有两家或以上供应商相同报价时，以平台响应报名时间更早者为优先。</w:t>
      </w:r>
    </w:p>
    <w:p w14:paraId="21B1F009">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default"/>
          <w:lang w:val="en-US" w:eastAsia="zh-CN"/>
        </w:rPr>
      </w:pPr>
      <w:r>
        <w:rPr>
          <w:rFonts w:hint="eastAsia" w:hAnsi="宋体" w:cs="宋体"/>
          <w:b/>
          <w:bCs/>
          <w:sz w:val="20"/>
          <w:szCs w:val="20"/>
          <w:lang w:val="en-US" w:eastAsia="zh-CN"/>
        </w:rPr>
        <w:t>5. 报价次数：1次。</w:t>
      </w:r>
    </w:p>
    <w:p w14:paraId="5E5536D4">
      <w:pPr>
        <w:spacing w:before="79" w:line="219" w:lineRule="auto"/>
        <w:ind w:left="122"/>
        <w:rPr>
          <w:rFonts w:ascii="宋体" w:hAnsi="宋体" w:eastAsia="宋体" w:cs="宋体"/>
          <w:spacing w:val="2"/>
          <w:sz w:val="24"/>
          <w:szCs w:val="24"/>
          <w:lang w:eastAsia="zh-CN"/>
        </w:rPr>
      </w:pPr>
    </w:p>
    <w:p w14:paraId="60320B2F">
      <w:pPr>
        <w:spacing w:before="79" w:line="219" w:lineRule="auto"/>
        <w:ind w:left="122"/>
        <w:rPr>
          <w:rFonts w:ascii="宋体" w:hAnsi="宋体" w:eastAsia="宋体" w:cs="宋体"/>
          <w:spacing w:val="2"/>
          <w:sz w:val="24"/>
          <w:szCs w:val="24"/>
          <w:lang w:eastAsia="zh-CN"/>
        </w:rPr>
      </w:pPr>
    </w:p>
    <w:p w14:paraId="135A0D05">
      <w:pPr>
        <w:pStyle w:val="9"/>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48CDC16C">
      <w:pPr>
        <w:spacing w:before="41" w:line="228" w:lineRule="auto"/>
        <w:ind w:left="26"/>
        <w:outlineLvl w:val="0"/>
        <w:rPr>
          <w:rFonts w:hint="eastAsia"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项目清单单价报价：</w:t>
      </w:r>
    </w:p>
    <w:tbl>
      <w:tblPr>
        <w:tblStyle w:val="6"/>
        <w:tblW w:w="4898" w:type="pct"/>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57" w:type="dxa"/>
          <w:left w:w="85" w:type="dxa"/>
          <w:bottom w:w="57" w:type="dxa"/>
          <w:right w:w="85" w:type="dxa"/>
        </w:tblCellMar>
      </w:tblPr>
      <w:tblGrid>
        <w:gridCol w:w="718"/>
        <w:gridCol w:w="4638"/>
        <w:gridCol w:w="810"/>
        <w:gridCol w:w="1202"/>
        <w:gridCol w:w="1456"/>
      </w:tblGrid>
      <w:tr w14:paraId="658C2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18F8E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snapToGrid/>
                <w:kern w:val="2"/>
                <w:sz w:val="20"/>
                <w:szCs w:val="20"/>
                <w:lang w:val="en-US" w:eastAsia="zh-CN"/>
              </w:rPr>
            </w:pPr>
            <w:r>
              <w:rPr>
                <w:rFonts w:hint="eastAsia" w:ascii="宋体" w:hAnsi="宋体" w:eastAsia="宋体" w:cs="宋体"/>
                <w:b/>
                <w:bCs/>
                <w:snapToGrid/>
                <w:kern w:val="2"/>
                <w:sz w:val="20"/>
                <w:szCs w:val="20"/>
                <w:lang w:val="en-US" w:eastAsia="zh-CN"/>
              </w:rPr>
              <w:t>序号</w:t>
            </w:r>
          </w:p>
        </w:tc>
        <w:tc>
          <w:tcPr>
            <w:tcW w:w="262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CDFB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snapToGrid/>
                <w:kern w:val="2"/>
                <w:sz w:val="20"/>
                <w:szCs w:val="20"/>
                <w:lang w:val="en-US" w:eastAsia="zh-CN"/>
              </w:rPr>
            </w:pPr>
            <w:r>
              <w:rPr>
                <w:rFonts w:hint="eastAsia" w:ascii="宋体" w:hAnsi="宋体" w:eastAsia="宋体" w:cs="宋体"/>
                <w:b/>
                <w:bCs/>
                <w:snapToGrid/>
                <w:kern w:val="2"/>
                <w:sz w:val="20"/>
                <w:szCs w:val="20"/>
                <w:lang w:val="en-US" w:eastAsia="zh-CN"/>
              </w:rPr>
              <w:t>名称及规格</w:t>
            </w: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DD227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snapToGrid/>
                <w:kern w:val="2"/>
                <w:sz w:val="20"/>
                <w:szCs w:val="20"/>
                <w:lang w:val="en-US" w:eastAsia="zh-CN"/>
              </w:rPr>
            </w:pPr>
            <w:r>
              <w:rPr>
                <w:rFonts w:hint="eastAsia" w:ascii="宋体" w:hAnsi="宋体" w:eastAsia="宋体" w:cs="宋体"/>
                <w:b/>
                <w:bCs/>
                <w:snapToGrid/>
                <w:kern w:val="2"/>
                <w:sz w:val="20"/>
                <w:szCs w:val="20"/>
                <w:lang w:val="en-US" w:eastAsia="zh-CN"/>
              </w:rPr>
              <w:t>单位</w:t>
            </w:r>
          </w:p>
        </w:tc>
        <w:tc>
          <w:tcPr>
            <w:tcW w:w="6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ADFF9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snapToGrid/>
                <w:kern w:val="2"/>
                <w:sz w:val="20"/>
                <w:szCs w:val="20"/>
                <w:lang w:val="en-US" w:eastAsia="zh-CN"/>
              </w:rPr>
            </w:pPr>
            <w:r>
              <w:rPr>
                <w:rFonts w:hint="eastAsia" w:ascii="宋体" w:hAnsi="宋体" w:eastAsia="宋体" w:cs="宋体"/>
                <w:b/>
                <w:bCs/>
                <w:snapToGrid/>
                <w:kern w:val="2"/>
                <w:sz w:val="20"/>
                <w:szCs w:val="20"/>
                <w:lang w:val="en-US" w:eastAsia="zh-CN"/>
              </w:rPr>
              <w:t>数量</w:t>
            </w:r>
          </w:p>
        </w:tc>
        <w:tc>
          <w:tcPr>
            <w:tcW w:w="8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06149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b/>
                <w:bCs/>
                <w:snapToGrid/>
                <w:kern w:val="2"/>
                <w:sz w:val="20"/>
                <w:szCs w:val="20"/>
                <w:lang w:val="en-US" w:eastAsia="zh-CN"/>
              </w:rPr>
            </w:pPr>
            <w:r>
              <w:rPr>
                <w:rFonts w:hint="eastAsia" w:ascii="宋体" w:hAnsi="宋体" w:eastAsia="宋体" w:cs="宋体"/>
                <w:b/>
                <w:bCs/>
                <w:snapToGrid/>
                <w:kern w:val="2"/>
                <w:sz w:val="20"/>
                <w:szCs w:val="20"/>
                <w:lang w:val="en-US" w:eastAsia="zh-CN"/>
              </w:rPr>
              <w:t>报价金额</w:t>
            </w:r>
          </w:p>
          <w:p w14:paraId="412459F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snapToGrid/>
                <w:kern w:val="2"/>
                <w:sz w:val="20"/>
                <w:szCs w:val="20"/>
                <w:lang w:val="en-US" w:eastAsia="zh-CN"/>
              </w:rPr>
            </w:pPr>
            <w:r>
              <w:rPr>
                <w:rFonts w:hint="eastAsia" w:ascii="宋体" w:hAnsi="宋体" w:eastAsia="宋体" w:cs="宋体"/>
                <w:b/>
                <w:bCs/>
                <w:snapToGrid/>
                <w:kern w:val="2"/>
                <w:sz w:val="20"/>
                <w:szCs w:val="20"/>
                <w:lang w:val="en-US" w:eastAsia="zh-CN"/>
              </w:rPr>
              <w:t>（元）</w:t>
            </w:r>
          </w:p>
        </w:tc>
      </w:tr>
      <w:tr w14:paraId="67E1A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AB9E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napToGrid/>
                <w:kern w:val="2"/>
                <w:sz w:val="20"/>
                <w:szCs w:val="20"/>
                <w:lang w:eastAsia="zh-CN"/>
              </w:rPr>
            </w:pPr>
            <w:r>
              <w:rPr>
                <w:rFonts w:hint="eastAsia" w:ascii="宋体" w:hAnsi="宋体" w:eastAsia="宋体" w:cs="宋体"/>
                <w:b/>
                <w:bCs/>
                <w:snapToGrid/>
                <w:kern w:val="2"/>
                <w:sz w:val="20"/>
                <w:szCs w:val="20"/>
                <w:lang w:val="en-US" w:eastAsia="zh-CN"/>
              </w:rPr>
              <w:t>一、东升医院9楼918房空调设备更换</w:t>
            </w:r>
          </w:p>
        </w:tc>
      </w:tr>
      <w:tr w14:paraId="457D2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A7E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8B98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风机盘管 FP-06</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CE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台</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4AF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5C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735C8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F17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2</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360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镀锌钢管 DN25</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29B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米</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DA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B38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7C67A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5CB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3</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B548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PVC排水管DN25（含保温）</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30C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米</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ACB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5F5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5EB6F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352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4</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250D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橡塑 B1级保温管套 DN25</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CB5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米</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DFA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AEA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22329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EF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5</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F2B7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不锈钢软管DN20</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DC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条</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211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AB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1CC0D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53F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6</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A510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电动二通阀</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84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4BF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FE6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50512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06B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7</w:t>
            </w:r>
          </w:p>
        </w:tc>
        <w:tc>
          <w:tcPr>
            <w:tcW w:w="2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7AD1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线管/控制线/电源线</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C6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059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1A2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316AA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B04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8</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38E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设备及水管吊支架</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82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项</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D16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BF4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1E8C9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7D48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9</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CB69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回风箱</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F4A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DBF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27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6C7B0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38E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10</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8936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送风箱</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4BC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7DE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55F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45EBF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AF5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11</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26C1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天花拆除及恢复</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6F4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项</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EE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F22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0C9B5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85" w:type="dxa"/>
            <w:bottom w:w="57" w:type="dxa"/>
            <w:right w:w="85" w:type="dxa"/>
          </w:tblCellMar>
        </w:tblPrEx>
        <w:trPr>
          <w:trHeight w:val="23"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6554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napToGrid/>
                <w:kern w:val="2"/>
                <w:sz w:val="20"/>
                <w:szCs w:val="20"/>
                <w:lang w:eastAsia="zh-CN"/>
              </w:rPr>
            </w:pPr>
            <w:r>
              <w:rPr>
                <w:rFonts w:hint="eastAsia" w:ascii="宋体" w:hAnsi="宋体" w:eastAsia="宋体" w:cs="宋体"/>
                <w:b/>
                <w:bCs/>
                <w:snapToGrid/>
                <w:kern w:val="2"/>
                <w:sz w:val="20"/>
                <w:szCs w:val="20"/>
                <w:lang w:val="en-US" w:eastAsia="zh-CN"/>
              </w:rPr>
              <w:t>二、3号天面主机水塔填料及压缩机冷冻油更换</w:t>
            </w:r>
          </w:p>
        </w:tc>
      </w:tr>
      <w:tr w14:paraId="15C98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BBF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D4CA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主机散热填料修复及更换</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7B1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项</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1EA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1E2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7A246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BB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2</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7E4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旧填料垃圾处理</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C5A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项</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EF0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D75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3A0BC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BF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3</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FD3C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压缩机冷冻油</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EA3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桶</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74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2</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16E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594AC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25D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4</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7D7B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机油过滤器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768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708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E33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1C1D1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FD1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5</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950E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干燥过滤器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9A0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587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6</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F49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3A522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414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6</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31BA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主机钣金件更换</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484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件</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A15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8</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391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28EE0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32E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7</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393C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雪种R22检查及加注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7AB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kg</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1D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60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DD8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54660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85" w:type="dxa"/>
            <w:bottom w:w="57" w:type="dxa"/>
            <w:right w:w="85" w:type="dxa"/>
          </w:tblCellMar>
        </w:tblPrEx>
        <w:trPr>
          <w:trHeight w:val="23"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7C6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napToGrid/>
                <w:kern w:val="2"/>
                <w:sz w:val="20"/>
                <w:szCs w:val="20"/>
                <w:lang w:eastAsia="zh-CN"/>
              </w:rPr>
            </w:pPr>
            <w:r>
              <w:rPr>
                <w:rFonts w:hint="eastAsia" w:ascii="宋体" w:hAnsi="宋体" w:eastAsia="宋体" w:cs="宋体"/>
                <w:b/>
                <w:bCs/>
                <w:snapToGrid/>
                <w:kern w:val="2"/>
                <w:sz w:val="20"/>
                <w:szCs w:val="20"/>
                <w:lang w:val="en-US" w:eastAsia="zh-CN"/>
              </w:rPr>
              <w:t>三、4号天面主机压缩机冷冻油更换</w:t>
            </w:r>
          </w:p>
        </w:tc>
      </w:tr>
      <w:tr w14:paraId="14953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73F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FA5D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压缩机冷冻油</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235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桶</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135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2</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FAF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70B17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903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2</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0693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机油过滤器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EB7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66F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1</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C78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6CB42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06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3</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2C08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干燥过滤器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6FC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个</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9E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6</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0C3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0C4B1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05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4</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AD33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主机钣金件更换</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D63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件</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981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4</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EE0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537F5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5B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5</w:t>
            </w:r>
          </w:p>
        </w:tc>
        <w:tc>
          <w:tcPr>
            <w:tcW w:w="2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5847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雪种R22检查及加注</w:t>
            </w:r>
          </w:p>
        </w:tc>
        <w:tc>
          <w:tcPr>
            <w:tcW w:w="4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355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kg</w:t>
            </w:r>
          </w:p>
        </w:tc>
        <w:tc>
          <w:tcPr>
            <w:tcW w:w="6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9A7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snapToGrid/>
                <w:kern w:val="2"/>
                <w:sz w:val="20"/>
                <w:szCs w:val="20"/>
                <w:lang w:val="en-US" w:eastAsia="zh-CN"/>
              </w:rPr>
              <w:t>60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32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p>
        </w:tc>
      </w:tr>
      <w:tr w14:paraId="20D56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left w:w="85" w:type="dxa"/>
            <w:bottom w:w="57" w:type="dxa"/>
            <w:right w:w="85" w:type="dxa"/>
          </w:tblCellMar>
        </w:tblPrEx>
        <w:trPr>
          <w:trHeight w:val="23" w:hRule="atLeast"/>
        </w:trPr>
        <w:tc>
          <w:tcPr>
            <w:tcW w:w="417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8D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napToGrid/>
                <w:kern w:val="2"/>
                <w:sz w:val="20"/>
                <w:szCs w:val="20"/>
                <w:lang w:eastAsia="zh-CN"/>
              </w:rPr>
            </w:pPr>
            <w:r>
              <w:rPr>
                <w:rFonts w:hint="eastAsia" w:ascii="宋体" w:hAnsi="宋体" w:eastAsia="宋体" w:cs="宋体"/>
                <w:b/>
                <w:bCs/>
                <w:snapToGrid/>
                <w:kern w:val="2"/>
                <w:sz w:val="20"/>
                <w:szCs w:val="20"/>
                <w:lang w:val="en-US" w:eastAsia="zh-CN"/>
              </w:rPr>
              <w:t>含税总价</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D06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napToGrid/>
                <w:kern w:val="2"/>
                <w:sz w:val="20"/>
                <w:szCs w:val="20"/>
                <w:lang w:eastAsia="zh-CN"/>
              </w:rPr>
            </w:pPr>
            <w:r>
              <w:rPr>
                <w:rFonts w:hint="eastAsia" w:ascii="宋体" w:hAnsi="宋体" w:eastAsia="宋体" w:cs="宋体"/>
                <w:b/>
                <w:bCs/>
                <w:snapToGrid/>
                <w:kern w:val="2"/>
                <w:sz w:val="20"/>
                <w:szCs w:val="20"/>
                <w:lang w:val="en-US" w:eastAsia="zh-CN"/>
              </w:rPr>
              <w:t>75070.74</w:t>
            </w:r>
          </w:p>
        </w:tc>
      </w:tr>
    </w:tbl>
    <w:p w14:paraId="18C9DD21">
      <w:pPr>
        <w:spacing w:before="79" w:line="219" w:lineRule="auto"/>
        <w:ind w:left="122"/>
        <w:rPr>
          <w:rFonts w:hint="eastAsia" w:ascii="宋体" w:hAnsi="宋体" w:eastAsia="宋体" w:cs="宋体"/>
          <w:spacing w:val="2"/>
          <w:sz w:val="24"/>
          <w:szCs w:val="24"/>
          <w:lang w:val="en-US" w:eastAsia="zh-CN"/>
        </w:rPr>
      </w:pPr>
    </w:p>
    <w:p w14:paraId="28FA9011">
      <w:pPr>
        <w:spacing w:before="79" w:line="219" w:lineRule="auto"/>
        <w:ind w:left="122"/>
        <w:rPr>
          <w:rFonts w:hint="eastAsia" w:ascii="宋体" w:hAnsi="宋体" w:eastAsia="宋体" w:cs="宋体"/>
          <w:spacing w:val="2"/>
          <w:sz w:val="24"/>
          <w:szCs w:val="24"/>
          <w:lang w:val="en-US" w:eastAsia="zh-CN"/>
        </w:rPr>
      </w:pPr>
    </w:p>
    <w:p w14:paraId="4429DB59">
      <w:pPr>
        <w:spacing w:before="79" w:line="219" w:lineRule="auto"/>
        <w:ind w:left="122"/>
        <w:rPr>
          <w:rFonts w:hint="eastAsia" w:ascii="宋体" w:hAnsi="宋体" w:eastAsia="宋体" w:cs="宋体"/>
          <w:spacing w:val="2"/>
          <w:sz w:val="24"/>
          <w:szCs w:val="24"/>
          <w:lang w:val="en-US" w:eastAsia="zh-CN"/>
        </w:rPr>
      </w:pPr>
    </w:p>
    <w:p w14:paraId="056B8578">
      <w:pPr>
        <w:spacing w:before="79" w:line="219" w:lineRule="auto"/>
        <w:ind w:left="122"/>
        <w:rPr>
          <w:rFonts w:hint="eastAsia" w:ascii="宋体" w:hAnsi="宋体" w:eastAsia="宋体" w:cs="宋体"/>
          <w:spacing w:val="2"/>
          <w:sz w:val="24"/>
          <w:szCs w:val="24"/>
          <w:lang w:val="en-US" w:eastAsia="zh-CN"/>
        </w:rPr>
      </w:pPr>
    </w:p>
    <w:p w14:paraId="20A95C2C">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0BB62F82">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4942CCCF">
      <w:pPr>
        <w:spacing w:before="1" w:line="212" w:lineRule="auto"/>
        <w:ind w:left="112"/>
        <w:rPr>
          <w:rFonts w:hint="eastAsia" w:ascii="宋体" w:hAnsi="宋体" w:eastAsia="宋体" w:cs="宋体"/>
          <w:b/>
          <w:bCs/>
          <w:spacing w:val="5"/>
          <w:sz w:val="20"/>
          <w:szCs w:val="20"/>
          <w:lang w:val="en-US"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6C7819CA">
      <w:pP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br w:type="page"/>
      </w:r>
    </w:p>
    <w:p w14:paraId="30D1DA3C">
      <w:pPr>
        <w:spacing w:before="41" w:line="228" w:lineRule="auto"/>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中山市东升医院更换主机填料冷冻油及9楼918房空调设备项目（二次）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850" w:right="1531" w:bottom="850" w:left="153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中山市东升医院更换主机填料冷冻油及9楼918房空调设备项目（二次）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587" w:bottom="907" w:left="1587"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378"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一</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10"/>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475"/>
        <w:gridCol w:w="1410"/>
        <w:gridCol w:w="1065"/>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475"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10"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1065"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475" w:type="dxa"/>
          </w:tcPr>
          <w:p w14:paraId="33BE765C">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rPr>
              <w:t>一、项目概况</w:t>
            </w:r>
          </w:p>
          <w:p w14:paraId="6E9A1BB2">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ascii="宋体" w:hAnsi="宋体" w:eastAsia="宋体" w:cs="宋体"/>
                <w:sz w:val="20"/>
                <w:szCs w:val="20"/>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项目名称：中山市东升医院更换主机填料冷冻油及</w:t>
            </w:r>
            <w:r>
              <w:rPr>
                <w:rFonts w:ascii="宋体" w:hAnsi="宋体" w:eastAsia="宋体" w:cs="宋体"/>
                <w:sz w:val="20"/>
                <w:szCs w:val="20"/>
              </w:rPr>
              <w:t>9</w:t>
            </w:r>
            <w:r>
              <w:rPr>
                <w:rFonts w:hint="eastAsia" w:ascii="宋体" w:hAnsi="宋体" w:eastAsia="宋体" w:cs="宋体"/>
                <w:sz w:val="20"/>
                <w:szCs w:val="20"/>
              </w:rPr>
              <w:t>楼</w:t>
            </w:r>
            <w:r>
              <w:rPr>
                <w:rFonts w:ascii="宋体" w:hAnsi="宋体" w:eastAsia="宋体" w:cs="宋体"/>
                <w:sz w:val="20"/>
                <w:szCs w:val="20"/>
              </w:rPr>
              <w:t>918</w:t>
            </w:r>
            <w:r>
              <w:rPr>
                <w:rFonts w:hint="eastAsia" w:ascii="宋体" w:hAnsi="宋体" w:eastAsia="宋体" w:cs="宋体"/>
                <w:sz w:val="20"/>
                <w:szCs w:val="20"/>
              </w:rPr>
              <w:t>房空调设备项目</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二次）</w:t>
            </w:r>
          </w:p>
          <w:p w14:paraId="7B900E35">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 项目编号：FW-CW-CW-2026047</w:t>
            </w:r>
          </w:p>
          <w:p w14:paraId="1C2856BB">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3</w:t>
            </w:r>
            <w:r>
              <w:rPr>
                <w:rFonts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预算金额：</w:t>
            </w:r>
            <w:r>
              <w:rPr>
                <w:rFonts w:ascii="宋体" w:hAnsi="宋体" w:eastAsia="宋体" w:cs="宋体"/>
                <w:sz w:val="20"/>
                <w:szCs w:val="20"/>
              </w:rPr>
              <w:t>75070.74</w:t>
            </w:r>
            <w:r>
              <w:rPr>
                <w:rFonts w:hint="eastAsia" w:ascii="宋体" w:hAnsi="宋体" w:eastAsia="宋体" w:cs="宋体"/>
                <w:sz w:val="20"/>
                <w:szCs w:val="20"/>
              </w:rPr>
              <w:t>元（含税全包价，包括设备费、配件费、运输费、保险费、卸车费、吊车费、安装调试费、检测费、培训费、税费及响应供应商认为实施过程中的不可预见费用，采购人不再另行支付）。</w:t>
            </w:r>
          </w:p>
          <w:p w14:paraId="08356DF1">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4</w:t>
            </w:r>
            <w:r>
              <w:rPr>
                <w:rFonts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供货期：合同签订后</w:t>
            </w:r>
            <w:r>
              <w:rPr>
                <w:rFonts w:ascii="宋体" w:hAnsi="宋体" w:eastAsia="宋体" w:cs="宋体"/>
                <w:sz w:val="20"/>
                <w:szCs w:val="20"/>
              </w:rPr>
              <w:t>20</w:t>
            </w:r>
            <w:r>
              <w:rPr>
                <w:rFonts w:hint="eastAsia" w:ascii="宋体" w:hAnsi="宋体" w:eastAsia="宋体" w:cs="宋体"/>
                <w:sz w:val="20"/>
                <w:szCs w:val="20"/>
              </w:rPr>
              <w:t>个自然日内完成安装、改造和维修、调试等。</w:t>
            </w:r>
          </w:p>
          <w:p w14:paraId="70911BA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w:t>
            </w:r>
            <w:r>
              <w:rPr>
                <w:rFonts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项目内容：（1）对东升医院两台空调主机进行主机填料冷冻油的更换</w:t>
            </w:r>
            <w:r>
              <w:rPr>
                <w:rFonts w:hint="eastAsia" w:ascii="宋体" w:hAnsi="宋体" w:eastAsia="宋体" w:cs="宋体"/>
                <w:sz w:val="20"/>
                <w:szCs w:val="20"/>
                <w:lang w:eastAsia="zh-CN"/>
              </w:rPr>
              <w:t>；</w:t>
            </w:r>
          </w:p>
          <w:p w14:paraId="5E4D12B6">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eastAsia="zh-CN"/>
              </w:rPr>
              <w:t>（2）</w:t>
            </w:r>
            <w:r>
              <w:rPr>
                <w:rFonts w:hint="eastAsia" w:ascii="宋体" w:hAnsi="宋体" w:eastAsia="宋体" w:cs="宋体"/>
                <w:sz w:val="20"/>
                <w:szCs w:val="20"/>
              </w:rPr>
              <w:t>对</w:t>
            </w:r>
            <w:r>
              <w:rPr>
                <w:rFonts w:ascii="宋体" w:hAnsi="宋体" w:eastAsia="宋体" w:cs="宋体"/>
                <w:sz w:val="20"/>
                <w:szCs w:val="20"/>
              </w:rPr>
              <w:t>9</w:t>
            </w:r>
            <w:r>
              <w:rPr>
                <w:rFonts w:hint="eastAsia" w:ascii="宋体" w:hAnsi="宋体" w:eastAsia="宋体" w:cs="宋体"/>
                <w:sz w:val="20"/>
                <w:szCs w:val="20"/>
              </w:rPr>
              <w:t>楼</w:t>
            </w:r>
            <w:r>
              <w:rPr>
                <w:rFonts w:ascii="宋体" w:hAnsi="宋体" w:eastAsia="宋体" w:cs="宋体"/>
                <w:sz w:val="20"/>
                <w:szCs w:val="20"/>
              </w:rPr>
              <w:t>918</w:t>
            </w:r>
            <w:r>
              <w:rPr>
                <w:rFonts w:hint="eastAsia" w:ascii="宋体" w:hAnsi="宋体" w:eastAsia="宋体" w:cs="宋体"/>
                <w:sz w:val="20"/>
                <w:szCs w:val="20"/>
              </w:rPr>
              <w:t>房中央空调的风机盘管进行改造项目。</w:t>
            </w:r>
          </w:p>
          <w:p w14:paraId="3A31B29A">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6</w:t>
            </w:r>
            <w:r>
              <w:rPr>
                <w:rFonts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项目清单：</w:t>
            </w:r>
          </w:p>
          <w:tbl>
            <w:tblPr>
              <w:tblStyle w:val="6"/>
              <w:tblW w:w="4907" w:type="pct"/>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5" w:type="dxa"/>
                <w:left w:w="85" w:type="dxa"/>
                <w:bottom w:w="85" w:type="dxa"/>
                <w:right w:w="85" w:type="dxa"/>
              </w:tblCellMar>
            </w:tblPr>
            <w:tblGrid>
              <w:gridCol w:w="429"/>
              <w:gridCol w:w="2764"/>
              <w:gridCol w:w="483"/>
              <w:gridCol w:w="522"/>
              <w:gridCol w:w="1063"/>
            </w:tblGrid>
            <w:tr w14:paraId="0EAF5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595" w:hRule="exact"/>
                <w:tblHeader/>
              </w:trPr>
              <w:tc>
                <w:tcPr>
                  <w:tcW w:w="40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7FAC84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序号</w:t>
                  </w:r>
                </w:p>
              </w:tc>
              <w:tc>
                <w:tcPr>
                  <w:tcW w:w="26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686A3F2">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名称及规格</w:t>
                  </w:r>
                </w:p>
              </w:tc>
              <w:tc>
                <w:tcPr>
                  <w:tcW w:w="458"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E7C5471">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单位</w:t>
                  </w:r>
                </w:p>
              </w:tc>
              <w:tc>
                <w:tcPr>
                  <w:tcW w:w="49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1F48B4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数量</w:t>
                  </w:r>
                </w:p>
              </w:tc>
              <w:tc>
                <w:tcPr>
                  <w:tcW w:w="101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BD9F5BC">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报价金额</w:t>
                  </w:r>
                </w:p>
                <w:p w14:paraId="07DA38FC">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（元）</w:t>
                  </w:r>
                </w:p>
              </w:tc>
            </w:tr>
            <w:tr w14:paraId="3E217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056EA">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一、东升医院9楼918房空调设备更换</w:t>
                  </w:r>
                </w:p>
              </w:tc>
            </w:tr>
            <w:tr w14:paraId="6DF15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5070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2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30F8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风机盘管 FP-06</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79BC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台</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1022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AC4E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1DDA2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8390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2</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5DF5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镀锌钢管 DN25</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8891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米</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7322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4</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6110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17F76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344F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3</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5628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PVC排水管DN25（含保温）</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7954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米</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986E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4</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33BDE">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41F5E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8C94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4</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115E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橡塑 B1级保温管套 DN25</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C805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米</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97A2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4</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BF29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446BB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655E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5</w:t>
                  </w:r>
                </w:p>
              </w:tc>
              <w:tc>
                <w:tcPr>
                  <w:tcW w:w="2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C716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不锈钢软管DN20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B0496">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条</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9C08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4</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FA73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442D8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EA5C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6</w:t>
                  </w:r>
                </w:p>
              </w:tc>
              <w:tc>
                <w:tcPr>
                  <w:tcW w:w="2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EFB0F">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电动二通阀</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AF44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13CD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9C69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1C90A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C564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7</w:t>
                  </w:r>
                </w:p>
              </w:tc>
              <w:tc>
                <w:tcPr>
                  <w:tcW w:w="26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DADC6">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线管/控制线/电源线</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2B7E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9236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D72B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7C397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C4C8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8</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0B4D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设备及水管吊支架</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6994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项</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6107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216A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2C39B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C60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9</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60A2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回风箱</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BB37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68E4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CB96E">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37E30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1D59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10</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5598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送风箱</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38EBA">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3AFE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497B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5F38D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CAEB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11</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3F4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天花拆除及恢复</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2B3EE">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项</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B89D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8506E">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4B6BD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6CFF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二、3号天面主机水塔填料及压缩机冷冻油更换</w:t>
                  </w:r>
                </w:p>
              </w:tc>
            </w:tr>
            <w:tr w14:paraId="3A0C5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1DD0A">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ED32F">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主机散热填料修复及更换</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C7D0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项</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CFFF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C851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73E23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3991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2</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18F3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旧填料垃圾处理</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CB20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项</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DEC0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1762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36891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DBDCF">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3</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C2D9A">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压缩机冷冻油</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E4A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桶</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9DD2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2</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718AA">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2F3BE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48B0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4</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B7D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机油过滤器</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F0B6F">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3CF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774F">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6F534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DD96A">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5</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5791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干燥过滤器</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1D03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7EF4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6</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1F59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50D9C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B0DD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6</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8EEAE">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主机钣金件更换</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A40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件</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6F47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8</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ED7B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75F27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D5956">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7</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9C1A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雪种R22检查及加注</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55381">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kg</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9EE3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60</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EE30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16F53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E6E5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三、4号天面主机压缩机冷冻油更换</w:t>
                  </w:r>
                </w:p>
              </w:tc>
            </w:tr>
            <w:tr w14:paraId="4DDDF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41E8A">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8CBA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压缩机冷冻油</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5CDAA">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桶</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AA94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2</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5587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04170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62706">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2</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0147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机油过滤器</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FD61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40BB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0F50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7830C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8EAB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3</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2BE2F">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干燥过滤器</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D8846">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个</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4D57F">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6</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F4C2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1054B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6C25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4</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2AEB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主机钣金件更换</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ABE5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件</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3497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4</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522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16FC2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23"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A40E">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5</w:t>
                  </w:r>
                </w:p>
              </w:tc>
              <w:tc>
                <w:tcPr>
                  <w:tcW w:w="2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8C4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雪种R22检查及加注</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C7721">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kg</w:t>
                  </w:r>
                </w:p>
              </w:tc>
              <w:tc>
                <w:tcPr>
                  <w:tcW w:w="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1EA5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60</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7871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p>
              </w:tc>
            </w:tr>
            <w:tr w14:paraId="23EC2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5" w:type="dxa"/>
                  <w:left w:w="85" w:type="dxa"/>
                  <w:bottom w:w="85" w:type="dxa"/>
                  <w:right w:w="85" w:type="dxa"/>
                </w:tblCellMar>
              </w:tblPrEx>
              <w:trPr>
                <w:trHeight w:val="23" w:hRule="atLeast"/>
              </w:trPr>
              <w:tc>
                <w:tcPr>
                  <w:tcW w:w="3989"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91291">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含税总价</w:t>
                  </w:r>
                </w:p>
              </w:tc>
              <w:tc>
                <w:tcPr>
                  <w:tcW w:w="10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E98C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75070.74</w:t>
                  </w:r>
                </w:p>
              </w:tc>
            </w:tr>
          </w:tbl>
          <w:p w14:paraId="182A77A9">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7</w:t>
            </w:r>
            <w:r>
              <w:rPr>
                <w:rFonts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投标报价要求：</w:t>
            </w:r>
          </w:p>
          <w:p w14:paraId="554ECA7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（1）本次响应报价应为人民币含税全包价，包括价格、包装费、运杂费、保险费、卸车费、安装费、人工费、税金及响应供应商认为需要的其他费用等。</w:t>
            </w:r>
          </w:p>
          <w:p w14:paraId="356810B1">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（2）供应商须根据项目预算金额报出一个下浮率，并附项目清单报价，</w:t>
            </w:r>
            <w:r>
              <w:rPr>
                <w:rFonts w:hint="eastAsia" w:ascii="宋体" w:hAnsi="宋体" w:eastAsia="宋体" w:cs="宋体"/>
                <w:sz w:val="20"/>
                <w:szCs w:val="20"/>
                <w:lang w:eastAsia="zh-CN"/>
              </w:rPr>
              <w:t>下浮率取值范围为0%（含）至50%（含）</w:t>
            </w:r>
            <w:r>
              <w:rPr>
                <w:rFonts w:hint="eastAsia" w:ascii="宋体" w:hAnsi="宋体" w:eastAsia="宋体" w:cs="宋体"/>
                <w:sz w:val="20"/>
                <w:szCs w:val="20"/>
                <w:lang w:val="en-US" w:eastAsia="zh-CN"/>
              </w:rPr>
              <w:t>，超出取值范围</w:t>
            </w:r>
            <w:r>
              <w:rPr>
                <w:rFonts w:hint="eastAsia" w:ascii="宋体" w:hAnsi="宋体" w:eastAsia="宋体" w:cs="宋体"/>
                <w:sz w:val="20"/>
                <w:szCs w:val="20"/>
                <w:lang w:eastAsia="zh-CN"/>
              </w:rPr>
              <w:t>按无效报价处理</w:t>
            </w:r>
            <w:r>
              <w:rPr>
                <w:rFonts w:hint="eastAsia" w:ascii="宋体" w:hAnsi="宋体" w:eastAsia="宋体" w:cs="宋体"/>
                <w:sz w:val="20"/>
                <w:szCs w:val="20"/>
                <w:lang w:val="en-US" w:eastAsia="zh-CN"/>
              </w:rPr>
              <w:t>。</w:t>
            </w:r>
          </w:p>
          <w:p w14:paraId="66B600D1">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（3）结算</w:t>
            </w:r>
            <w:r>
              <w:rPr>
                <w:rFonts w:hint="eastAsia" w:ascii="宋体" w:hAnsi="宋体" w:eastAsia="宋体" w:cs="宋体"/>
                <w:sz w:val="20"/>
                <w:szCs w:val="20"/>
                <w:lang w:eastAsia="zh-CN"/>
              </w:rPr>
              <w:t>计算</w:t>
            </w:r>
            <w:r>
              <w:rPr>
                <w:rFonts w:hint="eastAsia" w:ascii="宋体" w:hAnsi="宋体" w:eastAsia="宋体" w:cs="宋体"/>
                <w:sz w:val="20"/>
                <w:szCs w:val="20"/>
                <w:lang w:val="en-US" w:eastAsia="zh-CN"/>
              </w:rPr>
              <w:t>公式</w:t>
            </w:r>
            <w:r>
              <w:rPr>
                <w:rFonts w:hint="eastAsia" w:ascii="宋体" w:hAnsi="宋体" w:eastAsia="宋体" w:cs="宋体"/>
                <w:sz w:val="20"/>
                <w:szCs w:val="20"/>
                <w:lang w:eastAsia="zh-CN"/>
              </w:rPr>
              <w:t>为：结算价格＝</w:t>
            </w:r>
            <w:r>
              <w:rPr>
                <w:rFonts w:hint="eastAsia" w:ascii="宋体" w:hAnsi="宋体" w:eastAsia="宋体" w:cs="宋体"/>
                <w:sz w:val="20"/>
                <w:szCs w:val="20"/>
                <w:lang w:val="en-US" w:eastAsia="zh-CN"/>
              </w:rPr>
              <w:t>项目预算金额</w:t>
            </w:r>
            <w:r>
              <w:rPr>
                <w:rFonts w:hint="eastAsia" w:ascii="宋体" w:hAnsi="宋体" w:eastAsia="宋体" w:cs="宋体"/>
                <w:sz w:val="20"/>
                <w:szCs w:val="20"/>
                <w:lang w:eastAsia="zh-CN"/>
              </w:rPr>
              <w:t>×（1-成交下浮率）。</w:t>
            </w:r>
          </w:p>
          <w:p w14:paraId="5B4F5AB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（4）成交供应商须开具与响应文件中供应商名称、响应报价一致的普通增值税发票。</w:t>
            </w:r>
          </w:p>
          <w:p w14:paraId="01135B39">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（5）报价次数：1次。</w:t>
            </w:r>
          </w:p>
          <w:p w14:paraId="4686D520">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8. 如供应商需要现场勘察，2026年7月15日12时前发邮箱：zssdsyyzwk@126.com预约现场勘察（营业执照扫描件和委托人证明），2026年7月15日15时总务科签到后统一现场勘察。逾期未预约者视为自动放弃现场勘察权利，若未参与本项目现场勘察而直接参与该项目招标报价，则视为已充分了解施工现场条件及周边环境，默认和同意按照医院的项目清单内容进行施工并承担相应风险。对于供应商报价成本问题的后果由供应商自行负责。</w:t>
            </w:r>
            <w:bookmarkStart w:id="0" w:name="_GoBack"/>
            <w:bookmarkEnd w:id="0"/>
          </w:p>
          <w:p w14:paraId="00020E0B">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9</w:t>
            </w:r>
            <w:r>
              <w:rPr>
                <w:rFonts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本项目不允许违法转包。未经采购人同意，成交供应商不得再以任何方式分包本项目。否则视为违约，追究当事人责任，并承担相应的损失。</w:t>
            </w:r>
          </w:p>
        </w:tc>
        <w:tc>
          <w:tcPr>
            <w:tcW w:w="1410" w:type="dxa"/>
          </w:tcPr>
          <w:p w14:paraId="03ED26DE">
            <w:pPr>
              <w:pStyle w:val="11"/>
              <w:rPr>
                <w:rFonts w:ascii="宋体" w:hAnsi="宋体" w:eastAsia="宋体" w:cs="宋体"/>
                <w:lang w:eastAsia="zh-CN"/>
              </w:rPr>
            </w:pPr>
          </w:p>
        </w:tc>
        <w:tc>
          <w:tcPr>
            <w:tcW w:w="1065" w:type="dxa"/>
          </w:tcPr>
          <w:p w14:paraId="314D7EEC">
            <w:pPr>
              <w:pStyle w:val="11"/>
              <w:rPr>
                <w:rFonts w:ascii="宋体" w:hAnsi="宋体" w:eastAsia="宋体" w:cs="宋体"/>
                <w:lang w:eastAsia="zh-CN"/>
              </w:rPr>
            </w:pPr>
          </w:p>
        </w:tc>
        <w:tc>
          <w:tcPr>
            <w:tcW w:w="1065" w:type="dxa"/>
          </w:tcPr>
          <w:p w14:paraId="0A9D39B5">
            <w:pPr>
              <w:pStyle w:val="11"/>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475" w:type="dxa"/>
          </w:tcPr>
          <w:p w14:paraId="62212FC6">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二、供应商资格：</w:t>
            </w:r>
          </w:p>
          <w:p w14:paraId="5651CDC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 响应供应商须为在中华人民共和国境内注册，能够独立承担民事责任的企业法人、其他组织或自然人。若为分支机构参与投标，须提供总公司与分公司的营业执照复印件，以及总公司出具给分支机构的授权书。</w:t>
            </w:r>
          </w:p>
          <w:p w14:paraId="08847EF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2.响应供应商须持有有效的营业执照，且其经营范围应包含与本项目相关的业务内容。</w:t>
            </w:r>
          </w:p>
          <w:p w14:paraId="343A834E">
            <w:pPr>
              <w:widowControl w:val="0"/>
              <w:spacing w:line="240" w:lineRule="exact"/>
              <w:rPr>
                <w:rFonts w:hint="eastAsia" w:ascii="宋体" w:hAnsi="宋体" w:eastAsia="宋体" w:cs="宋体"/>
                <w:sz w:val="20"/>
                <w:szCs w:val="20"/>
                <w:lang w:eastAsia="zh-CN"/>
              </w:rPr>
            </w:pPr>
            <w:r>
              <w:rPr>
                <w:rFonts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响应供应商应具有项目的承接能力、合同的履约能力、售后供应能力和良好的信誉。</w:t>
            </w:r>
          </w:p>
          <w:p w14:paraId="38710009">
            <w:pPr>
              <w:widowControl w:val="0"/>
              <w:spacing w:line="240" w:lineRule="exact"/>
              <w:rPr>
                <w:rFonts w:ascii="宋体" w:hAnsi="宋体" w:eastAsia="宋体" w:cs="宋体"/>
                <w:sz w:val="20"/>
                <w:szCs w:val="20"/>
                <w:lang w:eastAsia="zh-CN"/>
              </w:rPr>
            </w:pPr>
            <w:r>
              <w:rPr>
                <w:rFonts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响应供应商在参与公开招标活动中未有违法违纪行为并受过处罚，响应供应商无围标、串标行为。</w:t>
            </w:r>
          </w:p>
        </w:tc>
        <w:tc>
          <w:tcPr>
            <w:tcW w:w="1410" w:type="dxa"/>
          </w:tcPr>
          <w:p w14:paraId="69CF45F5">
            <w:pPr>
              <w:pStyle w:val="11"/>
              <w:rPr>
                <w:rFonts w:ascii="宋体" w:hAnsi="宋体" w:eastAsia="宋体" w:cs="宋体"/>
                <w:lang w:eastAsia="zh-CN"/>
              </w:rPr>
            </w:pPr>
          </w:p>
        </w:tc>
        <w:tc>
          <w:tcPr>
            <w:tcW w:w="1065" w:type="dxa"/>
          </w:tcPr>
          <w:p w14:paraId="4B1E84E1">
            <w:pPr>
              <w:pStyle w:val="11"/>
              <w:rPr>
                <w:rFonts w:ascii="宋体" w:hAnsi="宋体" w:eastAsia="宋体" w:cs="宋体"/>
                <w:lang w:eastAsia="zh-CN"/>
              </w:rPr>
            </w:pPr>
          </w:p>
        </w:tc>
        <w:tc>
          <w:tcPr>
            <w:tcW w:w="1065" w:type="dxa"/>
          </w:tcPr>
          <w:p w14:paraId="050D5957">
            <w:pPr>
              <w:pStyle w:val="11"/>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475" w:type="dxa"/>
          </w:tcPr>
          <w:p w14:paraId="361CF3AE">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三、项目要求</w:t>
            </w:r>
          </w:p>
          <w:p w14:paraId="256BE4E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 本项目实施安装前，成交供应商须依据采购人实际情况制定改造方案与实施计划，经管理部门审核批准后方可开展改造工作。</w:t>
            </w:r>
          </w:p>
          <w:p w14:paraId="4253D2E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 成交供应商应指派一名项目负责人，全面负责项目服务期内的现场组织、指挥、管理及协调工作，确保项目按期完成。在项目规定的保修期内，项目负责人须根据保修工作需求随时到场，指挥并安排相关保修事宜。项目安装期间，项目负责人不得擅离岗位；若因项目负责人缺位导致项目严重受影响，采购人有权要求更换项目负责人，由此造成的损失由成交供应商承担。成交供应商须在成交通知书发出后30日内、签订合同前，向采购人提交项目负责人基础信息备案；项目负责人发生变动的，应及时更新备案资料并移交采购人。若逾期未配备符合要求的人员，将视为成交供应商拒绝签订合同，成交供应商须赔偿因此给采购人造成的全部损失。【响应方式：（1）为证明拟投入项目负责人为供应商在职员工，供应商需提供该人员的社保证明（投标当日前三个月内任意一个月）复印件；若供应商成立时间不足1个月，应提供《社保声明函》替代社保证明（成立时间以营业执照注册日期为准）】</w:t>
            </w:r>
          </w:p>
          <w:p w14:paraId="6270395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 对于高空作业、有限空间作业、焊接作业、压力管道作业、带电作业等需持证上岗的项目，维修人员必须持有相应的有效资格证书，并提前向采购人报备。</w:t>
            </w:r>
          </w:p>
          <w:p w14:paraId="4747147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 项目安装期间，若因现场管理不当（包括但不限于清洁、物品保护、文明作业等方面），该项目结算费用将扣减5%。</w:t>
            </w:r>
          </w:p>
          <w:p w14:paraId="67D3D0C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 “应急”要求：成交供应商须根据本项目具体情况制定应急预案，有效管控风险，切实履行安全及消防安全等职责，确保在各类事故发生后能够及时、有效地进行处置。</w:t>
            </w:r>
          </w:p>
          <w:p w14:paraId="5D3B3938">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6. 成交供应商派驻本项目的维修人员须严格遵守采购人的各项管理制度，若发生违规行为，一切责任及后果由成交供应商承担。</w:t>
            </w:r>
          </w:p>
        </w:tc>
        <w:tc>
          <w:tcPr>
            <w:tcW w:w="1410" w:type="dxa"/>
          </w:tcPr>
          <w:p w14:paraId="50520806">
            <w:pPr>
              <w:pStyle w:val="11"/>
              <w:rPr>
                <w:rFonts w:ascii="宋体" w:hAnsi="宋体" w:eastAsia="宋体" w:cs="宋体"/>
                <w:lang w:eastAsia="zh-CN"/>
              </w:rPr>
            </w:pPr>
          </w:p>
        </w:tc>
        <w:tc>
          <w:tcPr>
            <w:tcW w:w="1065" w:type="dxa"/>
          </w:tcPr>
          <w:p w14:paraId="27AC7BB1">
            <w:pPr>
              <w:pStyle w:val="11"/>
              <w:rPr>
                <w:rFonts w:ascii="宋体" w:hAnsi="宋体" w:eastAsia="宋体" w:cs="宋体"/>
                <w:lang w:eastAsia="zh-CN"/>
              </w:rPr>
            </w:pPr>
          </w:p>
        </w:tc>
        <w:tc>
          <w:tcPr>
            <w:tcW w:w="1065" w:type="dxa"/>
          </w:tcPr>
          <w:p w14:paraId="714423AC">
            <w:pPr>
              <w:pStyle w:val="11"/>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475" w:type="dxa"/>
          </w:tcPr>
          <w:p w14:paraId="654BACB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 xml:space="preserve">四、验收  </w:t>
            </w:r>
          </w:p>
          <w:p w14:paraId="25D0502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 xml:space="preserve">1. 项目实施期间，成交供应商须确保所提供的合同设备及配件均为全新、未经使用的产品，其质量、规格及技术特性应符合国家标准、相关规范及用户需求文件的规定。  </w:t>
            </w:r>
          </w:p>
          <w:p w14:paraId="3156EBB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 xml:space="preserve">2. 成交供应商须提供设备的出厂合格证或合格报告等相关资料。  </w:t>
            </w:r>
          </w:p>
          <w:p w14:paraId="0F44D2E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 xml:space="preserve">3. 项目完成后，应进行系统调试与试运行，确保满足设计要求及使用功能。  </w:t>
            </w:r>
          </w:p>
          <w:p w14:paraId="01B23D3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 项目所需办理的各类证件及手续应齐全，并向采购人移交完整资料。</w:t>
            </w:r>
          </w:p>
        </w:tc>
        <w:tc>
          <w:tcPr>
            <w:tcW w:w="1410" w:type="dxa"/>
          </w:tcPr>
          <w:p w14:paraId="1976FE37">
            <w:pPr>
              <w:pStyle w:val="11"/>
              <w:rPr>
                <w:rFonts w:ascii="宋体" w:hAnsi="宋体" w:eastAsia="宋体" w:cs="宋体"/>
                <w:lang w:eastAsia="zh-CN"/>
              </w:rPr>
            </w:pPr>
          </w:p>
        </w:tc>
        <w:tc>
          <w:tcPr>
            <w:tcW w:w="1065" w:type="dxa"/>
          </w:tcPr>
          <w:p w14:paraId="23D2CAC8">
            <w:pPr>
              <w:pStyle w:val="11"/>
              <w:rPr>
                <w:rFonts w:ascii="宋体" w:hAnsi="宋体" w:eastAsia="宋体" w:cs="宋体"/>
                <w:lang w:eastAsia="zh-CN"/>
              </w:rPr>
            </w:pPr>
          </w:p>
        </w:tc>
        <w:tc>
          <w:tcPr>
            <w:tcW w:w="1065" w:type="dxa"/>
          </w:tcPr>
          <w:p w14:paraId="6941F157">
            <w:pPr>
              <w:pStyle w:val="11"/>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475" w:type="dxa"/>
          </w:tcPr>
          <w:p w14:paraId="089B3359">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五</w:t>
            </w:r>
            <w:r>
              <w:rPr>
                <w:rFonts w:hint="eastAsia" w:ascii="宋体" w:hAnsi="宋体" w:eastAsia="宋体" w:cs="宋体"/>
                <w:sz w:val="20"/>
                <w:szCs w:val="20"/>
                <w:lang w:eastAsia="zh-CN"/>
              </w:rPr>
              <w:t>、售后质保及要求</w:t>
            </w:r>
          </w:p>
          <w:p w14:paraId="3C6ADDE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 质保期：所提供配件的质保期不得少于一年，自项目竣工验收合格之日起计算。质保期内，成交供应商须履行质量“三包”责任，并在向采购人提交验收报告时出具质量保修书。对于因安装质量引发的问题，成交供应商应承担全部责任并提供无偿保修服务。</w:t>
            </w:r>
          </w:p>
          <w:p w14:paraId="4DF03E8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 质保期内，成交供应商负责对其提供的配件进行维修及系统维护，相关费用由成交供应商承担，但因人为因素或自然因素（如火灾、地震等不可抗力）造成的故障除外。若保修期内采购人所购设备的部件发生非人为故障，成交供应商应免费上门更换同品牌、不低于原规格型号的新部件。</w:t>
            </w:r>
          </w:p>
          <w:p w14:paraId="2F028E1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 保修期内，若同一配件在一个月内连续三次出现相同故障，成交供应商须无偿为采购人更换同档次的配件。</w:t>
            </w:r>
          </w:p>
          <w:p w14:paraId="1C6261C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 质保期内，成交供应商须提供24小时电话响应服务，确保在1小时内作出响应，4小时内到场排查故障，8小时内完成修复处理。若成交供应商未按约定时间履行维修义务，采购人有权另行安排维修，由此产生的相关费用由成交供应商承担，并从质量保证金中予以扣除。若故障在8小时内无法修复，成交供应商须在24小时内提供相同类型的设备进行更换。</w:t>
            </w:r>
          </w:p>
          <w:p w14:paraId="45731FF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 保修期及文件中未明确列明的其他项目的保修要求，应按照国家现行质量保修相关规定执行。</w:t>
            </w:r>
          </w:p>
          <w:p w14:paraId="4D4DE118">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6. 质保期内，成交供应商负责对设备进行定期维护保养，保养频次不少于每季度一次。</w:t>
            </w:r>
          </w:p>
        </w:tc>
        <w:tc>
          <w:tcPr>
            <w:tcW w:w="1410" w:type="dxa"/>
          </w:tcPr>
          <w:p w14:paraId="556D3F97">
            <w:pPr>
              <w:pStyle w:val="11"/>
              <w:rPr>
                <w:rFonts w:ascii="宋体" w:hAnsi="宋体" w:eastAsia="宋体" w:cs="宋体"/>
                <w:lang w:eastAsia="zh-CN"/>
              </w:rPr>
            </w:pPr>
          </w:p>
        </w:tc>
        <w:tc>
          <w:tcPr>
            <w:tcW w:w="1065" w:type="dxa"/>
          </w:tcPr>
          <w:p w14:paraId="59D2077F">
            <w:pPr>
              <w:pStyle w:val="11"/>
              <w:rPr>
                <w:rFonts w:ascii="宋体" w:hAnsi="宋体" w:eastAsia="宋体" w:cs="宋体"/>
                <w:lang w:eastAsia="zh-CN"/>
              </w:rPr>
            </w:pPr>
          </w:p>
        </w:tc>
        <w:tc>
          <w:tcPr>
            <w:tcW w:w="1065" w:type="dxa"/>
          </w:tcPr>
          <w:p w14:paraId="788F44CC">
            <w:pPr>
              <w:pStyle w:val="11"/>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475" w:type="dxa"/>
          </w:tcPr>
          <w:p w14:paraId="20790524">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六</w:t>
            </w:r>
            <w:r>
              <w:rPr>
                <w:rFonts w:hint="eastAsia" w:ascii="宋体" w:hAnsi="宋体" w:eastAsia="宋体" w:cs="宋体"/>
                <w:color w:val="auto"/>
                <w:sz w:val="20"/>
                <w:szCs w:val="20"/>
                <w:shd w:val="clear" w:color="auto" w:fill="FFFFFF"/>
                <w:lang w:eastAsia="zh-CN" w:bidi="ar"/>
              </w:rPr>
              <w:t>、付款方式</w:t>
            </w:r>
          </w:p>
          <w:p w14:paraId="4FFBE7A4">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项目完成并验收合格后，成交供应商提供合同金额的有效普通增值税发票（含税），采购人核对发票无误后</w:t>
            </w:r>
            <w:r>
              <w:rPr>
                <w:rFonts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eastAsia="zh-CN" w:bidi="ar"/>
              </w:rPr>
              <w:t>个月内支付</w:t>
            </w:r>
            <w:r>
              <w:rPr>
                <w:rFonts w:ascii="宋体" w:hAnsi="宋体" w:eastAsia="宋体" w:cs="宋体"/>
                <w:color w:val="auto"/>
                <w:sz w:val="20"/>
                <w:szCs w:val="20"/>
                <w:shd w:val="clear" w:color="auto" w:fill="FFFFFF"/>
                <w:lang w:eastAsia="zh-CN" w:bidi="ar"/>
              </w:rPr>
              <w:t>95%</w:t>
            </w:r>
            <w:r>
              <w:rPr>
                <w:rFonts w:hint="eastAsia" w:ascii="宋体" w:hAnsi="宋体" w:eastAsia="宋体" w:cs="宋体"/>
                <w:color w:val="auto"/>
                <w:sz w:val="20"/>
                <w:szCs w:val="20"/>
                <w:shd w:val="clear" w:color="auto" w:fill="FFFFFF"/>
                <w:lang w:eastAsia="zh-CN" w:bidi="ar"/>
              </w:rPr>
              <w:t>结算金额减去预付款的金额，剩余结算金额的</w:t>
            </w:r>
            <w:r>
              <w:rPr>
                <w:rFonts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eastAsia="zh-CN" w:bidi="ar"/>
              </w:rPr>
              <w:t>作为质量保证金，质保期满后一次性无息退还。</w:t>
            </w:r>
          </w:p>
        </w:tc>
        <w:tc>
          <w:tcPr>
            <w:tcW w:w="1410" w:type="dxa"/>
          </w:tcPr>
          <w:p w14:paraId="309C6D61">
            <w:pPr>
              <w:pStyle w:val="11"/>
              <w:rPr>
                <w:rFonts w:ascii="宋体" w:hAnsi="宋体" w:eastAsia="宋体" w:cs="宋体"/>
                <w:lang w:eastAsia="zh-CN"/>
              </w:rPr>
            </w:pPr>
          </w:p>
        </w:tc>
        <w:tc>
          <w:tcPr>
            <w:tcW w:w="1065" w:type="dxa"/>
          </w:tcPr>
          <w:p w14:paraId="3DA9A9F7">
            <w:pPr>
              <w:pStyle w:val="11"/>
              <w:rPr>
                <w:rFonts w:ascii="宋体" w:hAnsi="宋体" w:eastAsia="宋体" w:cs="宋体"/>
                <w:lang w:eastAsia="zh-CN"/>
              </w:rPr>
            </w:pPr>
          </w:p>
        </w:tc>
        <w:tc>
          <w:tcPr>
            <w:tcW w:w="1065" w:type="dxa"/>
          </w:tcPr>
          <w:p w14:paraId="3217B854">
            <w:pPr>
              <w:pStyle w:val="11"/>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475" w:type="dxa"/>
          </w:tcPr>
          <w:p w14:paraId="39F2A16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七</w:t>
            </w:r>
            <w:r>
              <w:rPr>
                <w:rFonts w:hint="eastAsia" w:ascii="宋体" w:hAnsi="宋体" w:eastAsia="宋体" w:cs="宋体"/>
                <w:color w:val="auto"/>
                <w:sz w:val="20"/>
                <w:szCs w:val="20"/>
                <w:shd w:val="clear" w:color="auto" w:fill="FFFFFF"/>
                <w:lang w:eastAsia="zh-CN" w:bidi="ar"/>
              </w:rPr>
              <w:t>、违约责任</w:t>
            </w:r>
          </w:p>
          <w:p w14:paraId="1253AD3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 如因成交供应商原因所导致的一切安全事故、责任和后果，由成交供应商承担一切责任，采购人保留追究成交供应商法律责任及赔偿的权利。</w:t>
            </w:r>
          </w:p>
          <w:p w14:paraId="5C3299C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 成交供应商未按时完成项目，每延误一天按中标总额的5‰向采购人交付违约金，若延误超过30天，采购人有权终止合同，成交供应商应按照中标总金额的30%向采购人支付违约金，并由此引起的经济损失由成交供应商承担。</w:t>
            </w:r>
          </w:p>
          <w:p w14:paraId="0427E78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 对成交供应商不按规定履行义务，在服务中弄虚作假或严重不负责任的，或转包、分包本服务项目的，采购人有权终止合同。</w:t>
            </w:r>
          </w:p>
          <w:p w14:paraId="758CC5A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 成交供应商无故放弃成交资格的，向采购人支付成交价的5%的违约金。</w:t>
            </w:r>
          </w:p>
          <w:p w14:paraId="2474D53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 质保期内，若未在规定4小时内到达现场作出有效响应及处理的，每次扣减500元。</w:t>
            </w:r>
          </w:p>
          <w:p w14:paraId="1CE78C5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 若项目安装质量不符合要求的，必须在限期内进行整改，若不处理，采购人有权另外委托第三方公司处理，由此产生的所有费用由成交供应商负责，采购人有权向成交供应商追索费用，同时成交供应商还须向采购人支付该项项目结算费用的30%的违约金。</w:t>
            </w:r>
          </w:p>
          <w:p w14:paraId="0CB879D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 若合同有效期内，发生严重单次安全事故导致人员重伤、死亡或严重财产损失，采购人有权解除合同，成交供应商须按照过错程度承担相关责任及赔偿并向采购人支付五万元的违约金。</w:t>
            </w:r>
          </w:p>
          <w:p w14:paraId="780889D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8. 成交供应商使用的材料、工具、器械等应当符合国家安全标准，不得使用不合格产品，一经发现，采购人有权解除合同，成交供应商须承担相关责任及赔偿并向采购人支付五万元的违约金。</w:t>
            </w:r>
          </w:p>
          <w:p w14:paraId="78834D5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9. 若成交供应商提供的服务存在其他严重不符合用户需求书以及响应文件规定的情形的，采购人有权解除合同，成交供应商须承担相关责任及赔偿并向采购人支付五万元的违约金。</w:t>
            </w:r>
          </w:p>
          <w:p w14:paraId="270DDC9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10. 若因成交供应商服务不到位，收到科室投诉或被检查发现不达标每次扣减300元，严重情况加倍扣罚；维修质量不达标或屡次维修达不到使用要求每次扣减500元。</w:t>
            </w:r>
          </w:p>
          <w:p w14:paraId="55F4DFC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11. 若因成交供应商服务，造成采购人遭受任何第三方主张赔偿、补偿或罚款及其他经济损失的，采购人为维权而产生律师费等维权支出的，采购人有权就赔偿、补偿或罚款及维权支出等费用全额向成交供应商服务追偿。</w:t>
            </w:r>
          </w:p>
          <w:p w14:paraId="68AE80D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12. 其它违约责任按《中华人民共和国民法典》处理。</w:t>
            </w:r>
          </w:p>
        </w:tc>
        <w:tc>
          <w:tcPr>
            <w:tcW w:w="1410" w:type="dxa"/>
          </w:tcPr>
          <w:p w14:paraId="63477C59">
            <w:pPr>
              <w:pStyle w:val="11"/>
              <w:rPr>
                <w:rFonts w:ascii="宋体" w:hAnsi="宋体" w:eastAsia="宋体" w:cs="宋体"/>
                <w:lang w:eastAsia="zh-CN"/>
              </w:rPr>
            </w:pPr>
          </w:p>
        </w:tc>
        <w:tc>
          <w:tcPr>
            <w:tcW w:w="1065" w:type="dxa"/>
          </w:tcPr>
          <w:p w14:paraId="17855BC8">
            <w:pPr>
              <w:pStyle w:val="11"/>
              <w:rPr>
                <w:rFonts w:ascii="宋体" w:hAnsi="宋体" w:eastAsia="宋体" w:cs="宋体"/>
                <w:lang w:eastAsia="zh-CN"/>
              </w:rPr>
            </w:pPr>
          </w:p>
        </w:tc>
        <w:tc>
          <w:tcPr>
            <w:tcW w:w="1065" w:type="dxa"/>
          </w:tcPr>
          <w:p w14:paraId="6A11C7ED">
            <w:pPr>
              <w:pStyle w:val="11"/>
              <w:rPr>
                <w:rFonts w:ascii="宋体" w:hAnsi="宋体" w:eastAsia="宋体" w:cs="宋体"/>
                <w:lang w:eastAsia="zh-CN"/>
              </w:rPr>
            </w:pPr>
          </w:p>
        </w:tc>
      </w:tr>
      <w:tr w14:paraId="52E3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7CDC09F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475" w:type="dxa"/>
          </w:tcPr>
          <w:p w14:paraId="618F796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八、评审方式</w:t>
            </w:r>
          </w:p>
          <w:p w14:paraId="2EE23B1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本项目的评审采用最低价法（报价格式详见响应文件模板中（一）报价单），在符合项目需求的前提下，选取最低价格为拟中选供应商，如有两家或以上供应商相同报价时，以平台响应报名时间更早者为优先。</w:t>
            </w:r>
          </w:p>
        </w:tc>
        <w:tc>
          <w:tcPr>
            <w:tcW w:w="1410" w:type="dxa"/>
          </w:tcPr>
          <w:p w14:paraId="4EB37635">
            <w:pPr>
              <w:pStyle w:val="11"/>
              <w:rPr>
                <w:rFonts w:ascii="宋体" w:hAnsi="宋体" w:eastAsia="宋体" w:cs="宋体"/>
                <w:lang w:eastAsia="zh-CN"/>
              </w:rPr>
            </w:pPr>
          </w:p>
        </w:tc>
        <w:tc>
          <w:tcPr>
            <w:tcW w:w="1065" w:type="dxa"/>
          </w:tcPr>
          <w:p w14:paraId="42F4AC19">
            <w:pPr>
              <w:pStyle w:val="11"/>
              <w:rPr>
                <w:rFonts w:ascii="宋体" w:hAnsi="宋体" w:eastAsia="宋体" w:cs="宋体"/>
                <w:lang w:eastAsia="zh-CN"/>
              </w:rPr>
            </w:pPr>
          </w:p>
        </w:tc>
        <w:tc>
          <w:tcPr>
            <w:tcW w:w="1065" w:type="dxa"/>
          </w:tcPr>
          <w:p w14:paraId="7C2EA142">
            <w:pPr>
              <w:pStyle w:val="11"/>
              <w:rPr>
                <w:rFonts w:ascii="宋体" w:hAnsi="宋体" w:eastAsia="宋体" w:cs="宋体"/>
                <w:lang w:eastAsia="zh-CN"/>
              </w:rPr>
            </w:pPr>
          </w:p>
        </w:tc>
      </w:tr>
    </w:tbl>
    <w:p w14:paraId="5EFF081B">
      <w:pPr>
        <w:rPr>
          <w:lang w:eastAsia="zh-CN"/>
        </w:rPr>
      </w:pPr>
    </w:p>
    <w:p w14:paraId="3447D6D1">
      <w:pPr>
        <w:rPr>
          <w:lang w:eastAsia="zh-CN"/>
        </w:rPr>
      </w:pPr>
      <w:r>
        <w:rPr>
          <w:lang w:eastAsia="zh-CN"/>
        </w:rPr>
        <w:br w:type="page"/>
      </w:r>
    </w:p>
    <w:p w14:paraId="0B84180D">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十二、拟投入人员配置清单：</w:t>
      </w:r>
    </w:p>
    <w:p w14:paraId="348DF894">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 拟投入项目负责人:1名。</w:t>
      </w:r>
    </w:p>
    <w:p w14:paraId="68CADD2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 拟投入维修人员：多名。对于高空作业、有限空间作业、焊接作业、压力管道作业、带电作业等需持证上岗的项目，维修人员必须持有相应的有效资格证书，并提前向采购人报备。</w:t>
      </w:r>
    </w:p>
    <w:p w14:paraId="7D41CDD9">
      <w:pPr>
        <w:keepNext w:val="0"/>
        <w:keepLines w:val="0"/>
        <w:pageBreakBefore w:val="0"/>
        <w:widowControl/>
        <w:kinsoku w:val="0"/>
        <w:wordWrap/>
        <w:overflowPunct/>
        <w:topLinePunct w:val="0"/>
        <w:autoSpaceDE w:val="0"/>
        <w:autoSpaceDN w:val="0"/>
        <w:bidi w:val="0"/>
        <w:adjustRightInd w:val="0"/>
        <w:snapToGrid w:val="0"/>
        <w:spacing w:before="0" w:beforeLines="10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w:t>
      </w:r>
    </w:p>
    <w:p w14:paraId="4A274DAC">
      <w:pPr>
        <w:spacing w:before="41" w:line="227" w:lineRule="auto"/>
        <w:jc w:val="both"/>
        <w:rPr>
          <w:rFonts w:hint="eastAsia" w:ascii="宋体" w:hAnsi="宋体" w:eastAsia="宋体" w:cs="宋体"/>
          <w:b/>
          <w:bCs/>
          <w:spacing w:val="5"/>
          <w:sz w:val="20"/>
          <w:szCs w:val="20"/>
          <w:lang w:val="en-US" w:eastAsia="zh-CN"/>
        </w:rPr>
      </w:pPr>
    </w:p>
    <w:tbl>
      <w:tblPr>
        <w:tblStyle w:val="10"/>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5049427">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项目负责人</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41" w:line="227" w:lineRule="auto"/>
              <w:jc w:val="cente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41" w:line="227" w:lineRule="auto"/>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41" w:line="227" w:lineRule="auto"/>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41" w:line="227" w:lineRule="auto"/>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41" w:line="227" w:lineRule="auto"/>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41" w:line="227" w:lineRule="auto"/>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41" w:line="227" w:lineRule="auto"/>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49B9EC5F">
      <w:pPr>
        <w:spacing w:before="41" w:line="227" w:lineRule="auto"/>
        <w:jc w:val="both"/>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注：供应商必须如实填写此表格。（此表可延长）</w:t>
      </w:r>
    </w:p>
    <w:p w14:paraId="29D420FE">
      <w:pPr>
        <w:rPr>
          <w:rFonts w:ascii="宋体" w:hAnsi="宋体" w:eastAsia="宋体" w:cs="宋体"/>
          <w:b/>
          <w:bCs/>
          <w:spacing w:val="5"/>
          <w:sz w:val="20"/>
          <w:szCs w:val="20"/>
          <w:lang w:eastAsia="zh-CN"/>
        </w:rPr>
      </w:pPr>
      <w:r>
        <w:rPr>
          <w:rFonts w:ascii="宋体" w:hAnsi="宋体" w:eastAsia="宋体" w:cs="宋体"/>
          <w:b/>
          <w:bCs/>
          <w:spacing w:val="5"/>
          <w:sz w:val="20"/>
          <w:szCs w:val="20"/>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十三、近三年同类规模业绩相关证明文件，须提供合同关键页复印件（加盖公章）。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474" w:bottom="907" w:left="1474" w:header="0" w:footer="0" w:gutter="0"/>
          <w:cols w:space="720" w:num="1"/>
        </w:sectPr>
      </w:pPr>
    </w:p>
    <w:p w14:paraId="1E0512C9">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承诺函（格式自拟，加盖公章），包括但不限于：质保期内，成交供应商须提供24小时电话响应服务，确保在1小时内作出响应，4小时内到场排查故障，8小时内完成修复处理。若成交供应商未按约定时间履行维修义务，采购人有权另行安排维修，由此产生的相关费用由成交供应商承担，并从质量保证金中予以扣除。若故障在8小时内无法修复，成交供应商须在24小时内提供相同类型的设备进行更换。</w:t>
      </w:r>
    </w:p>
    <w:p w14:paraId="093ECB0B">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包括但不限于：项目实施方案、应急方案、售后服务方案等。</w:t>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eastAsia="zh-CN"/>
        </w:rPr>
        <w:br w:type="page"/>
      </w: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E26336"/>
    <w:rsid w:val="03945D38"/>
    <w:rsid w:val="04CE0985"/>
    <w:rsid w:val="05D250F6"/>
    <w:rsid w:val="06794550"/>
    <w:rsid w:val="06BE352D"/>
    <w:rsid w:val="07D772C8"/>
    <w:rsid w:val="07DE22A7"/>
    <w:rsid w:val="0851471E"/>
    <w:rsid w:val="08805332"/>
    <w:rsid w:val="0A1B60BD"/>
    <w:rsid w:val="0A382368"/>
    <w:rsid w:val="0D5D5C42"/>
    <w:rsid w:val="0E881903"/>
    <w:rsid w:val="0E9C78E3"/>
    <w:rsid w:val="0F846B80"/>
    <w:rsid w:val="10D939A5"/>
    <w:rsid w:val="126C008B"/>
    <w:rsid w:val="1291195C"/>
    <w:rsid w:val="13666B31"/>
    <w:rsid w:val="15DE349E"/>
    <w:rsid w:val="16CC646C"/>
    <w:rsid w:val="16DD5993"/>
    <w:rsid w:val="18C80C4B"/>
    <w:rsid w:val="1A923556"/>
    <w:rsid w:val="1C616530"/>
    <w:rsid w:val="1E1A106F"/>
    <w:rsid w:val="1E9D0594"/>
    <w:rsid w:val="1EA21FDF"/>
    <w:rsid w:val="1EDF5020"/>
    <w:rsid w:val="1F51709C"/>
    <w:rsid w:val="1FCB0CC2"/>
    <w:rsid w:val="20607AD1"/>
    <w:rsid w:val="20BE2A44"/>
    <w:rsid w:val="22732647"/>
    <w:rsid w:val="23197101"/>
    <w:rsid w:val="231E7145"/>
    <w:rsid w:val="23487B36"/>
    <w:rsid w:val="238B6F39"/>
    <w:rsid w:val="267A1EFC"/>
    <w:rsid w:val="2695736E"/>
    <w:rsid w:val="26B446CD"/>
    <w:rsid w:val="27867BF7"/>
    <w:rsid w:val="281105FD"/>
    <w:rsid w:val="28580DF7"/>
    <w:rsid w:val="2AB638E3"/>
    <w:rsid w:val="2D33115B"/>
    <w:rsid w:val="2F5129F3"/>
    <w:rsid w:val="2F7E615E"/>
    <w:rsid w:val="336C189B"/>
    <w:rsid w:val="34134735"/>
    <w:rsid w:val="36073C0B"/>
    <w:rsid w:val="38C07497"/>
    <w:rsid w:val="3B082DE1"/>
    <w:rsid w:val="3EB26D88"/>
    <w:rsid w:val="3F7A12F5"/>
    <w:rsid w:val="40671DCB"/>
    <w:rsid w:val="40C03509"/>
    <w:rsid w:val="41C53BAE"/>
    <w:rsid w:val="433379C8"/>
    <w:rsid w:val="440B586E"/>
    <w:rsid w:val="4427517F"/>
    <w:rsid w:val="49A32D66"/>
    <w:rsid w:val="4A4831FA"/>
    <w:rsid w:val="4C030C69"/>
    <w:rsid w:val="4FAF7B58"/>
    <w:rsid w:val="50573AD2"/>
    <w:rsid w:val="5178029F"/>
    <w:rsid w:val="54B97F1A"/>
    <w:rsid w:val="5500455B"/>
    <w:rsid w:val="556A1102"/>
    <w:rsid w:val="5774562F"/>
    <w:rsid w:val="58514D81"/>
    <w:rsid w:val="58EA5D45"/>
    <w:rsid w:val="590B523B"/>
    <w:rsid w:val="5A276988"/>
    <w:rsid w:val="5E5E5F4E"/>
    <w:rsid w:val="5F1A2F60"/>
    <w:rsid w:val="6AE7340E"/>
    <w:rsid w:val="6B147BF9"/>
    <w:rsid w:val="6C143FC0"/>
    <w:rsid w:val="73252077"/>
    <w:rsid w:val="7372318C"/>
    <w:rsid w:val="75E87F4B"/>
    <w:rsid w:val="790F76AC"/>
    <w:rsid w:val="796901D9"/>
    <w:rsid w:val="7CF17C98"/>
    <w:rsid w:val="7D421EF0"/>
    <w:rsid w:val="7EBE700C"/>
    <w:rsid w:val="7EEC0B7A"/>
    <w:rsid w:val="7F480AFB"/>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2"/>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character" w:styleId="8">
    <w:name w:val="Strong"/>
    <w:basedOn w:val="7"/>
    <w:qFormat/>
    <w:uiPriority w:val="0"/>
    <w:rPr>
      <w:b/>
    </w:rPr>
  </w:style>
  <w:style w:type="paragraph" w:customStyle="1" w:styleId="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4"/>
    <w:autoRedefine/>
    <w:qFormat/>
    <w:uiPriority w:val="0"/>
    <w:rPr>
      <w:szCs w:val="20"/>
    </w:rPr>
  </w:style>
  <w:style w:type="character" w:customStyle="1" w:styleId="13">
    <w:name w:val="font11"/>
    <w:basedOn w:val="7"/>
    <w:autoRedefine/>
    <w:qFormat/>
    <w:uiPriority w:val="0"/>
    <w:rPr>
      <w:rFonts w:hint="eastAsia" w:ascii="宋体" w:hAnsi="宋体" w:eastAsia="宋体" w:cs="宋体"/>
      <w:color w:val="000000"/>
      <w:sz w:val="22"/>
      <w:szCs w:val="22"/>
      <w:u w:val="single"/>
    </w:rPr>
  </w:style>
  <w:style w:type="character" w:customStyle="1" w:styleId="14">
    <w:name w:val="font31"/>
    <w:basedOn w:val="7"/>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4480</Words>
  <Characters>4746</Characters>
  <Lines>55</Lines>
  <Paragraphs>15</Paragraphs>
  <TotalTime>0</TotalTime>
  <ScaleCrop>false</ScaleCrop>
  <LinksUpToDate>false</LinksUpToDate>
  <CharactersWithSpaces>5139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2026-07-10T08:41:29Z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