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中山市东升医院2026年度桶装水及支装水协议供货项目</w:t>
      </w:r>
      <w:r>
        <w:rPr>
          <w:rFonts w:ascii="宋体" w:hAnsi="宋体" w:eastAsia="宋体" w:cs="宋体"/>
          <w:b/>
          <w:bCs/>
          <w:spacing w:val="4"/>
          <w:sz w:val="47"/>
          <w:szCs w:val="47"/>
          <w:lang w:eastAsia="zh-CN"/>
        </w:rPr>
        <w:t>响应文件</w:t>
      </w:r>
    </w:p>
    <w:p w14:paraId="338CD2FE">
      <w:pPr>
        <w:pStyle w:val="2"/>
        <w:spacing w:line="247" w:lineRule="auto"/>
        <w:rPr>
          <w:lang w:eastAsia="zh-CN"/>
        </w:rPr>
      </w:pPr>
    </w:p>
    <w:p w14:paraId="1073FC52">
      <w:pPr>
        <w:pStyle w:val="2"/>
        <w:spacing w:line="247" w:lineRule="auto"/>
        <w:rPr>
          <w:lang w:eastAsia="zh-CN"/>
        </w:rPr>
      </w:pPr>
    </w:p>
    <w:p w14:paraId="76DBF516">
      <w:pPr>
        <w:pStyle w:val="2"/>
        <w:spacing w:line="247" w:lineRule="auto"/>
        <w:rPr>
          <w:lang w:eastAsia="zh-CN"/>
        </w:rPr>
      </w:pPr>
    </w:p>
    <w:p w14:paraId="7E46F770">
      <w:pPr>
        <w:pStyle w:val="2"/>
        <w:spacing w:line="247" w:lineRule="auto"/>
        <w:rPr>
          <w:lang w:eastAsia="zh-CN"/>
        </w:rPr>
      </w:pPr>
    </w:p>
    <w:p w14:paraId="769B815E">
      <w:pPr>
        <w:pStyle w:val="2"/>
        <w:spacing w:line="247" w:lineRule="auto"/>
        <w:rPr>
          <w:lang w:eastAsia="zh-CN"/>
        </w:rPr>
      </w:pPr>
    </w:p>
    <w:p w14:paraId="7B529BE3">
      <w:pPr>
        <w:pStyle w:val="2"/>
        <w:spacing w:line="247" w:lineRule="auto"/>
        <w:rPr>
          <w:lang w:eastAsia="zh-CN"/>
        </w:rPr>
      </w:pPr>
    </w:p>
    <w:p w14:paraId="16208457">
      <w:pPr>
        <w:pStyle w:val="2"/>
        <w:spacing w:line="247" w:lineRule="auto"/>
        <w:rPr>
          <w:lang w:eastAsia="zh-CN"/>
        </w:rPr>
      </w:pPr>
    </w:p>
    <w:p w14:paraId="5723285D">
      <w:pPr>
        <w:pStyle w:val="2"/>
        <w:spacing w:line="248" w:lineRule="auto"/>
        <w:rPr>
          <w:lang w:eastAsia="zh-CN"/>
        </w:rPr>
      </w:pPr>
    </w:p>
    <w:p w14:paraId="37C9723C">
      <w:pPr>
        <w:pStyle w:val="2"/>
        <w:spacing w:line="248" w:lineRule="auto"/>
        <w:rPr>
          <w:lang w:eastAsia="zh-CN"/>
        </w:rPr>
      </w:pPr>
    </w:p>
    <w:p w14:paraId="58D11985">
      <w:pPr>
        <w:pStyle w:val="2"/>
        <w:spacing w:line="248" w:lineRule="auto"/>
        <w:rPr>
          <w:lang w:eastAsia="zh-CN"/>
        </w:rPr>
      </w:pPr>
    </w:p>
    <w:p w14:paraId="5E2B3D32">
      <w:pPr>
        <w:pStyle w:val="2"/>
        <w:spacing w:line="248" w:lineRule="auto"/>
        <w:rPr>
          <w:lang w:eastAsia="zh-CN"/>
        </w:rPr>
      </w:pPr>
    </w:p>
    <w:p w14:paraId="7F891FFF">
      <w:pPr>
        <w:pStyle w:val="2"/>
        <w:spacing w:line="248" w:lineRule="auto"/>
        <w:rPr>
          <w:lang w:eastAsia="zh-CN"/>
        </w:rPr>
      </w:pPr>
    </w:p>
    <w:p w14:paraId="2B03D7A3">
      <w:pPr>
        <w:pStyle w:val="2"/>
        <w:spacing w:line="248" w:lineRule="auto"/>
        <w:rPr>
          <w:lang w:eastAsia="zh-CN"/>
        </w:rPr>
      </w:pPr>
    </w:p>
    <w:p w14:paraId="21F1022D">
      <w:pPr>
        <w:pStyle w:val="2"/>
        <w:spacing w:line="248" w:lineRule="auto"/>
        <w:rPr>
          <w:lang w:eastAsia="zh-CN"/>
        </w:rPr>
      </w:pPr>
    </w:p>
    <w:p w14:paraId="2F827075">
      <w:pPr>
        <w:pStyle w:val="2"/>
        <w:spacing w:line="248" w:lineRule="auto"/>
        <w:rPr>
          <w:lang w:eastAsia="zh-CN"/>
        </w:rPr>
      </w:pPr>
    </w:p>
    <w:p w14:paraId="0713AC1F">
      <w:pPr>
        <w:pStyle w:val="2"/>
        <w:spacing w:line="248" w:lineRule="auto"/>
        <w:rPr>
          <w:lang w:eastAsia="zh-CN"/>
        </w:rPr>
      </w:pPr>
    </w:p>
    <w:p w14:paraId="7F42F37A">
      <w:pPr>
        <w:pStyle w:val="2"/>
        <w:spacing w:line="248" w:lineRule="auto"/>
        <w:rPr>
          <w:lang w:eastAsia="zh-CN"/>
        </w:rPr>
      </w:pPr>
    </w:p>
    <w:p w14:paraId="514364A2">
      <w:pPr>
        <w:pStyle w:val="2"/>
        <w:spacing w:line="248" w:lineRule="auto"/>
        <w:rPr>
          <w:lang w:eastAsia="zh-CN"/>
        </w:rPr>
      </w:pPr>
    </w:p>
    <w:p w14:paraId="1626D0EF">
      <w:pPr>
        <w:pStyle w:val="2"/>
        <w:spacing w:line="248" w:lineRule="auto"/>
        <w:rPr>
          <w:lang w:eastAsia="zh-CN"/>
        </w:rPr>
      </w:pPr>
    </w:p>
    <w:p w14:paraId="45CE5823">
      <w:pPr>
        <w:pStyle w:val="2"/>
        <w:spacing w:line="248" w:lineRule="auto"/>
        <w:rPr>
          <w:lang w:eastAsia="zh-CN"/>
        </w:rPr>
      </w:pPr>
    </w:p>
    <w:p w14:paraId="3F3159DE">
      <w:pPr>
        <w:pStyle w:val="2"/>
        <w:spacing w:line="248" w:lineRule="auto"/>
        <w:rPr>
          <w:lang w:eastAsia="zh-CN"/>
        </w:rPr>
      </w:pPr>
    </w:p>
    <w:p w14:paraId="16776187">
      <w:pPr>
        <w:pStyle w:val="2"/>
        <w:spacing w:line="248" w:lineRule="auto"/>
        <w:rPr>
          <w:lang w:eastAsia="zh-CN"/>
        </w:rPr>
      </w:pPr>
    </w:p>
    <w:p w14:paraId="17459F8B">
      <w:pPr>
        <w:pStyle w:val="2"/>
        <w:spacing w:line="248" w:lineRule="auto"/>
        <w:rPr>
          <w:lang w:eastAsia="zh-CN"/>
        </w:rPr>
      </w:pPr>
    </w:p>
    <w:p w14:paraId="7464C756">
      <w:pPr>
        <w:pStyle w:val="2"/>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06CE8DBD">
      <w:pPr>
        <w:keepNext w:val="0"/>
        <w:keepLines w:val="0"/>
        <w:pageBreakBefore w:val="0"/>
        <w:widowControl/>
        <w:kinsoku w:val="0"/>
        <w:wordWrap/>
        <w:overflowPunct/>
        <w:topLinePunct w:val="0"/>
        <w:autoSpaceDE w:val="0"/>
        <w:autoSpaceDN w:val="0"/>
        <w:bidi w:val="0"/>
        <w:adjustRightInd w:val="0"/>
        <w:snapToGrid w:val="0"/>
        <w:spacing w:after="0" w:afterLines="50"/>
        <w:textAlignment w:val="baseline"/>
        <w:rPr>
          <w:rFonts w:hint="default" w:eastAsia="宋体"/>
          <w:b/>
          <w:bCs/>
          <w:lang w:val="en-US" w:eastAsia="zh-CN"/>
        </w:rPr>
      </w:pPr>
      <w:r>
        <w:rPr>
          <w:rFonts w:hint="eastAsia" w:eastAsia="宋体"/>
          <w:b/>
          <w:bCs/>
          <w:lang w:val="en-US" w:eastAsia="zh-CN"/>
        </w:rPr>
        <w:t>总价报价：</w:t>
      </w:r>
    </w:p>
    <w:tbl>
      <w:tblPr>
        <w:tblStyle w:val="10"/>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3789"/>
        <w:gridCol w:w="3046"/>
        <w:gridCol w:w="2259"/>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85" w:hRule="atLeast"/>
          <w:jc w:val="center"/>
        </w:trPr>
        <w:tc>
          <w:tcPr>
            <w:tcW w:w="3789"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3046"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val="en-US" w:eastAsia="zh-CN"/>
              </w:rPr>
              <w:t>下浮率报价</w:t>
            </w: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lang w:eastAsia="zh-CN"/>
              </w:rPr>
              <w:t>）</w:t>
            </w:r>
          </w:p>
        </w:tc>
        <w:tc>
          <w:tcPr>
            <w:tcW w:w="2259"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74" w:hRule="atLeast"/>
          <w:jc w:val="center"/>
        </w:trPr>
        <w:tc>
          <w:tcPr>
            <w:tcW w:w="3789"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中山市东升医院2026年度桶装水及支装水协议供货项目</w:t>
            </w:r>
          </w:p>
        </w:tc>
        <w:tc>
          <w:tcPr>
            <w:tcW w:w="3046"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tc>
        <w:tc>
          <w:tcPr>
            <w:tcW w:w="2259" w:type="dxa"/>
            <w:vAlign w:val="center"/>
          </w:tcPr>
          <w:p w14:paraId="417A2084">
            <w:pPr>
              <w:jc w:val="center"/>
              <w:rPr>
                <w:rFonts w:hint="default" w:eastAsia="宋体"/>
                <w:lang w:val="en-US" w:eastAsia="zh-CN"/>
              </w:rPr>
            </w:pPr>
          </w:p>
        </w:tc>
      </w:tr>
    </w:tbl>
    <w:p w14:paraId="06BFCCF9">
      <w:pPr>
        <w:pStyle w:val="2"/>
        <w:spacing w:line="371" w:lineRule="auto"/>
      </w:pPr>
    </w:p>
    <w:p w14:paraId="0CB10FAC">
      <w:pPr>
        <w:pStyle w:val="2"/>
        <w:spacing w:line="371" w:lineRule="auto"/>
        <w:rPr>
          <w:b/>
          <w:bCs/>
        </w:rPr>
      </w:pPr>
      <w:r>
        <w:rPr>
          <w:rFonts w:hint="eastAsia"/>
          <w:b/>
          <w:bCs/>
          <w:lang w:val="en-US" w:eastAsia="zh-CN"/>
        </w:rPr>
        <w:t>项目清单：</w:t>
      </w:r>
    </w:p>
    <w:tbl>
      <w:tblPr>
        <w:tblStyle w:val="10"/>
        <w:tblW w:w="913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990"/>
        <w:gridCol w:w="2100"/>
        <w:gridCol w:w="1695"/>
        <w:gridCol w:w="2820"/>
        <w:gridCol w:w="1530"/>
      </w:tblGrid>
      <w:tr w14:paraId="7F2648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11" w:hRule="atLeast"/>
          <w:jc w:val="center"/>
        </w:trPr>
        <w:tc>
          <w:tcPr>
            <w:tcW w:w="990" w:type="dxa"/>
            <w:tcBorders>
              <w:right w:val="single" w:color="auto" w:sz="4" w:space="0"/>
            </w:tcBorders>
            <w:vAlign w:val="center"/>
          </w:tcPr>
          <w:p w14:paraId="10FE7015">
            <w:pPr>
              <w:pStyle w:val="2"/>
              <w:spacing w:line="240" w:lineRule="auto"/>
              <w:jc w:val="center"/>
              <w:rPr>
                <w:rFonts w:hint="eastAsia" w:eastAsia="宋体"/>
                <w:b/>
                <w:bCs/>
                <w:lang w:val="en-US" w:eastAsia="zh-CN"/>
              </w:rPr>
            </w:pPr>
            <w:r>
              <w:rPr>
                <w:rFonts w:hint="eastAsia" w:eastAsia="宋体"/>
                <w:b/>
                <w:bCs/>
                <w:lang w:val="en-US" w:eastAsia="zh-CN"/>
              </w:rPr>
              <w:t>序号</w:t>
            </w:r>
          </w:p>
        </w:tc>
        <w:tc>
          <w:tcPr>
            <w:tcW w:w="2100" w:type="dxa"/>
            <w:tcBorders>
              <w:left w:val="single" w:color="auto" w:sz="4" w:space="0"/>
              <w:right w:val="single" w:color="auto" w:sz="4" w:space="0"/>
            </w:tcBorders>
            <w:vAlign w:val="center"/>
          </w:tcPr>
          <w:p w14:paraId="434DF748">
            <w:pPr>
              <w:pStyle w:val="2"/>
              <w:spacing w:line="240" w:lineRule="auto"/>
              <w:jc w:val="center"/>
              <w:rPr>
                <w:rFonts w:hint="eastAsia" w:eastAsia="宋体"/>
                <w:b/>
                <w:bCs/>
                <w:lang w:val="en-US" w:eastAsia="zh-CN"/>
              </w:rPr>
            </w:pPr>
            <w:r>
              <w:rPr>
                <w:rFonts w:hint="eastAsia" w:eastAsia="宋体"/>
                <w:b/>
                <w:bCs/>
                <w:lang w:val="en-US" w:eastAsia="zh-CN"/>
              </w:rPr>
              <w:t>采购物品</w:t>
            </w:r>
          </w:p>
          <w:p w14:paraId="742220D2">
            <w:pPr>
              <w:pStyle w:val="2"/>
              <w:spacing w:line="240" w:lineRule="auto"/>
              <w:jc w:val="center"/>
              <w:rPr>
                <w:rFonts w:hint="default" w:eastAsia="宋体"/>
                <w:b/>
                <w:bCs/>
                <w:lang w:val="en-US" w:eastAsia="zh-CN"/>
              </w:rPr>
            </w:pPr>
            <w:r>
              <w:rPr>
                <w:rFonts w:hint="eastAsia" w:eastAsia="宋体"/>
                <w:b/>
                <w:bCs/>
                <w:lang w:val="en-US" w:eastAsia="zh-CN"/>
              </w:rPr>
              <w:t>名称</w:t>
            </w:r>
          </w:p>
        </w:tc>
        <w:tc>
          <w:tcPr>
            <w:tcW w:w="1695" w:type="dxa"/>
            <w:tcBorders>
              <w:left w:val="single" w:color="auto" w:sz="4" w:space="0"/>
            </w:tcBorders>
            <w:vAlign w:val="center"/>
          </w:tcPr>
          <w:p w14:paraId="048A7746">
            <w:pPr>
              <w:pStyle w:val="2"/>
              <w:spacing w:line="240" w:lineRule="auto"/>
              <w:jc w:val="center"/>
              <w:rPr>
                <w:rFonts w:hint="default" w:eastAsia="宋体"/>
                <w:b/>
                <w:bCs/>
                <w:lang w:val="en-US" w:eastAsia="zh-CN"/>
              </w:rPr>
            </w:pPr>
            <w:r>
              <w:rPr>
                <w:rFonts w:hint="eastAsia" w:eastAsia="宋体"/>
                <w:b/>
                <w:bCs/>
                <w:lang w:val="en-US" w:eastAsia="zh-CN"/>
              </w:rPr>
              <w:t>规格单位</w:t>
            </w:r>
          </w:p>
        </w:tc>
        <w:tc>
          <w:tcPr>
            <w:tcW w:w="2820" w:type="dxa"/>
            <w:tcBorders>
              <w:right w:val="single" w:color="auto" w:sz="4" w:space="0"/>
            </w:tcBorders>
            <w:vAlign w:val="center"/>
          </w:tcPr>
          <w:p w14:paraId="365563A9">
            <w:pPr>
              <w:pStyle w:val="2"/>
              <w:spacing w:line="240" w:lineRule="auto"/>
              <w:jc w:val="center"/>
              <w:rPr>
                <w:rFonts w:hint="default"/>
                <w:b/>
                <w:bCs/>
                <w:lang w:val="en-US" w:eastAsia="zh-CN"/>
              </w:rPr>
            </w:pPr>
            <w:r>
              <w:rPr>
                <w:rFonts w:hint="eastAsia"/>
                <w:b/>
                <w:bCs/>
                <w:lang w:val="en-US" w:eastAsia="zh-CN"/>
              </w:rPr>
              <w:t>意向品牌</w:t>
            </w:r>
          </w:p>
        </w:tc>
        <w:tc>
          <w:tcPr>
            <w:tcW w:w="1530" w:type="dxa"/>
            <w:vAlign w:val="center"/>
          </w:tcPr>
          <w:p w14:paraId="39214C3A">
            <w:pPr>
              <w:pStyle w:val="2"/>
              <w:spacing w:line="240" w:lineRule="auto"/>
              <w:jc w:val="center"/>
              <w:rPr>
                <w:rFonts w:hint="eastAsia" w:eastAsia="宋体"/>
                <w:b/>
                <w:bCs/>
                <w:lang w:val="en-US" w:eastAsia="zh-CN"/>
              </w:rPr>
            </w:pPr>
            <w:r>
              <w:rPr>
                <w:rFonts w:hint="eastAsia" w:eastAsia="宋体"/>
                <w:b/>
                <w:bCs/>
                <w:lang w:val="en-US" w:eastAsia="zh-CN"/>
              </w:rPr>
              <w:t>备注</w:t>
            </w:r>
          </w:p>
        </w:tc>
      </w:tr>
      <w:tr w14:paraId="47703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9" w:hRule="exact"/>
          <w:jc w:val="center"/>
        </w:trPr>
        <w:tc>
          <w:tcPr>
            <w:tcW w:w="990" w:type="dxa"/>
            <w:tcBorders>
              <w:right w:val="single" w:color="auto" w:sz="4" w:space="0"/>
            </w:tcBorders>
            <w:vAlign w:val="center"/>
          </w:tcPr>
          <w:p w14:paraId="114D72B4">
            <w:pPr>
              <w:pStyle w:val="2"/>
              <w:keepNext w:val="0"/>
              <w:keepLines w:val="0"/>
              <w:pageBreakBefore w:val="0"/>
              <w:widowControl/>
              <w:kinsoku w:val="0"/>
              <w:wordWrap/>
              <w:overflowPunct/>
              <w:topLinePunct w:val="0"/>
              <w:autoSpaceDE w:val="0"/>
              <w:autoSpaceDN w:val="0"/>
              <w:bidi w:val="0"/>
              <w:adjustRightInd w:val="0"/>
              <w:snapToGrid w:val="0"/>
              <w:spacing w:line="380" w:lineRule="exact"/>
              <w:jc w:val="center"/>
              <w:textAlignment w:val="baseline"/>
              <w:rPr>
                <w:rFonts w:hint="default"/>
                <w:lang w:val="en-US" w:eastAsia="zh-CN"/>
              </w:rPr>
            </w:pPr>
            <w:r>
              <w:rPr>
                <w:rFonts w:hint="eastAsia"/>
                <w:lang w:val="en-US" w:eastAsia="zh-CN"/>
              </w:rPr>
              <w:t>1</w:t>
            </w:r>
          </w:p>
        </w:tc>
        <w:tc>
          <w:tcPr>
            <w:tcW w:w="2100" w:type="dxa"/>
            <w:tcBorders>
              <w:left w:val="single" w:color="auto" w:sz="4" w:space="0"/>
              <w:right w:val="single" w:color="auto" w:sz="4" w:space="0"/>
            </w:tcBorders>
            <w:vAlign w:val="center"/>
          </w:tcPr>
          <w:p w14:paraId="1742AD52">
            <w:pPr>
              <w:pStyle w:val="2"/>
              <w:keepNext w:val="0"/>
              <w:keepLines w:val="0"/>
              <w:pageBreakBefore w:val="0"/>
              <w:widowControl/>
              <w:kinsoku w:val="0"/>
              <w:wordWrap/>
              <w:overflowPunct/>
              <w:topLinePunct w:val="0"/>
              <w:autoSpaceDE w:val="0"/>
              <w:autoSpaceDN w:val="0"/>
              <w:bidi w:val="0"/>
              <w:adjustRightInd w:val="0"/>
              <w:snapToGrid w:val="0"/>
              <w:spacing w:line="380" w:lineRule="exact"/>
              <w:jc w:val="center"/>
              <w:textAlignment w:val="baseline"/>
              <w:rPr>
                <w:rFonts w:hint="default"/>
                <w:lang w:val="en-US" w:eastAsia="zh-CN"/>
              </w:rPr>
            </w:pPr>
            <w:r>
              <w:rPr>
                <w:rFonts w:hint="eastAsia"/>
                <w:lang w:val="en-US" w:eastAsia="zh-CN"/>
              </w:rPr>
              <w:t>桶装水</w:t>
            </w:r>
          </w:p>
        </w:tc>
        <w:tc>
          <w:tcPr>
            <w:tcW w:w="1695" w:type="dxa"/>
            <w:tcBorders>
              <w:left w:val="single" w:color="auto" w:sz="4" w:space="0"/>
            </w:tcBorders>
            <w:vAlign w:val="center"/>
          </w:tcPr>
          <w:p w14:paraId="68209697">
            <w:pPr>
              <w:pStyle w:val="2"/>
              <w:keepNext w:val="0"/>
              <w:keepLines w:val="0"/>
              <w:pageBreakBefore w:val="0"/>
              <w:widowControl/>
              <w:kinsoku w:val="0"/>
              <w:wordWrap/>
              <w:overflowPunct/>
              <w:topLinePunct w:val="0"/>
              <w:autoSpaceDE w:val="0"/>
              <w:autoSpaceDN w:val="0"/>
              <w:bidi w:val="0"/>
              <w:adjustRightInd w:val="0"/>
              <w:snapToGrid w:val="0"/>
              <w:spacing w:line="380" w:lineRule="exact"/>
              <w:jc w:val="center"/>
              <w:textAlignment w:val="baseline"/>
              <w:rPr>
                <w:rFonts w:hint="default"/>
                <w:lang w:val="en-US" w:eastAsia="zh-CN"/>
              </w:rPr>
            </w:pPr>
            <w:r>
              <w:rPr>
                <w:rFonts w:hint="eastAsia"/>
                <w:lang w:val="en-US" w:eastAsia="zh-CN"/>
              </w:rPr>
              <w:t>桶</w:t>
            </w:r>
          </w:p>
        </w:tc>
        <w:tc>
          <w:tcPr>
            <w:tcW w:w="2820" w:type="dxa"/>
            <w:tcBorders>
              <w:right w:val="single" w:color="auto" w:sz="4" w:space="0"/>
            </w:tcBorders>
            <w:vAlign w:val="center"/>
          </w:tcPr>
          <w:p w14:paraId="58F4EEB6">
            <w:pPr>
              <w:pStyle w:val="2"/>
              <w:keepNext w:val="0"/>
              <w:keepLines w:val="0"/>
              <w:pageBreakBefore w:val="0"/>
              <w:widowControl/>
              <w:kinsoku w:val="0"/>
              <w:wordWrap/>
              <w:overflowPunct/>
              <w:topLinePunct w:val="0"/>
              <w:autoSpaceDE w:val="0"/>
              <w:autoSpaceDN w:val="0"/>
              <w:bidi w:val="0"/>
              <w:adjustRightInd w:val="0"/>
              <w:snapToGrid w:val="0"/>
              <w:spacing w:line="380" w:lineRule="exact"/>
              <w:jc w:val="center"/>
              <w:textAlignment w:val="baseline"/>
              <w:rPr>
                <w:rFonts w:hint="default"/>
                <w:lang w:val="en-US"/>
              </w:rPr>
            </w:pPr>
          </w:p>
        </w:tc>
        <w:tc>
          <w:tcPr>
            <w:tcW w:w="1530" w:type="dxa"/>
            <w:vAlign w:val="center"/>
          </w:tcPr>
          <w:p w14:paraId="066BCC25">
            <w:pPr>
              <w:pStyle w:val="2"/>
              <w:keepNext w:val="0"/>
              <w:keepLines w:val="0"/>
              <w:pageBreakBefore w:val="0"/>
              <w:widowControl/>
              <w:kinsoku w:val="0"/>
              <w:wordWrap/>
              <w:overflowPunct/>
              <w:topLinePunct w:val="0"/>
              <w:autoSpaceDE w:val="0"/>
              <w:autoSpaceDN w:val="0"/>
              <w:bidi w:val="0"/>
              <w:adjustRightInd w:val="0"/>
              <w:snapToGrid w:val="0"/>
              <w:spacing w:line="380" w:lineRule="exact"/>
              <w:jc w:val="center"/>
              <w:textAlignment w:val="baseline"/>
              <w:rPr>
                <w:rFonts w:hint="default"/>
                <w:lang w:val="en-US" w:eastAsia="zh-CN"/>
              </w:rPr>
            </w:pPr>
          </w:p>
        </w:tc>
      </w:tr>
      <w:tr w14:paraId="4AEC5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709" w:hRule="exact"/>
          <w:jc w:val="center"/>
        </w:trPr>
        <w:tc>
          <w:tcPr>
            <w:tcW w:w="990" w:type="dxa"/>
            <w:tcBorders>
              <w:right w:val="single" w:color="auto" w:sz="4" w:space="0"/>
            </w:tcBorders>
            <w:vAlign w:val="center"/>
          </w:tcPr>
          <w:p w14:paraId="41BA4B9D">
            <w:pPr>
              <w:pStyle w:val="2"/>
              <w:keepNext w:val="0"/>
              <w:keepLines w:val="0"/>
              <w:pageBreakBefore w:val="0"/>
              <w:widowControl/>
              <w:kinsoku w:val="0"/>
              <w:wordWrap/>
              <w:overflowPunct/>
              <w:topLinePunct w:val="0"/>
              <w:autoSpaceDE w:val="0"/>
              <w:autoSpaceDN w:val="0"/>
              <w:bidi w:val="0"/>
              <w:adjustRightInd w:val="0"/>
              <w:snapToGrid w:val="0"/>
              <w:spacing w:line="380" w:lineRule="exact"/>
              <w:jc w:val="center"/>
              <w:textAlignment w:val="baseline"/>
              <w:rPr>
                <w:rFonts w:hint="default"/>
                <w:lang w:val="en-US" w:eastAsia="zh-CN"/>
              </w:rPr>
            </w:pPr>
            <w:r>
              <w:rPr>
                <w:rFonts w:hint="eastAsia"/>
                <w:lang w:val="en-US" w:eastAsia="zh-CN"/>
              </w:rPr>
              <w:t>2</w:t>
            </w:r>
          </w:p>
        </w:tc>
        <w:tc>
          <w:tcPr>
            <w:tcW w:w="2100" w:type="dxa"/>
            <w:tcBorders>
              <w:left w:val="single" w:color="auto" w:sz="4" w:space="0"/>
              <w:right w:val="single" w:color="auto" w:sz="4" w:space="0"/>
            </w:tcBorders>
            <w:vAlign w:val="center"/>
          </w:tcPr>
          <w:p w14:paraId="2DBE661D">
            <w:pPr>
              <w:pStyle w:val="2"/>
              <w:keepNext w:val="0"/>
              <w:keepLines w:val="0"/>
              <w:pageBreakBefore w:val="0"/>
              <w:widowControl/>
              <w:kinsoku w:val="0"/>
              <w:wordWrap/>
              <w:overflowPunct/>
              <w:topLinePunct w:val="0"/>
              <w:autoSpaceDE w:val="0"/>
              <w:autoSpaceDN w:val="0"/>
              <w:bidi w:val="0"/>
              <w:adjustRightInd w:val="0"/>
              <w:snapToGrid w:val="0"/>
              <w:spacing w:line="380" w:lineRule="exact"/>
              <w:jc w:val="center"/>
              <w:textAlignment w:val="baseline"/>
              <w:rPr>
                <w:rFonts w:hint="default"/>
                <w:lang w:val="en-US" w:eastAsia="zh-CN"/>
              </w:rPr>
            </w:pPr>
            <w:r>
              <w:rPr>
                <w:rFonts w:hint="eastAsia"/>
                <w:lang w:val="en-US" w:eastAsia="zh-CN"/>
              </w:rPr>
              <w:t>支装矿泉水</w:t>
            </w:r>
          </w:p>
        </w:tc>
        <w:tc>
          <w:tcPr>
            <w:tcW w:w="1695" w:type="dxa"/>
            <w:tcBorders>
              <w:left w:val="single" w:color="auto" w:sz="4" w:space="0"/>
            </w:tcBorders>
            <w:vAlign w:val="center"/>
          </w:tcPr>
          <w:p w14:paraId="4C9D794F">
            <w:pPr>
              <w:pStyle w:val="2"/>
              <w:keepNext w:val="0"/>
              <w:keepLines w:val="0"/>
              <w:pageBreakBefore w:val="0"/>
              <w:widowControl/>
              <w:kinsoku w:val="0"/>
              <w:wordWrap/>
              <w:overflowPunct/>
              <w:topLinePunct w:val="0"/>
              <w:autoSpaceDE w:val="0"/>
              <w:autoSpaceDN w:val="0"/>
              <w:bidi w:val="0"/>
              <w:adjustRightInd w:val="0"/>
              <w:snapToGrid w:val="0"/>
              <w:spacing w:line="380" w:lineRule="exact"/>
              <w:jc w:val="center"/>
              <w:textAlignment w:val="baseline"/>
              <w:rPr>
                <w:rFonts w:hint="eastAsia"/>
                <w:lang w:val="en-US" w:eastAsia="zh-CN"/>
              </w:rPr>
            </w:pPr>
            <w:r>
              <w:rPr>
                <w:rFonts w:hint="eastAsia"/>
                <w:lang w:val="en-US" w:eastAsia="zh-CN"/>
              </w:rPr>
              <w:t>24支/箱</w:t>
            </w:r>
          </w:p>
        </w:tc>
        <w:tc>
          <w:tcPr>
            <w:tcW w:w="2820" w:type="dxa"/>
            <w:tcBorders>
              <w:right w:val="single" w:color="auto" w:sz="4" w:space="0"/>
            </w:tcBorders>
            <w:vAlign w:val="center"/>
          </w:tcPr>
          <w:p w14:paraId="6D6E0B9E">
            <w:pPr>
              <w:pStyle w:val="2"/>
              <w:keepNext w:val="0"/>
              <w:keepLines w:val="0"/>
              <w:pageBreakBefore w:val="0"/>
              <w:widowControl/>
              <w:kinsoku w:val="0"/>
              <w:wordWrap/>
              <w:overflowPunct/>
              <w:topLinePunct w:val="0"/>
              <w:autoSpaceDE w:val="0"/>
              <w:autoSpaceDN w:val="0"/>
              <w:bidi w:val="0"/>
              <w:adjustRightInd w:val="0"/>
              <w:snapToGrid w:val="0"/>
              <w:spacing w:line="380" w:lineRule="exact"/>
              <w:jc w:val="center"/>
              <w:textAlignment w:val="baseline"/>
              <w:rPr>
                <w:rFonts w:hint="default"/>
                <w:lang w:val="en-US"/>
              </w:rPr>
            </w:pPr>
          </w:p>
        </w:tc>
        <w:tc>
          <w:tcPr>
            <w:tcW w:w="1530" w:type="dxa"/>
            <w:vAlign w:val="center"/>
          </w:tcPr>
          <w:p w14:paraId="23F89213">
            <w:pPr>
              <w:pStyle w:val="2"/>
              <w:keepNext w:val="0"/>
              <w:keepLines w:val="0"/>
              <w:pageBreakBefore w:val="0"/>
              <w:widowControl/>
              <w:kinsoku w:val="0"/>
              <w:wordWrap/>
              <w:overflowPunct/>
              <w:topLinePunct w:val="0"/>
              <w:autoSpaceDE w:val="0"/>
              <w:autoSpaceDN w:val="0"/>
              <w:bidi w:val="0"/>
              <w:adjustRightInd w:val="0"/>
              <w:snapToGrid w:val="0"/>
              <w:spacing w:line="380" w:lineRule="exact"/>
              <w:jc w:val="center"/>
              <w:textAlignment w:val="baseline"/>
              <w:rPr>
                <w:rFonts w:hint="default"/>
                <w:lang w:val="en-US" w:eastAsia="zh-CN"/>
              </w:rPr>
            </w:pPr>
          </w:p>
        </w:tc>
      </w:tr>
    </w:tbl>
    <w:p w14:paraId="1CE97BEE">
      <w:pPr>
        <w:pStyle w:val="2"/>
        <w:spacing w:line="371" w:lineRule="auto"/>
      </w:pPr>
    </w:p>
    <w:p w14:paraId="1EFC8127">
      <w:pPr>
        <w:pStyle w:val="2"/>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4771C8B0">
      <w:pPr>
        <w:pStyle w:val="2"/>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须按单价最高限价填报一个统一的响应下浮率，下浮率取值范围为0%（含）至50%（含），超出此范围的报价将被视作无效响应。</w:t>
      </w:r>
      <w:r>
        <w:rPr>
          <w:rFonts w:hint="eastAsia" w:ascii="宋体" w:hAnsi="宋体" w:eastAsia="宋体" w:cs="宋体"/>
          <w:b/>
          <w:bCs/>
          <w:spacing w:val="7"/>
          <w:sz w:val="20"/>
          <w:szCs w:val="20"/>
          <w:lang w:eastAsia="zh-CN"/>
        </w:rPr>
        <w:t>不得随意更改本表格式。</w:t>
      </w:r>
    </w:p>
    <w:p w14:paraId="31EE09CF">
      <w:pPr>
        <w:pStyle w:val="2"/>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ind w:left="0" w:leftChars="0" w:firstLine="0" w:firstLineChars="0"/>
        <w:textAlignment w:val="baseline"/>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本项目的评审采用最低价法方式，在符合项目需求的前提下，选取最低价格为中选供应商。</w:t>
      </w:r>
    </w:p>
    <w:p w14:paraId="40A56808">
      <w:pPr>
        <w:pStyle w:val="3"/>
        <w:keepNext w:val="0"/>
        <w:keepLines w:val="0"/>
        <w:pageBreakBefore w:val="0"/>
        <w:widowControl w:val="0"/>
        <w:kinsoku/>
        <w:wordWrap/>
        <w:overflowPunct/>
        <w:topLinePunct w:val="0"/>
        <w:autoSpaceDE w:val="0"/>
        <w:autoSpaceDN w:val="0"/>
        <w:bidi w:val="0"/>
        <w:adjustRightInd w:val="0"/>
        <w:snapToGrid/>
        <w:spacing w:before="0" w:beforeLines="50"/>
        <w:textAlignment w:val="auto"/>
        <w:rPr>
          <w:rFonts w:hint="eastAsia" w:hAnsi="宋体" w:cs="宋体"/>
          <w:b/>
          <w:bCs/>
          <w:sz w:val="20"/>
          <w:szCs w:val="20"/>
          <w:lang w:val="en-US" w:eastAsia="zh-CN"/>
        </w:rPr>
      </w:pPr>
      <w:r>
        <w:rPr>
          <w:rFonts w:hint="eastAsia" w:hAnsi="宋体" w:cs="宋体"/>
          <w:b/>
          <w:bCs/>
          <w:sz w:val="20"/>
          <w:szCs w:val="20"/>
          <w:lang w:val="en-US" w:eastAsia="zh-CN"/>
        </w:rPr>
        <w:t>3. 报价次数：1次。</w:t>
      </w:r>
    </w:p>
    <w:p w14:paraId="5177179C">
      <w:pPr>
        <w:pStyle w:val="3"/>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lang w:val="en-US" w:eastAsia="zh-CN"/>
        </w:rPr>
      </w:pPr>
      <w:r>
        <w:rPr>
          <w:rFonts w:hint="eastAsia" w:hAnsi="宋体" w:cs="宋体"/>
          <w:b/>
          <w:bCs/>
          <w:sz w:val="20"/>
          <w:szCs w:val="20"/>
          <w:lang w:val="en-US" w:eastAsia="zh-CN"/>
        </w:rPr>
        <w:t>4. 结算公式：</w:t>
      </w:r>
      <w:r>
        <w:rPr>
          <w:rFonts w:hint="eastAsia" w:hAnsi="宋体" w:cs="宋体"/>
          <w:b/>
          <w:bCs/>
          <w:sz w:val="20"/>
          <w:szCs w:val="20"/>
          <w:u w:val="single"/>
          <w:lang w:val="en-US" w:eastAsia="zh-CN"/>
        </w:rPr>
        <w:t>各类货物的实际供货单价</w:t>
      </w:r>
      <w:r>
        <w:rPr>
          <w:rFonts w:hint="eastAsia" w:hAnsi="宋体" w:cs="宋体"/>
          <w:b/>
          <w:bCs/>
          <w:sz w:val="20"/>
          <w:szCs w:val="20"/>
          <w:lang w:val="en-US" w:eastAsia="zh-CN"/>
        </w:rPr>
        <w:t xml:space="preserve"> = 最高单价限价×（1-成交下浮率），结果四舍五入保留至小数点后两位。此单价为合同履行期间的最终价格，合同期内不随市场同类商品价格波动进行调整。</w:t>
      </w:r>
    </w:p>
    <w:p w14:paraId="17E08FB6">
      <w:pPr>
        <w:pStyle w:val="2"/>
        <w:rPr>
          <w:rFonts w:ascii="宋体" w:hAnsi="宋体" w:eastAsia="宋体" w:cs="宋体"/>
          <w:spacing w:val="2"/>
          <w:sz w:val="24"/>
          <w:szCs w:val="24"/>
          <w:lang w:eastAsia="zh-CN"/>
        </w:rPr>
      </w:pPr>
    </w:p>
    <w:p w14:paraId="573023C5">
      <w:pPr>
        <w:pStyle w:val="3"/>
        <w:rPr>
          <w:rFonts w:ascii="宋体" w:hAnsi="宋体" w:eastAsia="宋体" w:cs="宋体"/>
          <w:spacing w:val="2"/>
          <w:sz w:val="24"/>
          <w:szCs w:val="24"/>
          <w:lang w:eastAsia="zh-CN"/>
        </w:rPr>
      </w:pPr>
    </w:p>
    <w:p w14:paraId="400D596C">
      <w:pPr>
        <w:pStyle w:val="3"/>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2"/>
        <w:spacing w:line="325" w:lineRule="auto"/>
        <w:rPr>
          <w:lang w:eastAsia="zh-CN"/>
        </w:rPr>
      </w:pPr>
    </w:p>
    <w:p w14:paraId="0DF79E5D">
      <w:pPr>
        <w:pStyle w:val="2"/>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219"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中山市东升医院2026年度桶装水及支装水协议供货项目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2"/>
        <w:spacing w:line="281" w:lineRule="auto"/>
        <w:rPr>
          <w:lang w:eastAsia="zh-CN"/>
        </w:rPr>
      </w:pPr>
    </w:p>
    <w:p w14:paraId="531F2256">
      <w:pPr>
        <w:pStyle w:val="2"/>
        <w:spacing w:line="281" w:lineRule="auto"/>
        <w:rPr>
          <w:lang w:eastAsia="zh-CN"/>
        </w:rPr>
      </w:pPr>
    </w:p>
    <w:p w14:paraId="1757552E">
      <w:pPr>
        <w:pStyle w:val="2"/>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2"/>
        <w:spacing w:line="264" w:lineRule="auto"/>
        <w:rPr>
          <w:lang w:eastAsia="zh-CN"/>
        </w:rPr>
      </w:pPr>
    </w:p>
    <w:p w14:paraId="7669B1F2">
      <w:pPr>
        <w:pStyle w:val="2"/>
        <w:spacing w:line="264" w:lineRule="auto"/>
        <w:rPr>
          <w:lang w:eastAsia="zh-CN"/>
        </w:rPr>
      </w:pPr>
    </w:p>
    <w:p w14:paraId="35AD54B7">
      <w:pPr>
        <w:pStyle w:val="2"/>
        <w:spacing w:line="265" w:lineRule="auto"/>
        <w:rPr>
          <w:lang w:eastAsia="zh-CN"/>
        </w:rPr>
      </w:pPr>
    </w:p>
    <w:p w14:paraId="2B647D9C">
      <w:pPr>
        <w:pStyle w:val="2"/>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2"/>
        <w:spacing w:line="296" w:lineRule="auto"/>
        <w:rPr>
          <w:lang w:eastAsia="zh-CN"/>
        </w:rPr>
      </w:pPr>
    </w:p>
    <w:p w14:paraId="6CE3F126">
      <w:pPr>
        <w:pStyle w:val="2"/>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2"/>
        <w:spacing w:line="296" w:lineRule="auto"/>
        <w:rPr>
          <w:lang w:eastAsia="zh-CN"/>
        </w:rPr>
      </w:pPr>
    </w:p>
    <w:p w14:paraId="161E9A72">
      <w:pPr>
        <w:pStyle w:val="2"/>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2"/>
        <w:spacing w:line="267" w:lineRule="auto"/>
        <w:rPr>
          <w:lang w:eastAsia="zh-CN"/>
        </w:rPr>
      </w:pPr>
    </w:p>
    <w:p w14:paraId="74CD3E9F">
      <w:pPr>
        <w:pStyle w:val="2"/>
        <w:spacing w:line="267" w:lineRule="auto"/>
        <w:rPr>
          <w:lang w:eastAsia="zh-CN"/>
        </w:rPr>
      </w:pPr>
    </w:p>
    <w:p w14:paraId="663913BF">
      <w:pPr>
        <w:pStyle w:val="2"/>
        <w:spacing w:line="267" w:lineRule="auto"/>
        <w:rPr>
          <w:lang w:eastAsia="zh-CN"/>
        </w:rPr>
      </w:pPr>
    </w:p>
    <w:p w14:paraId="37346176">
      <w:pPr>
        <w:pStyle w:val="2"/>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2"/>
        <w:spacing w:line="273" w:lineRule="auto"/>
      </w:pPr>
    </w:p>
    <w:p w14:paraId="59ACC4F7">
      <w:pPr>
        <w:pStyle w:val="2"/>
        <w:spacing w:line="273" w:lineRule="auto"/>
      </w:pPr>
    </w:p>
    <w:p w14:paraId="72D9DF12">
      <w:pPr>
        <w:pStyle w:val="2"/>
        <w:spacing w:line="273" w:lineRule="auto"/>
      </w:pPr>
    </w:p>
    <w:p w14:paraId="32571043">
      <w:pPr>
        <w:pStyle w:val="2"/>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2"/>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2"/>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中山市东升医院2026年度桶装水及支装水协议供货项目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2"/>
        <w:spacing w:line="283" w:lineRule="auto"/>
        <w:rPr>
          <w:lang w:eastAsia="zh-CN"/>
        </w:rPr>
      </w:pPr>
    </w:p>
    <w:p w14:paraId="6F145D85">
      <w:pPr>
        <w:pStyle w:val="2"/>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2"/>
        <w:spacing w:line="277" w:lineRule="auto"/>
        <w:rPr>
          <w:lang w:eastAsia="zh-CN"/>
        </w:rPr>
      </w:pPr>
    </w:p>
    <w:p w14:paraId="130A4A24">
      <w:pPr>
        <w:pStyle w:val="2"/>
        <w:spacing w:line="277" w:lineRule="auto"/>
        <w:rPr>
          <w:lang w:eastAsia="zh-CN"/>
        </w:rPr>
      </w:pPr>
    </w:p>
    <w:p w14:paraId="379E201F">
      <w:pPr>
        <w:pStyle w:val="2"/>
        <w:spacing w:line="277" w:lineRule="auto"/>
        <w:rPr>
          <w:lang w:eastAsia="zh-CN"/>
        </w:rPr>
      </w:pPr>
    </w:p>
    <w:p w14:paraId="4C47DA1B">
      <w:pPr>
        <w:pStyle w:val="2"/>
        <w:spacing w:line="278" w:lineRule="auto"/>
        <w:rPr>
          <w:lang w:eastAsia="zh-CN"/>
        </w:rPr>
      </w:pPr>
    </w:p>
    <w:p w14:paraId="4CD07A94">
      <w:pPr>
        <w:pStyle w:val="2"/>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before="41" w:line="378" w:lineRule="auto"/>
        <w:ind w:left="22" w:right="18"/>
        <w:rPr>
          <w:rFonts w:ascii="宋体" w:hAnsi="宋体" w:eastAsia="宋体" w:cs="宋体"/>
          <w:sz w:val="20"/>
          <w:szCs w:val="20"/>
          <w:lang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w:t>
      </w:r>
      <w:r>
        <w:rPr>
          <w:rFonts w:ascii="宋体" w:hAnsi="宋体" w:eastAsia="宋体" w:cs="宋体"/>
          <w:spacing w:val="-34"/>
          <w:sz w:val="20"/>
          <w:szCs w:val="20"/>
          <w:lang w:eastAsia="zh-CN"/>
        </w:rPr>
        <w:t xml:space="preserve"> </w:t>
      </w:r>
      <w:r>
        <w:rPr>
          <w:rFonts w:ascii="Times New Roman" w:hAnsi="Times New Roman" w:eastAsia="Times New Roman" w:cs="Times New Roman"/>
          <w:b/>
          <w:bCs/>
          <w:spacing w:val="8"/>
          <w:sz w:val="20"/>
          <w:szCs w:val="20"/>
          <w:lang w:eastAsia="zh-CN"/>
        </w:rPr>
        <w:t xml:space="preserve">12 </w:t>
      </w:r>
      <w:r>
        <w:rPr>
          <w:rFonts w:ascii="宋体" w:hAnsi="宋体" w:eastAsia="宋体" w:cs="宋体"/>
          <w:b/>
          <w:bCs/>
          <w:spacing w:val="8"/>
          <w:sz w:val="20"/>
          <w:szCs w:val="20"/>
          <w:lang w:eastAsia="zh-CN"/>
        </w:rPr>
        <w:t>个月内任何时间的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378"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九、近</w:t>
      </w:r>
      <w:r>
        <w:rPr>
          <w:rFonts w:ascii="宋体" w:hAnsi="宋体" w:eastAsia="宋体" w:cs="宋体"/>
          <w:spacing w:val="-21"/>
          <w:sz w:val="20"/>
          <w:szCs w:val="20"/>
          <w:lang w:eastAsia="zh-CN"/>
        </w:rPr>
        <w:t xml:space="preserve"> </w:t>
      </w:r>
      <w:r>
        <w:rPr>
          <w:rFonts w:ascii="Times New Roman" w:hAnsi="Times New Roman" w:eastAsia="Times New Roman" w:cs="Times New Roman"/>
          <w:b/>
          <w:bCs/>
          <w:spacing w:val="3"/>
          <w:sz w:val="20"/>
          <w:szCs w:val="20"/>
          <w:lang w:eastAsia="zh-CN"/>
        </w:rPr>
        <w:t xml:space="preserve">12 </w:t>
      </w:r>
      <w:r>
        <w:rPr>
          <w:rFonts w:ascii="宋体" w:hAnsi="宋体" w:eastAsia="宋体" w:cs="宋体"/>
          <w:b/>
          <w:bCs/>
          <w:spacing w:val="3"/>
          <w:sz w:val="20"/>
          <w:szCs w:val="20"/>
          <w:lang w:eastAsia="zh-CN"/>
        </w:rPr>
        <w:t>个月内任何时间的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p>
    <w:p w14:paraId="6E0D33B8">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5F9EBEDF">
      <w:pPr>
        <w:spacing w:before="137"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十一、产品相关资质证明文件</w:t>
      </w:r>
    </w:p>
    <w:p w14:paraId="16909AC6">
      <w:pPr>
        <w:rPr>
          <w:rFonts w:hint="default"/>
          <w:lang w:val="en-US" w:eastAsia="zh-CN"/>
        </w:rPr>
      </w:pPr>
      <w:r>
        <w:rPr>
          <w:rFonts w:hint="default"/>
          <w:lang w:val="en-US" w:eastAsia="zh-CN"/>
        </w:rPr>
        <w:br w:type="page"/>
      </w:r>
    </w:p>
    <w:p w14:paraId="1AD104C4">
      <w:pPr>
        <w:spacing w:before="137"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二</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2"/>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p w14:paraId="1BEB5AA2">
      <w:pPr>
        <w:spacing w:before="163"/>
        <w:rPr>
          <w:lang w:eastAsia="zh-CN"/>
        </w:rPr>
      </w:pPr>
    </w:p>
    <w:tbl>
      <w:tblPr>
        <w:tblStyle w:val="10"/>
        <w:tblW w:w="9382" w:type="dxa"/>
        <w:tblInd w:w="-2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113" w:type="dxa"/>
          <w:left w:w="113" w:type="dxa"/>
          <w:bottom w:w="113" w:type="dxa"/>
          <w:right w:w="113" w:type="dxa"/>
        </w:tblCellMar>
      </w:tblPr>
      <w:tblGrid>
        <w:gridCol w:w="958"/>
        <w:gridCol w:w="5373"/>
        <w:gridCol w:w="1541"/>
        <w:gridCol w:w="1510"/>
      </w:tblGrid>
      <w:tr w14:paraId="1C0D1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962" w:hRule="atLeast"/>
        </w:trPr>
        <w:tc>
          <w:tcPr>
            <w:tcW w:w="958" w:type="dxa"/>
            <w:vAlign w:val="center"/>
          </w:tcPr>
          <w:p w14:paraId="5BDB5DDC">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373" w:type="dxa"/>
            <w:vAlign w:val="center"/>
          </w:tcPr>
          <w:p w14:paraId="3674397B">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541" w:type="dxa"/>
            <w:vAlign w:val="center"/>
          </w:tcPr>
          <w:p w14:paraId="53D5C9DE">
            <w:pPr>
              <w:spacing w:before="180" w:line="300" w:lineRule="exact"/>
              <w:ind w:right="241"/>
              <w:jc w:val="center"/>
              <w:rPr>
                <w:rFonts w:ascii="宋体" w:hAnsi="宋体" w:eastAsia="宋体" w:cs="宋体"/>
                <w:b/>
                <w:bCs/>
              </w:rPr>
            </w:pPr>
            <w:r>
              <w:rPr>
                <w:rFonts w:hint="eastAsia" w:ascii="宋体" w:hAnsi="宋体" w:eastAsia="宋体" w:cs="宋体"/>
                <w:b/>
                <w:bCs/>
                <w:spacing w:val="7"/>
              </w:rPr>
              <w:t>完全响应或</w:t>
            </w:r>
            <w:r>
              <w:rPr>
                <w:rFonts w:hint="eastAsia" w:ascii="宋体" w:hAnsi="宋体" w:eastAsia="宋体" w:cs="宋体"/>
                <w:b/>
                <w:bCs/>
                <w:spacing w:val="6"/>
              </w:rPr>
              <w:t>正/负偏离</w:t>
            </w:r>
          </w:p>
        </w:tc>
        <w:tc>
          <w:tcPr>
            <w:tcW w:w="1510" w:type="dxa"/>
            <w:vAlign w:val="center"/>
          </w:tcPr>
          <w:p w14:paraId="189B2D09">
            <w:pPr>
              <w:spacing w:before="65" w:line="300" w:lineRule="exact"/>
              <w:jc w:val="center"/>
              <w:rPr>
                <w:rFonts w:ascii="宋体" w:hAnsi="宋体" w:eastAsia="宋体" w:cs="宋体"/>
                <w:b/>
                <w:bCs/>
              </w:rPr>
            </w:pPr>
            <w:r>
              <w:rPr>
                <w:rFonts w:hint="eastAsia" w:ascii="宋体" w:hAnsi="宋体" w:eastAsia="宋体" w:cs="宋体"/>
                <w:b/>
                <w:bCs/>
                <w:spacing w:val="7"/>
              </w:rPr>
              <w:t>偏离情况</w:t>
            </w:r>
          </w:p>
        </w:tc>
      </w:tr>
      <w:tr w14:paraId="471D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958" w:type="dxa"/>
            <w:vAlign w:val="center"/>
          </w:tcPr>
          <w:p w14:paraId="65A6A3D8">
            <w:pPr>
              <w:spacing w:before="65" w:line="270" w:lineRule="exact"/>
              <w:jc w:val="center"/>
              <w:rPr>
                <w:rFonts w:ascii="宋体" w:hAnsi="宋体" w:eastAsia="宋体" w:cs="宋体"/>
              </w:rPr>
            </w:pPr>
            <w:r>
              <w:rPr>
                <w:rFonts w:hint="eastAsia" w:ascii="宋体" w:hAnsi="宋体" w:eastAsia="宋体" w:cs="宋体"/>
                <w:position w:val="1"/>
              </w:rPr>
              <w:t>1</w:t>
            </w:r>
          </w:p>
        </w:tc>
        <w:tc>
          <w:tcPr>
            <w:tcW w:w="5373" w:type="dxa"/>
          </w:tcPr>
          <w:p w14:paraId="49162417">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eastAsia="zh-CN"/>
              </w:rPr>
              <w:t>一、</w:t>
            </w:r>
            <w:r>
              <w:rPr>
                <w:rFonts w:hint="eastAsia" w:ascii="宋体" w:hAnsi="宋体" w:eastAsia="宋体" w:cs="宋体"/>
                <w:sz w:val="20"/>
                <w:szCs w:val="20"/>
                <w:lang w:val="en-US" w:eastAsia="zh-CN"/>
              </w:rPr>
              <w:t>项目内容</w:t>
            </w:r>
          </w:p>
          <w:p w14:paraId="4A2EEF81">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项目名称：中山市东升医院2026年度桶装水及支装水协议供货项目</w:t>
            </w:r>
          </w:p>
          <w:p w14:paraId="01448F0F">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项目编号：HW-CW-CW-2026031</w:t>
            </w:r>
          </w:p>
          <w:p w14:paraId="7568C0CF">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 预算金额：人民币68000元</w:t>
            </w:r>
          </w:p>
          <w:p w14:paraId="5A79CFA3">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 供货期限：自合同签订之日起一年。合同在满足下列任一条件时自动终止：</w:t>
            </w:r>
          </w:p>
          <w:p w14:paraId="084E0D38">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（1）自合同签订之日起，累计供货满一年；</w:t>
            </w:r>
          </w:p>
          <w:p w14:paraId="59F13F02">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（2）合同履行期间，采购金额累计达到本项目预算总金额；</w:t>
            </w:r>
          </w:p>
          <w:p w14:paraId="195C0673">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（3）剩余预算金额不足以采购清单内任何一项物品。</w:t>
            </w:r>
          </w:p>
          <w:p w14:paraId="4D0CAF7E">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5. 交货方式：成交供应商自中标之日起，应于十五个工作日内完成与招标前原有送水单位的交接工作（全院供水点约70个，需合理配置饮水机及水桶），确保本院桶装水供应正常。服务期满后，供应商应配合采购方完成下一合同周期前的服务及交接事宜。成交供应商须保证货源充足，确保及时供货，在收到采购人订单通知后三个自然日内将货物送达指定地点。若遇采购人紧急需求，成交供应商应在两小时内送达。</w:t>
            </w:r>
          </w:p>
          <w:p w14:paraId="183F4A1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6. 交货条件：</w:t>
            </w:r>
          </w:p>
          <w:p w14:paraId="644C786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（1）成交供应商应将货物送至采购人指定地点并交由采购人收货人签收，货物交付前的一切风险由成交供应商承担。</w:t>
            </w:r>
          </w:p>
          <w:p w14:paraId="2964EF63">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（2）成交供应商所提供货物的单价若超出合同约定，采购人有权拒绝接收。</w:t>
            </w:r>
          </w:p>
          <w:p w14:paraId="447EB7DB">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合同期内，如遇个别产品停产或货源短缺，成交供应商应优先供应市场上同品牌同型号的货物；若该型号产品已无货源，成交供应商须提前十五天书面告知采购人并经其同意后，提供不低于原参数标准的替代产品，且不得中断供应，否则将视为成交供应商违约（紧急情况下，供货时间由双方协商确定）。</w:t>
            </w:r>
          </w:p>
          <w:p w14:paraId="20A7A860">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（4）合同期内，若采购人发现成交供应商提供的货物存在以次充好或假冒伪劣产品达两次及以上，或成交供应商超出规定交货期限十个自然日仍未能交货的，采购人有权单方终止合同。</w:t>
            </w:r>
          </w:p>
          <w:p w14:paraId="543EC45A">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（5）成交供应商在项目实施过程中如有违法违规行为，采购人有权取消其供货资格，由此造成的损失由成交供应商承担。</w:t>
            </w:r>
          </w:p>
          <w:p w14:paraId="55AE22F7">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（6）成交供应商不得以任何形式将本项目转包或分包，否则采购人有权单方终止合同。</w:t>
            </w:r>
          </w:p>
          <w:p w14:paraId="23BD7BD5">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（7）成交供应商须向采购人提供产品的全部相关资质证明文件。</w:t>
            </w:r>
          </w:p>
          <w:p w14:paraId="1970B5CF">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8）成交供应商所交付产品数量超出合同约定的部分，采购人有权拒绝接收；若采购人同意接收，应按合同约定价格结算货款。对于交付数量少于合同约定的部分，成交供应商应在采购人要求的期限内补足，并承担不足部分总价款20%的违约金。</w:t>
            </w:r>
          </w:p>
          <w:p w14:paraId="3C11CFE7">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（9）若成交供应商未能按时、保质完成交货，须支付相应违约金。</w:t>
            </w:r>
          </w:p>
          <w:p w14:paraId="1F884FF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（10）成交供应商负责货物的配送上门，运费、装卸费、保险费等相关费用均由其承担。</w:t>
            </w:r>
          </w:p>
          <w:p w14:paraId="55C9512A">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（11）成交供应商应按照行业标准对所售产品进行包装，防止产品在运输过程中发生损坏、污染或侵权等情况，确保产品安全运抵指定地点。</w:t>
            </w:r>
          </w:p>
          <w:p w14:paraId="1F36F75E">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（12）成交供应商不得无故拖延项目实施，经采购人通知后，若在其指定的合理期限内仍未完成，采购人有权向第三方采购，由此产生的费用及一切经济损失由供应商自行承担。</w:t>
            </w:r>
          </w:p>
          <w:p w14:paraId="35C8DD4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7. 报价文件中带有“★”标识的内容条款，均为重要的响应要求、技术指标要求及性能要求。报价人必须对此作出明确回应并完全满足，不得出现任何负偏离，否则将被视为无效报价。</w:t>
            </w:r>
          </w:p>
          <w:p w14:paraId="1F1E841A">
            <w:pPr>
              <w:pStyle w:val="6"/>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8. 次采购仅对供应商的供货资格进行招标，成交结果仅代表供应商获得协议供货资格，不意味着货物已实际售出。采购人无法预计或保证向成交供应商的采购数量，将根据本单位实际需求下达采购订单，成交供应商不得对采购数量提出异议或附加要求。本项目采购数量为一年内的预计用量，最终结算以实际发生量为准。</w:t>
            </w:r>
          </w:p>
        </w:tc>
        <w:tc>
          <w:tcPr>
            <w:tcW w:w="1541" w:type="dxa"/>
          </w:tcPr>
          <w:p w14:paraId="5B3B314A">
            <w:pPr>
              <w:pStyle w:val="11"/>
              <w:rPr>
                <w:rFonts w:ascii="宋体" w:hAnsi="宋体" w:eastAsia="宋体" w:cs="宋体"/>
                <w:lang w:eastAsia="zh-CN"/>
              </w:rPr>
            </w:pPr>
          </w:p>
        </w:tc>
        <w:tc>
          <w:tcPr>
            <w:tcW w:w="1510" w:type="dxa"/>
          </w:tcPr>
          <w:p w14:paraId="28582A36">
            <w:pPr>
              <w:pStyle w:val="11"/>
              <w:rPr>
                <w:rFonts w:ascii="宋体" w:hAnsi="宋体" w:eastAsia="宋体" w:cs="宋体"/>
                <w:lang w:eastAsia="zh-CN"/>
              </w:rPr>
            </w:pPr>
          </w:p>
        </w:tc>
      </w:tr>
      <w:tr w14:paraId="1DD11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537" w:hRule="atLeast"/>
        </w:trPr>
        <w:tc>
          <w:tcPr>
            <w:tcW w:w="958" w:type="dxa"/>
            <w:vAlign w:val="center"/>
          </w:tcPr>
          <w:p w14:paraId="2D18E0F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373" w:type="dxa"/>
          </w:tcPr>
          <w:p w14:paraId="72272FF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二、供应商的资格要求</w:t>
            </w:r>
          </w:p>
          <w:p w14:paraId="6286FDB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须具备独立承担民事责任的能力：应为在中华人民共和国境内注册的法人、其他组织或自然人，并在投标（响应）时提交营业执照（或事业法人登记证、身份证等相关证明文件）复印件。分支机构参与投标的，须提提供总公司及分公司的营业执照复印件，以及总公司向分支机构出具的授权文件。</w:t>
            </w:r>
          </w:p>
          <w:p w14:paraId="44BBF57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2.响应供应商须持有有效的营业执照，且其经营范围应包含相关业务。</w:t>
            </w:r>
          </w:p>
          <w:p w14:paraId="33FF9988">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3.响应供应商应具备项目承接能力、合同履约能力、售后供应能力及良好的商业信誉。</w:t>
            </w:r>
          </w:p>
          <w:p w14:paraId="5FF30940">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4.响应供应商在参与公开招标活动中，不得存在违法违纪行为及受处罚记录，且不得有围标、串标行为。</w:t>
            </w:r>
          </w:p>
        </w:tc>
        <w:tc>
          <w:tcPr>
            <w:tcW w:w="1541" w:type="dxa"/>
          </w:tcPr>
          <w:p w14:paraId="11B334CA">
            <w:pPr>
              <w:pStyle w:val="11"/>
              <w:rPr>
                <w:rFonts w:ascii="宋体" w:hAnsi="宋体" w:eastAsia="宋体" w:cs="宋体"/>
                <w:lang w:eastAsia="zh-CN"/>
              </w:rPr>
            </w:pPr>
          </w:p>
        </w:tc>
        <w:tc>
          <w:tcPr>
            <w:tcW w:w="1510" w:type="dxa"/>
          </w:tcPr>
          <w:p w14:paraId="0566467E">
            <w:pPr>
              <w:pStyle w:val="11"/>
              <w:rPr>
                <w:rFonts w:ascii="宋体" w:hAnsi="宋体" w:eastAsia="宋体" w:cs="宋体"/>
                <w:lang w:eastAsia="zh-CN"/>
              </w:rPr>
            </w:pPr>
          </w:p>
        </w:tc>
      </w:tr>
      <w:tr w14:paraId="2ACC3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958" w:type="dxa"/>
            <w:vAlign w:val="center"/>
          </w:tcPr>
          <w:p w14:paraId="7A7E1C2D">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373" w:type="dxa"/>
          </w:tcPr>
          <w:p w14:paraId="23AB7C1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三、项目清单：</w:t>
            </w:r>
          </w:p>
          <w:tbl>
            <w:tblPr>
              <w:tblStyle w:val="7"/>
              <w:tblW w:w="514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28" w:type="dxa"/>
                <w:left w:w="28" w:type="dxa"/>
                <w:bottom w:w="28" w:type="dxa"/>
                <w:right w:w="28" w:type="dxa"/>
              </w:tblCellMar>
            </w:tblPr>
            <w:tblGrid>
              <w:gridCol w:w="445"/>
              <w:gridCol w:w="508"/>
              <w:gridCol w:w="2365"/>
              <w:gridCol w:w="541"/>
              <w:gridCol w:w="648"/>
              <w:gridCol w:w="636"/>
            </w:tblGrid>
            <w:tr w14:paraId="46BF1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28" w:type="dxa"/>
                  <w:bottom w:w="28" w:type="dxa"/>
                  <w:right w:w="28" w:type="dxa"/>
                </w:tblCellMar>
              </w:tblPrEx>
              <w:trPr>
                <w:trHeight w:val="912" w:hRule="atLeast"/>
                <w:jc w:val="center"/>
              </w:trPr>
              <w:tc>
                <w:tcPr>
                  <w:tcW w:w="432"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4085F506">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序号</w:t>
                  </w:r>
                </w:p>
              </w:tc>
              <w:tc>
                <w:tcPr>
                  <w:tcW w:w="493"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2FBCA99D">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采购</w:t>
                  </w:r>
                </w:p>
                <w:p w14:paraId="0B91D42A">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物品</w:t>
                  </w:r>
                </w:p>
              </w:tc>
              <w:tc>
                <w:tcPr>
                  <w:tcW w:w="2299"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14:paraId="12AFAE57">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技术参数要求</w:t>
                  </w:r>
                </w:p>
              </w:tc>
              <w:tc>
                <w:tcPr>
                  <w:tcW w:w="525" w:type="pct"/>
                  <w:tcBorders>
                    <w:top w:val="single" w:color="000000" w:sz="4" w:space="0"/>
                    <w:left w:val="single" w:color="auto" w:sz="4" w:space="0"/>
                    <w:bottom w:val="single" w:color="auto" w:sz="4" w:space="0"/>
                    <w:right w:val="single" w:color="000000" w:sz="4" w:space="0"/>
                  </w:tcBorders>
                  <w:shd w:val="clear" w:color="auto" w:fill="FFFFFF"/>
                  <w:noWrap w:val="0"/>
                  <w:vAlign w:val="center"/>
                </w:tcPr>
                <w:p w14:paraId="049B9527">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规格</w:t>
                  </w:r>
                </w:p>
                <w:p w14:paraId="28CD3E84">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单位</w:t>
                  </w:r>
                </w:p>
              </w:tc>
              <w:tc>
                <w:tcPr>
                  <w:tcW w:w="629" w:type="pct"/>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62BD55C8">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预估</w:t>
                  </w:r>
                </w:p>
                <w:p w14:paraId="587D6446">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数量</w:t>
                  </w:r>
                </w:p>
              </w:tc>
              <w:tc>
                <w:tcPr>
                  <w:tcW w:w="618" w:type="pct"/>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423E3431">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单价</w:t>
                  </w:r>
                </w:p>
                <w:p w14:paraId="4F049439">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最高限价</w:t>
                  </w:r>
                </w:p>
                <w:p w14:paraId="0522492C">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（元）</w:t>
                  </w:r>
                </w:p>
              </w:tc>
            </w:tr>
            <w:tr w14:paraId="4A10B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28" w:type="dxa"/>
                  <w:bottom w:w="28" w:type="dxa"/>
                  <w:right w:w="28" w:type="dxa"/>
                </w:tblCellMar>
              </w:tblPrEx>
              <w:trPr>
                <w:trHeight w:val="1487" w:hRule="atLeast"/>
                <w:jc w:val="center"/>
              </w:trPr>
              <w:tc>
                <w:tcPr>
                  <w:tcW w:w="432" w:type="pct"/>
                  <w:tcBorders>
                    <w:top w:val="single" w:color="auto" w:sz="4" w:space="0"/>
                    <w:left w:val="single" w:color="auto" w:sz="4" w:space="0"/>
                    <w:bottom w:val="single" w:color="auto" w:sz="4" w:space="0"/>
                    <w:right w:val="single" w:color="000000" w:sz="4" w:space="0"/>
                  </w:tcBorders>
                  <w:noWrap w:val="0"/>
                  <w:vAlign w:val="center"/>
                </w:tcPr>
                <w:p w14:paraId="6B7A2891">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w:t>
                  </w:r>
                </w:p>
              </w:tc>
              <w:tc>
                <w:tcPr>
                  <w:tcW w:w="493" w:type="pct"/>
                  <w:tcBorders>
                    <w:top w:val="single" w:color="auto" w:sz="4" w:space="0"/>
                    <w:left w:val="single" w:color="auto" w:sz="4" w:space="0"/>
                    <w:bottom w:val="single" w:color="auto" w:sz="4" w:space="0"/>
                    <w:right w:val="single" w:color="000000" w:sz="4" w:space="0"/>
                  </w:tcBorders>
                  <w:noWrap w:val="0"/>
                  <w:vAlign w:val="center"/>
                </w:tcPr>
                <w:p w14:paraId="36B07EB9">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桶装水</w:t>
                  </w:r>
                </w:p>
              </w:tc>
              <w:tc>
                <w:tcPr>
                  <w:tcW w:w="2299" w:type="pct"/>
                  <w:tcBorders>
                    <w:top w:val="single" w:color="auto" w:sz="4" w:space="0"/>
                    <w:left w:val="single" w:color="000000" w:sz="4" w:space="0"/>
                    <w:bottom w:val="single" w:color="auto" w:sz="4" w:space="0"/>
                    <w:right w:val="single" w:color="auto" w:sz="4" w:space="0"/>
                  </w:tcBorders>
                  <w:noWrap w:val="0"/>
                  <w:vAlign w:val="center"/>
                </w:tcPr>
                <w:p w14:paraId="30DD8F4A">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容量：1</w:t>
                  </w:r>
                  <w:r>
                    <w:rPr>
                      <w:rFonts w:hint="eastAsia" w:ascii="宋体" w:hAnsi="宋体" w:eastAsia="宋体" w:cs="宋体"/>
                      <w:sz w:val="20"/>
                      <w:szCs w:val="20"/>
                      <w:lang w:val="en-US" w:eastAsia="zh-CN"/>
                    </w:rPr>
                    <w:t>6</w:t>
                  </w:r>
                  <w:r>
                    <w:rPr>
                      <w:rFonts w:hint="eastAsia" w:ascii="宋体" w:hAnsi="宋体" w:eastAsia="宋体" w:cs="宋体"/>
                      <w:sz w:val="20"/>
                      <w:szCs w:val="20"/>
                      <w:lang w:eastAsia="zh-CN"/>
                    </w:rPr>
                    <w:t>～19L</w:t>
                  </w:r>
                  <w:r>
                    <w:rPr>
                      <w:rFonts w:hint="eastAsia" w:ascii="宋体" w:hAnsi="宋体" w:eastAsia="宋体" w:cs="宋体"/>
                      <w:sz w:val="20"/>
                      <w:szCs w:val="20"/>
                      <w:lang w:val="en-US" w:eastAsia="zh-CN"/>
                    </w:rPr>
                    <w:t>/桶</w:t>
                  </w:r>
                  <w:r>
                    <w:rPr>
                      <w:rFonts w:hint="eastAsia" w:ascii="宋体" w:hAnsi="宋体" w:eastAsia="宋体" w:cs="宋体"/>
                      <w:sz w:val="20"/>
                      <w:szCs w:val="20"/>
                      <w:lang w:eastAsia="zh-CN"/>
                    </w:rPr>
                    <w:t>；</w:t>
                  </w:r>
                </w:p>
                <w:p w14:paraId="1F79199D">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色度：色度≤5，不得呈现其他异色；</w:t>
                  </w:r>
                </w:p>
                <w:p w14:paraId="06B9A890">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3.浑</w:t>
                  </w:r>
                  <w:r>
                    <w:rPr>
                      <w:rFonts w:hint="eastAsia" w:ascii="宋体" w:hAnsi="宋体" w:eastAsia="宋体" w:cs="宋体"/>
                      <w:sz w:val="20"/>
                      <w:szCs w:val="20"/>
                      <w:lang w:eastAsia="zh-CN"/>
                    </w:rPr>
                    <w:t>浊度：</w:t>
                  </w:r>
                  <w:r>
                    <w:rPr>
                      <w:rFonts w:hint="eastAsia" w:ascii="宋体" w:hAnsi="宋体" w:eastAsia="宋体" w:cs="宋体"/>
                      <w:sz w:val="20"/>
                      <w:szCs w:val="20"/>
                      <w:lang w:val="en-US" w:eastAsia="zh-CN"/>
                    </w:rPr>
                    <w:t>浑</w:t>
                  </w:r>
                  <w:r>
                    <w:rPr>
                      <w:rFonts w:hint="eastAsia" w:ascii="宋体" w:hAnsi="宋体" w:eastAsia="宋体" w:cs="宋体"/>
                      <w:sz w:val="20"/>
                      <w:szCs w:val="20"/>
                      <w:lang w:eastAsia="zh-CN"/>
                    </w:rPr>
                    <w:t>浊度≤1；</w:t>
                  </w:r>
                </w:p>
                <w:p w14:paraId="6F65ACC6">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4.滋味、气味</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无异味、无异嗅</w:t>
                  </w:r>
                  <w:r>
                    <w:rPr>
                      <w:rFonts w:hint="eastAsia" w:ascii="宋体" w:hAnsi="宋体" w:eastAsia="宋体" w:cs="宋体"/>
                      <w:sz w:val="20"/>
                      <w:szCs w:val="20"/>
                      <w:lang w:eastAsia="zh-CN"/>
                    </w:rPr>
                    <w:t>；</w:t>
                  </w:r>
                </w:p>
                <w:p w14:paraId="7F528827">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5.状态：</w:t>
                  </w:r>
                  <w:r>
                    <w:rPr>
                      <w:rFonts w:hint="eastAsia" w:ascii="宋体" w:hAnsi="宋体" w:eastAsia="宋体" w:cs="宋体"/>
                      <w:sz w:val="20"/>
                      <w:szCs w:val="20"/>
                      <w:lang w:eastAsia="zh-CN"/>
                    </w:rPr>
                    <w:t>无正常视力可见外来异物；</w:t>
                  </w:r>
                </w:p>
                <w:p w14:paraId="7F7A3C0C">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6.</w:t>
                  </w:r>
                  <w:r>
                    <w:rPr>
                      <w:rFonts w:hint="eastAsia" w:ascii="宋体" w:hAnsi="宋体" w:eastAsia="宋体" w:cs="宋体"/>
                      <w:sz w:val="20"/>
                      <w:szCs w:val="20"/>
                      <w:lang w:eastAsia="zh-CN"/>
                    </w:rPr>
                    <w:t>溴酸盐≤0.01mg/L；</w:t>
                  </w:r>
                </w:p>
                <w:p w14:paraId="2859C27C">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7.</w:t>
                  </w:r>
                  <w:r>
                    <w:rPr>
                      <w:rFonts w:hint="eastAsia" w:ascii="宋体" w:hAnsi="宋体" w:eastAsia="宋体" w:cs="宋体"/>
                      <w:sz w:val="20"/>
                      <w:szCs w:val="20"/>
                      <w:lang w:eastAsia="zh-CN"/>
                    </w:rPr>
                    <w:t>电导率≤10us/cm；</w:t>
                  </w:r>
                </w:p>
                <w:p w14:paraId="2FA8C4F4">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8.</w:t>
                  </w:r>
                  <w:r>
                    <w:rPr>
                      <w:rFonts w:hint="eastAsia" w:ascii="宋体" w:hAnsi="宋体" w:eastAsia="宋体" w:cs="宋体"/>
                      <w:sz w:val="20"/>
                      <w:szCs w:val="20"/>
                      <w:lang w:eastAsia="zh-CN"/>
                    </w:rPr>
                    <w:t>耗氧量≤2.0mg/L；</w:t>
                  </w:r>
                </w:p>
                <w:p w14:paraId="500CDE97">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9.</w:t>
                  </w:r>
                  <w:r>
                    <w:rPr>
                      <w:rFonts w:hint="eastAsia" w:ascii="宋体" w:hAnsi="宋体" w:eastAsia="宋体" w:cs="宋体"/>
                      <w:sz w:val="20"/>
                      <w:szCs w:val="20"/>
                      <w:lang w:eastAsia="zh-CN"/>
                    </w:rPr>
                    <w:t>余氯（游离氯）≤0.05mg/L；</w:t>
                  </w:r>
                </w:p>
                <w:p w14:paraId="68BFCA50">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10.</w:t>
                  </w:r>
                  <w:r>
                    <w:rPr>
                      <w:rFonts w:hint="eastAsia" w:ascii="宋体" w:hAnsi="宋体" w:eastAsia="宋体" w:cs="宋体"/>
                      <w:sz w:val="20"/>
                      <w:szCs w:val="20"/>
                      <w:lang w:eastAsia="zh-CN"/>
                    </w:rPr>
                    <w:t>三氯甲烷≤0.02mg/L；</w:t>
                  </w:r>
                </w:p>
                <w:p w14:paraId="3DA67F27">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11.</w:t>
                  </w:r>
                  <w:r>
                    <w:rPr>
                      <w:rFonts w:hint="eastAsia" w:ascii="宋体" w:hAnsi="宋体" w:eastAsia="宋体" w:cs="宋体"/>
                      <w:sz w:val="20"/>
                      <w:szCs w:val="20"/>
                      <w:lang w:eastAsia="zh-CN"/>
                    </w:rPr>
                    <w:t>四氯化碳≤0.002mg/L；</w:t>
                  </w:r>
                </w:p>
                <w:p w14:paraId="48A2B5F2">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12.</w:t>
                  </w:r>
                  <w:r>
                    <w:rPr>
                      <w:rFonts w:hint="eastAsia" w:ascii="宋体" w:hAnsi="宋体" w:eastAsia="宋体" w:cs="宋体"/>
                      <w:sz w:val="20"/>
                      <w:szCs w:val="20"/>
                      <w:lang w:eastAsia="zh-CN"/>
                    </w:rPr>
                    <w:t>铅≤0.01mg/L；</w:t>
                  </w:r>
                </w:p>
                <w:p w14:paraId="1B6602C6">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13.</w:t>
                  </w:r>
                  <w:r>
                    <w:rPr>
                      <w:rFonts w:hint="eastAsia" w:ascii="宋体" w:hAnsi="宋体" w:eastAsia="宋体" w:cs="宋体"/>
                      <w:sz w:val="20"/>
                      <w:szCs w:val="20"/>
                      <w:lang w:eastAsia="zh-CN"/>
                    </w:rPr>
                    <w:t>总砷≤0.01mg/L；</w:t>
                  </w:r>
                </w:p>
                <w:p w14:paraId="6662C86E">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14.</w:t>
                  </w:r>
                  <w:r>
                    <w:rPr>
                      <w:rFonts w:hint="eastAsia" w:ascii="宋体" w:hAnsi="宋体" w:eastAsia="宋体" w:cs="宋体"/>
                      <w:sz w:val="20"/>
                      <w:szCs w:val="20"/>
                      <w:lang w:eastAsia="zh-CN"/>
                    </w:rPr>
                    <w:t>镉≤0.005mg/L；</w:t>
                  </w:r>
                </w:p>
                <w:p w14:paraId="4E1E9E33">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15.</w:t>
                  </w:r>
                  <w:r>
                    <w:rPr>
                      <w:rFonts w:hint="eastAsia" w:ascii="宋体" w:hAnsi="宋体" w:eastAsia="宋体" w:cs="宋体"/>
                      <w:sz w:val="20"/>
                      <w:szCs w:val="20"/>
                      <w:lang w:eastAsia="zh-CN"/>
                    </w:rPr>
                    <w:t>不得检测出大肠菌</w:t>
                  </w:r>
                  <w:r>
                    <w:rPr>
                      <w:rFonts w:hint="eastAsia" w:ascii="宋体" w:hAnsi="宋体" w:eastAsia="宋体" w:cs="宋体"/>
                      <w:sz w:val="20"/>
                      <w:szCs w:val="20"/>
                      <w:lang w:val="en-US" w:eastAsia="zh-CN"/>
                    </w:rPr>
                    <w:t>群</w:t>
                  </w:r>
                  <w:r>
                    <w:rPr>
                      <w:rFonts w:hint="eastAsia" w:ascii="宋体" w:hAnsi="宋体" w:eastAsia="宋体" w:cs="宋体"/>
                      <w:sz w:val="20"/>
                      <w:szCs w:val="20"/>
                      <w:lang w:eastAsia="zh-CN"/>
                    </w:rPr>
                    <w:t>及铜绿假单</w:t>
                  </w:r>
                  <w:r>
                    <w:rPr>
                      <w:rFonts w:hint="eastAsia" w:ascii="宋体" w:hAnsi="宋体" w:eastAsia="宋体" w:cs="宋体"/>
                      <w:sz w:val="20"/>
                      <w:szCs w:val="20"/>
                      <w:lang w:val="en-US" w:eastAsia="zh-CN"/>
                    </w:rPr>
                    <w:t>胞</w:t>
                  </w:r>
                  <w:r>
                    <w:rPr>
                      <w:rFonts w:hint="eastAsia" w:ascii="宋体" w:hAnsi="宋体" w:eastAsia="宋体" w:cs="宋体"/>
                      <w:sz w:val="20"/>
                      <w:szCs w:val="20"/>
                      <w:lang w:eastAsia="zh-CN"/>
                    </w:rPr>
                    <w:t>菌。</w:t>
                  </w:r>
                </w:p>
                <w:p w14:paraId="20396EFC">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16.</w:t>
                  </w:r>
                  <w:r>
                    <w:rPr>
                      <w:rFonts w:hint="eastAsia" w:ascii="宋体" w:hAnsi="宋体" w:eastAsia="宋体" w:cs="宋体"/>
                      <w:sz w:val="20"/>
                      <w:szCs w:val="20"/>
                      <w:lang w:eastAsia="zh-CN"/>
                    </w:rPr>
                    <w:t>产品符合环保要求及国家标准GB17323-1998《瓶装</w:t>
                  </w:r>
                </w:p>
                <w:p w14:paraId="5AA1AE68">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eastAsia="zh-CN"/>
                    </w:rPr>
                    <w:t>饮用纯净水》、GB19298-2014《食品安全国家标准包装</w:t>
                  </w:r>
                </w:p>
                <w:p w14:paraId="0999D2AE">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eastAsia="zh-CN"/>
                    </w:rPr>
                    <w:t>饮用水》。</w:t>
                  </w:r>
                </w:p>
                <w:p w14:paraId="54536468">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17.具有本年度</w:t>
                  </w:r>
                  <w:r>
                    <w:rPr>
                      <w:rFonts w:hint="eastAsia" w:ascii="宋体" w:hAnsi="宋体" w:eastAsia="宋体" w:cs="宋体"/>
                      <w:sz w:val="20"/>
                      <w:szCs w:val="20"/>
                      <w:lang w:val="zh-CN" w:eastAsia="zh-CN"/>
                    </w:rPr>
                    <w:t>由市级或以上</w:t>
                  </w:r>
                  <w:r>
                    <w:rPr>
                      <w:rFonts w:hint="eastAsia" w:ascii="宋体" w:hAnsi="宋体" w:eastAsia="宋体" w:cs="宋体"/>
                      <w:sz w:val="20"/>
                      <w:szCs w:val="20"/>
                      <w:lang w:val="en-US" w:eastAsia="zh-CN"/>
                    </w:rPr>
                    <w:t>权威检测部门或机构出具桶装水的检测合格报告复印件</w:t>
                  </w:r>
                  <w:r>
                    <w:rPr>
                      <w:rFonts w:hint="eastAsia" w:ascii="宋体" w:hAnsi="宋体" w:eastAsia="宋体" w:cs="宋体"/>
                      <w:sz w:val="20"/>
                      <w:szCs w:val="20"/>
                      <w:lang w:val="zh-CN" w:eastAsia="zh-CN"/>
                    </w:rPr>
                    <w:t>,检测内容必须包含以上“技术参数要求”</w:t>
                  </w:r>
                  <w:r>
                    <w:rPr>
                      <w:rFonts w:hint="eastAsia" w:ascii="宋体" w:hAnsi="宋体" w:eastAsia="宋体" w:cs="宋体"/>
                      <w:sz w:val="20"/>
                      <w:szCs w:val="20"/>
                      <w:lang w:val="en-US" w:eastAsia="zh-CN"/>
                    </w:rPr>
                    <w:t>中</w:t>
                  </w:r>
                  <w:r>
                    <w:rPr>
                      <w:rFonts w:hint="eastAsia" w:ascii="宋体" w:hAnsi="宋体" w:eastAsia="宋体" w:cs="宋体"/>
                      <w:sz w:val="20"/>
                      <w:szCs w:val="20"/>
                      <w:lang w:val="zh-CN" w:eastAsia="zh-CN"/>
                    </w:rPr>
                    <w:t>的“</w:t>
                  </w:r>
                  <w:r>
                    <w:rPr>
                      <w:rFonts w:hint="eastAsia" w:ascii="宋体" w:hAnsi="宋体" w:eastAsia="宋体" w:cs="宋体"/>
                      <w:sz w:val="20"/>
                      <w:szCs w:val="20"/>
                      <w:lang w:val="en-US" w:eastAsia="zh-CN"/>
                    </w:rPr>
                    <w:t>色度、浑浊度、滋味、气味、状态、</w:t>
                  </w:r>
                  <w:r>
                    <w:rPr>
                      <w:rFonts w:hint="eastAsia" w:ascii="宋体" w:hAnsi="宋体" w:eastAsia="宋体" w:cs="宋体"/>
                      <w:sz w:val="20"/>
                      <w:szCs w:val="20"/>
                      <w:lang w:eastAsia="zh-CN"/>
                    </w:rPr>
                    <w:t>大肠菌</w:t>
                  </w:r>
                  <w:r>
                    <w:rPr>
                      <w:rFonts w:hint="eastAsia" w:ascii="宋体" w:hAnsi="宋体" w:eastAsia="宋体" w:cs="宋体"/>
                      <w:sz w:val="20"/>
                      <w:szCs w:val="20"/>
                      <w:lang w:val="en-US" w:eastAsia="zh-CN"/>
                    </w:rPr>
                    <w:t>群</w:t>
                  </w:r>
                  <w:r>
                    <w:rPr>
                      <w:rFonts w:hint="eastAsia" w:ascii="宋体" w:hAnsi="宋体" w:eastAsia="宋体" w:cs="宋体"/>
                      <w:sz w:val="20"/>
                      <w:szCs w:val="20"/>
                      <w:lang w:eastAsia="zh-CN"/>
                    </w:rPr>
                    <w:t>、铜绿假单</w:t>
                  </w:r>
                  <w:r>
                    <w:rPr>
                      <w:rFonts w:hint="eastAsia" w:ascii="宋体" w:hAnsi="宋体" w:eastAsia="宋体" w:cs="宋体"/>
                      <w:sz w:val="20"/>
                      <w:szCs w:val="20"/>
                      <w:lang w:val="en-US" w:eastAsia="zh-CN"/>
                    </w:rPr>
                    <w:t>胞</w:t>
                  </w:r>
                  <w:r>
                    <w:rPr>
                      <w:rFonts w:hint="eastAsia" w:ascii="宋体" w:hAnsi="宋体" w:eastAsia="宋体" w:cs="宋体"/>
                      <w:sz w:val="20"/>
                      <w:szCs w:val="20"/>
                      <w:lang w:eastAsia="zh-CN"/>
                    </w:rPr>
                    <w:t>菌</w:t>
                  </w:r>
                  <w:r>
                    <w:rPr>
                      <w:rFonts w:hint="eastAsia" w:ascii="宋体" w:hAnsi="宋体" w:eastAsia="宋体" w:cs="宋体"/>
                      <w:sz w:val="20"/>
                      <w:szCs w:val="20"/>
                      <w:lang w:val="zh-CN" w:eastAsia="zh-CN"/>
                    </w:rPr>
                    <w:t>”</w:t>
                  </w:r>
                  <w:r>
                    <w:rPr>
                      <w:rFonts w:hint="eastAsia" w:ascii="宋体" w:hAnsi="宋体" w:eastAsia="宋体" w:cs="宋体"/>
                      <w:sz w:val="20"/>
                      <w:szCs w:val="20"/>
                      <w:lang w:val="en-US" w:eastAsia="zh-CN"/>
                    </w:rPr>
                    <w:t>等内容</w:t>
                  </w:r>
                  <w:r>
                    <w:rPr>
                      <w:rFonts w:hint="eastAsia" w:ascii="宋体" w:hAnsi="宋体" w:eastAsia="宋体" w:cs="宋体"/>
                      <w:sz w:val="20"/>
                      <w:szCs w:val="20"/>
                      <w:lang w:val="zh-CN" w:eastAsia="zh-CN"/>
                    </w:rPr>
                    <w:t>。</w:t>
                  </w:r>
                </w:p>
              </w:tc>
              <w:tc>
                <w:tcPr>
                  <w:tcW w:w="525" w:type="pct"/>
                  <w:tcBorders>
                    <w:top w:val="single" w:color="auto" w:sz="4" w:space="0"/>
                    <w:left w:val="single" w:color="auto" w:sz="4" w:space="0"/>
                    <w:bottom w:val="single" w:color="auto" w:sz="4" w:space="0"/>
                    <w:right w:val="single" w:color="000000" w:sz="4" w:space="0"/>
                  </w:tcBorders>
                  <w:shd w:val="clear" w:color="auto" w:fill="auto"/>
                  <w:noWrap w:val="0"/>
                  <w:vAlign w:val="center"/>
                </w:tcPr>
                <w:p w14:paraId="21703BD1">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桶</w:t>
                  </w:r>
                </w:p>
              </w:tc>
              <w:tc>
                <w:tcPr>
                  <w:tcW w:w="629" w:type="pct"/>
                  <w:tcBorders>
                    <w:top w:val="single" w:color="auto" w:sz="4" w:space="0"/>
                    <w:left w:val="single" w:color="000000" w:sz="4" w:space="0"/>
                    <w:bottom w:val="single" w:color="auto" w:sz="4" w:space="0"/>
                    <w:right w:val="single" w:color="000000" w:sz="4" w:space="0"/>
                  </w:tcBorders>
                  <w:noWrap/>
                  <w:vAlign w:val="center"/>
                </w:tcPr>
                <w:p w14:paraId="564F0109">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6639</w:t>
                  </w:r>
                </w:p>
              </w:tc>
              <w:tc>
                <w:tcPr>
                  <w:tcW w:w="618" w:type="pct"/>
                  <w:tcBorders>
                    <w:top w:val="single" w:color="auto" w:sz="4" w:space="0"/>
                    <w:left w:val="single" w:color="000000" w:sz="4" w:space="0"/>
                    <w:bottom w:val="single" w:color="auto" w:sz="4" w:space="0"/>
                    <w:right w:val="single" w:color="000000" w:sz="4" w:space="0"/>
                  </w:tcBorders>
                  <w:noWrap/>
                  <w:vAlign w:val="center"/>
                </w:tcPr>
                <w:p w14:paraId="23CBF475">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9.8</w:t>
                  </w:r>
                </w:p>
              </w:tc>
            </w:tr>
            <w:tr w14:paraId="64BF7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28" w:type="dxa"/>
                  <w:bottom w:w="28" w:type="dxa"/>
                  <w:right w:w="28" w:type="dxa"/>
                </w:tblCellMar>
              </w:tblPrEx>
              <w:trPr>
                <w:trHeight w:val="1487" w:hRule="atLeast"/>
                <w:jc w:val="center"/>
              </w:trPr>
              <w:tc>
                <w:tcPr>
                  <w:tcW w:w="432" w:type="pct"/>
                  <w:tcBorders>
                    <w:top w:val="single" w:color="auto" w:sz="4" w:space="0"/>
                    <w:left w:val="single" w:color="auto" w:sz="4" w:space="0"/>
                    <w:bottom w:val="single" w:color="auto" w:sz="4" w:space="0"/>
                    <w:right w:val="single" w:color="000000" w:sz="4" w:space="0"/>
                  </w:tcBorders>
                  <w:noWrap w:val="0"/>
                  <w:vAlign w:val="center"/>
                </w:tcPr>
                <w:p w14:paraId="7D2338C5">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w:t>
                  </w:r>
                </w:p>
              </w:tc>
              <w:tc>
                <w:tcPr>
                  <w:tcW w:w="493" w:type="pct"/>
                  <w:tcBorders>
                    <w:top w:val="single" w:color="auto" w:sz="4" w:space="0"/>
                    <w:left w:val="single" w:color="auto" w:sz="4" w:space="0"/>
                    <w:bottom w:val="single" w:color="auto" w:sz="4" w:space="0"/>
                    <w:right w:val="single" w:color="000000" w:sz="4" w:space="0"/>
                  </w:tcBorders>
                  <w:noWrap w:val="0"/>
                  <w:vAlign w:val="center"/>
                </w:tcPr>
                <w:p w14:paraId="2C9B77BF">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支装矿泉水</w:t>
                  </w:r>
                </w:p>
              </w:tc>
              <w:tc>
                <w:tcPr>
                  <w:tcW w:w="2299" w:type="pct"/>
                  <w:tcBorders>
                    <w:top w:val="single" w:color="auto" w:sz="4" w:space="0"/>
                    <w:left w:val="single" w:color="000000" w:sz="4" w:space="0"/>
                    <w:bottom w:val="single" w:color="auto" w:sz="4" w:space="0"/>
                    <w:right w:val="single" w:color="auto" w:sz="4" w:space="0"/>
                  </w:tcBorders>
                  <w:noWrap w:val="0"/>
                  <w:vAlign w:val="center"/>
                </w:tcPr>
                <w:p w14:paraId="3D35880B">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1.净含量</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380ml（允许±30ml）,24支/箱（件）</w:t>
                  </w:r>
                  <w:r>
                    <w:rPr>
                      <w:rFonts w:hint="eastAsia" w:ascii="宋体" w:hAnsi="宋体" w:eastAsia="宋体" w:cs="宋体"/>
                      <w:sz w:val="20"/>
                      <w:szCs w:val="20"/>
                      <w:lang w:eastAsia="zh-CN"/>
                    </w:rPr>
                    <w:t>；</w:t>
                  </w:r>
                </w:p>
                <w:p w14:paraId="35602AF4">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产品符合国家标准GB</w:t>
                  </w:r>
                  <w:r>
                    <w:rPr>
                      <w:rFonts w:hint="eastAsia" w:ascii="宋体" w:hAnsi="宋体" w:eastAsia="宋体" w:cs="宋体"/>
                      <w:sz w:val="20"/>
                      <w:szCs w:val="20"/>
                      <w:lang w:val="en-US" w:eastAsia="zh-CN"/>
                    </w:rPr>
                    <w:t xml:space="preserve"> 8537；</w:t>
                  </w:r>
                </w:p>
                <w:p w14:paraId="15279685">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3.有效保质期≥12个月；</w:t>
                  </w:r>
                </w:p>
                <w:p w14:paraId="186F6D5E">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4.钾（mg/L）:1.5-10.0；</w:t>
                  </w:r>
                </w:p>
                <w:p w14:paraId="5D8AEBBC">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5.钙（mg/L）：0.3-25.0；</w:t>
                  </w:r>
                </w:p>
                <w:p w14:paraId="3804A590">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6.偏硅酸（mg/L）：25.0-80.0；</w:t>
                  </w:r>
                </w:p>
                <w:p w14:paraId="7A07F280">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7.钠（mg/L）：3.0-20.0；</w:t>
                  </w:r>
                </w:p>
                <w:p w14:paraId="76136FDB">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8.镁（mg/L）：0.1-10.0；</w:t>
                  </w:r>
                </w:p>
                <w:p w14:paraId="37C785B0">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9.溶解性总固体（mg/L）：25-190；</w:t>
                  </w:r>
                </w:p>
                <w:p w14:paraId="1B87F300">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10.具有</w:t>
                  </w:r>
                  <w:r>
                    <w:rPr>
                      <w:rFonts w:hint="eastAsia" w:ascii="宋体" w:hAnsi="宋体" w:eastAsia="宋体" w:cs="宋体"/>
                      <w:sz w:val="20"/>
                      <w:szCs w:val="20"/>
                      <w:lang w:val="zh-CN" w:eastAsia="zh-CN"/>
                    </w:rPr>
                    <w:t>由市级或以上</w:t>
                  </w:r>
                  <w:r>
                    <w:rPr>
                      <w:rFonts w:hint="eastAsia" w:ascii="宋体" w:hAnsi="宋体" w:eastAsia="宋体" w:cs="宋体"/>
                      <w:sz w:val="20"/>
                      <w:szCs w:val="20"/>
                      <w:lang w:val="en-US" w:eastAsia="zh-CN"/>
                    </w:rPr>
                    <w:t>第三方权威检测部门或机构出具的检测合格报告。</w:t>
                  </w:r>
                </w:p>
                <w:p w14:paraId="537A8B14">
                  <w:pPr>
                    <w:keepNext w:val="0"/>
                    <w:keepLines w:val="0"/>
                    <w:pageBreakBefore w:val="0"/>
                    <w:widowControl w:val="0"/>
                    <w:kinsoku w:val="0"/>
                    <w:wordWrap/>
                    <w:overflowPunct/>
                    <w:topLinePunct w:val="0"/>
                    <w:autoSpaceDE w:val="0"/>
                    <w:autoSpaceDN w:val="0"/>
                    <w:bidi w:val="0"/>
                    <w:adjustRightInd w:val="0"/>
                    <w:snapToGrid w:val="0"/>
                    <w:spacing w:line="22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11.按照采购人要求印制瓶身标签。</w:t>
                  </w:r>
                </w:p>
              </w:tc>
              <w:tc>
                <w:tcPr>
                  <w:tcW w:w="525" w:type="pct"/>
                  <w:tcBorders>
                    <w:top w:val="single" w:color="auto" w:sz="4" w:space="0"/>
                    <w:left w:val="single" w:color="auto" w:sz="4" w:space="0"/>
                    <w:bottom w:val="single" w:color="auto" w:sz="4" w:space="0"/>
                    <w:right w:val="single" w:color="000000" w:sz="4" w:space="0"/>
                  </w:tcBorders>
                  <w:shd w:val="clear" w:color="auto" w:fill="auto"/>
                  <w:noWrap w:val="0"/>
                  <w:vAlign w:val="center"/>
                </w:tcPr>
                <w:p w14:paraId="2C7F53D5">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24支/箱</w:t>
                  </w:r>
                </w:p>
              </w:tc>
              <w:tc>
                <w:tcPr>
                  <w:tcW w:w="629" w:type="pct"/>
                  <w:tcBorders>
                    <w:top w:val="single" w:color="auto" w:sz="4" w:space="0"/>
                    <w:left w:val="single" w:color="000000" w:sz="4" w:space="0"/>
                    <w:bottom w:val="single" w:color="auto" w:sz="4" w:space="0"/>
                    <w:right w:val="single" w:color="000000" w:sz="4" w:space="0"/>
                  </w:tcBorders>
                  <w:noWrap/>
                  <w:vAlign w:val="center"/>
                </w:tcPr>
                <w:p w14:paraId="4DDEA556">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155</w:t>
                  </w:r>
                </w:p>
              </w:tc>
              <w:tc>
                <w:tcPr>
                  <w:tcW w:w="618" w:type="pct"/>
                  <w:tcBorders>
                    <w:top w:val="single" w:color="auto" w:sz="4" w:space="0"/>
                    <w:left w:val="single" w:color="000000" w:sz="4" w:space="0"/>
                    <w:bottom w:val="single" w:color="auto" w:sz="4" w:space="0"/>
                    <w:right w:val="single" w:color="000000" w:sz="4" w:space="0"/>
                  </w:tcBorders>
                  <w:noWrap/>
                  <w:vAlign w:val="center"/>
                </w:tcPr>
                <w:p w14:paraId="65D75D19">
                  <w:pPr>
                    <w:keepNext w:val="0"/>
                    <w:keepLines w:val="0"/>
                    <w:pageBreakBefore w:val="0"/>
                    <w:widowControl w:val="0"/>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19.8</w:t>
                  </w:r>
                </w:p>
              </w:tc>
            </w:tr>
          </w:tbl>
          <w:p w14:paraId="0A8FBE6C">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注：所列参考数量为预计采购量，实际采购结算以实际发生量为准。</w:t>
            </w:r>
          </w:p>
        </w:tc>
        <w:tc>
          <w:tcPr>
            <w:tcW w:w="1541" w:type="dxa"/>
          </w:tcPr>
          <w:p w14:paraId="6483D143">
            <w:pPr>
              <w:pStyle w:val="11"/>
              <w:rPr>
                <w:rFonts w:ascii="宋体" w:hAnsi="宋体" w:eastAsia="宋体" w:cs="宋体"/>
                <w:lang w:eastAsia="zh-CN"/>
              </w:rPr>
            </w:pPr>
          </w:p>
        </w:tc>
        <w:tc>
          <w:tcPr>
            <w:tcW w:w="1510" w:type="dxa"/>
          </w:tcPr>
          <w:p w14:paraId="774B4E9C">
            <w:pPr>
              <w:pStyle w:val="11"/>
              <w:rPr>
                <w:rFonts w:ascii="宋体" w:hAnsi="宋体" w:eastAsia="宋体" w:cs="宋体"/>
                <w:lang w:eastAsia="zh-CN"/>
              </w:rPr>
            </w:pPr>
          </w:p>
        </w:tc>
      </w:tr>
      <w:tr w14:paraId="515E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210" w:hRule="atLeast"/>
        </w:trPr>
        <w:tc>
          <w:tcPr>
            <w:tcW w:w="958" w:type="dxa"/>
            <w:vAlign w:val="center"/>
          </w:tcPr>
          <w:p w14:paraId="66BBC161">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373" w:type="dxa"/>
          </w:tcPr>
          <w:p w14:paraId="09D7E24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四、</w:t>
            </w:r>
            <w:r>
              <w:rPr>
                <w:rFonts w:hint="eastAsia" w:ascii="宋体" w:hAnsi="宋体" w:eastAsia="宋体" w:cs="宋体"/>
                <w:sz w:val="20"/>
                <w:szCs w:val="20"/>
                <w:lang w:val="en-US" w:eastAsia="zh-CN"/>
              </w:rPr>
              <w:t>响应</w:t>
            </w:r>
            <w:r>
              <w:rPr>
                <w:rFonts w:hint="eastAsia" w:ascii="宋体" w:hAnsi="宋体" w:eastAsia="宋体" w:cs="宋体"/>
                <w:sz w:val="20"/>
                <w:szCs w:val="20"/>
                <w:lang w:eastAsia="zh-CN"/>
              </w:rPr>
              <w:t>报价要求</w:t>
            </w:r>
          </w:p>
          <w:p w14:paraId="663605D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 供应商须依据项目清单目录所列技术参数要求，在桶装水及支装矿泉水对应栏目中，各填报一个符合技术参数要求的意向品牌，并按单价最高限价填报一个统一的响应下浮率。下浮率取值范围为0%（含）至5</w:t>
            </w:r>
            <w:bookmarkStart w:id="0" w:name="_GoBack"/>
            <w:bookmarkEnd w:id="0"/>
            <w:r>
              <w:rPr>
                <w:rFonts w:hint="eastAsia" w:ascii="宋体" w:hAnsi="宋体" w:eastAsia="宋体" w:cs="宋体"/>
                <w:sz w:val="20"/>
                <w:szCs w:val="20"/>
                <w:lang w:val="en-US" w:eastAsia="zh-CN"/>
              </w:rPr>
              <w:t>0%（含），超出此范围的报价将被视作无效响应。结算公式：各类货物的实际供货单价 = 最高单价限价×（1-成交下浮率），结果四舍五入保留至小数点后两位。此单价为合同履行期间的最终价格，合同期内不随市场同类商品价格波动进行调整。</w:t>
            </w:r>
          </w:p>
          <w:p w14:paraId="3E7FB2A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本次响应报价应为人民币含税全包价，涵盖货物价格、包装费、运杂费、保险费、卸车费、配合费、检测费、配送费、税金及本项目执行过程中所需的其他各项费用。</w:t>
            </w:r>
          </w:p>
          <w:p w14:paraId="7F6C470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响应供应商须对采购清单中的全部货物进行报价，并注明产品品牌。报价不得高于各单项单价的最高限价，且总报价不得超过本项目采购预算价。存在缺项、漏项的报价将被认定为无效报价。</w:t>
            </w:r>
          </w:p>
          <w:p w14:paraId="6AE8FA0F">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响应供应商应在响应报价文件中提供近三年内同类项目的业绩证明文件。</w:t>
            </w:r>
          </w:p>
          <w:p w14:paraId="2BCA00BA">
            <w:pPr>
              <w:pStyle w:val="2"/>
              <w:rPr>
                <w:rFonts w:hint="default"/>
                <w:lang w:val="en-US" w:eastAsia="zh-CN"/>
              </w:rPr>
            </w:pPr>
            <w:r>
              <w:rPr>
                <w:rFonts w:hint="eastAsia" w:ascii="宋体" w:hAnsi="宋体" w:eastAsia="宋体" w:cs="宋体"/>
                <w:sz w:val="20"/>
                <w:szCs w:val="20"/>
                <w:lang w:val="en-US" w:eastAsia="zh-CN"/>
              </w:rPr>
              <w:t>5. 报价次数：1次。</w:t>
            </w:r>
          </w:p>
        </w:tc>
        <w:tc>
          <w:tcPr>
            <w:tcW w:w="1541" w:type="dxa"/>
          </w:tcPr>
          <w:p w14:paraId="193D8761">
            <w:pPr>
              <w:pStyle w:val="11"/>
              <w:rPr>
                <w:rFonts w:ascii="宋体" w:hAnsi="宋体" w:eastAsia="宋体" w:cs="宋体"/>
                <w:lang w:eastAsia="zh-CN"/>
              </w:rPr>
            </w:pPr>
          </w:p>
        </w:tc>
        <w:tc>
          <w:tcPr>
            <w:tcW w:w="1510" w:type="dxa"/>
          </w:tcPr>
          <w:p w14:paraId="091A4CD4">
            <w:pPr>
              <w:pStyle w:val="11"/>
              <w:rPr>
                <w:rFonts w:ascii="宋体" w:hAnsi="宋体" w:eastAsia="宋体" w:cs="宋体"/>
                <w:lang w:eastAsia="zh-CN"/>
              </w:rPr>
            </w:pPr>
          </w:p>
        </w:tc>
      </w:tr>
      <w:tr w14:paraId="15F7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468" w:hRule="atLeast"/>
        </w:trPr>
        <w:tc>
          <w:tcPr>
            <w:tcW w:w="958" w:type="dxa"/>
            <w:vAlign w:val="center"/>
          </w:tcPr>
          <w:p w14:paraId="7F4016B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373" w:type="dxa"/>
          </w:tcPr>
          <w:p w14:paraId="7DE0D8BC">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五、技术要求</w:t>
            </w:r>
          </w:p>
          <w:p w14:paraId="453A2A7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 成交供应商须提供由已注册品牌制造商生产的原装、全新产品，且产品应符合国家相关质量标准及采购人提出的具体质量要求。</w:t>
            </w:r>
          </w:p>
          <w:p w14:paraId="3BB36F1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 所有货物在开箱检验时必须保持完好无损，无破损现象，其配置应与装箱单完全相符。</w:t>
            </w:r>
          </w:p>
          <w:p w14:paraId="01011A4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 成交供应商所提供产品的性能、配置参数等不得低于采购文件规定的要求。</w:t>
            </w:r>
          </w:p>
          <w:p w14:paraId="51DD9F0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 成交供应商提供的货物必须符合国家有关规范、环保要求以及采购人的技术标准。所有货物及相关服务不得侵犯任何第三方的专利、商标或版权等知识产权。若发生侵权行为，成交供应商须承担全部侵权责任及由此产生的一切费用，采购人不承担任何相关的经济和法律责任。</w:t>
            </w:r>
          </w:p>
          <w:p w14:paraId="6E95633F">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5. 成交供应商不得经营未经注册、无合格证明、过期、失效或已淘汰的产品。如因产品质量问题造成任何损失，均由成交供应商承担全部责任。</w:t>
            </w:r>
          </w:p>
        </w:tc>
        <w:tc>
          <w:tcPr>
            <w:tcW w:w="1541" w:type="dxa"/>
          </w:tcPr>
          <w:p w14:paraId="400EB205">
            <w:pPr>
              <w:pStyle w:val="11"/>
              <w:rPr>
                <w:rFonts w:ascii="宋体" w:hAnsi="宋体" w:eastAsia="宋体" w:cs="宋体"/>
                <w:lang w:eastAsia="zh-CN"/>
              </w:rPr>
            </w:pPr>
          </w:p>
        </w:tc>
        <w:tc>
          <w:tcPr>
            <w:tcW w:w="1510" w:type="dxa"/>
          </w:tcPr>
          <w:p w14:paraId="4379F7B4">
            <w:pPr>
              <w:pStyle w:val="11"/>
              <w:rPr>
                <w:rFonts w:ascii="宋体" w:hAnsi="宋体" w:eastAsia="宋体" w:cs="宋体"/>
                <w:lang w:eastAsia="zh-CN"/>
              </w:rPr>
            </w:pPr>
          </w:p>
        </w:tc>
      </w:tr>
      <w:tr w14:paraId="7B31F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753" w:hRule="atLeast"/>
        </w:trPr>
        <w:tc>
          <w:tcPr>
            <w:tcW w:w="958" w:type="dxa"/>
            <w:vAlign w:val="center"/>
          </w:tcPr>
          <w:p w14:paraId="5E6150C9">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373" w:type="dxa"/>
          </w:tcPr>
          <w:p w14:paraId="6A442E2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六、包装、装卸、运输及保险</w:t>
            </w:r>
          </w:p>
          <w:p w14:paraId="3B972AD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1. 成交供应商所供货物的包装质量必须符合国家相关标准，包装应具备良好的防锈、防腐措施，确保货物在运输至现场过程中得到有效保护。因包装不良导致的损失及相关费用，均由成交供应商承担。</w:t>
            </w:r>
          </w:p>
          <w:p w14:paraId="5C7D656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2. 成交供应商负责将货物按照用户指定地点送至现场的全部运输过程，包括装卸车及货物在现场的搬运，相关费用由成交供应商承担。</w:t>
            </w:r>
          </w:p>
          <w:p w14:paraId="47EF6A3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3. 若货物在运输过程中因事故导致短缺、损坏，成交供应商应及时安排换货，以保障合同货物按时交付，换货产生的相关费用由成交供应商承担。</w:t>
            </w:r>
          </w:p>
          <w:p w14:paraId="2A558A72">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4. 货物的质量保险由成交供应商负责，同时成交供应商须为其派出的现场服务人员购买人身意外保险。</w:t>
            </w:r>
          </w:p>
        </w:tc>
        <w:tc>
          <w:tcPr>
            <w:tcW w:w="1541" w:type="dxa"/>
          </w:tcPr>
          <w:p w14:paraId="0ECC2677">
            <w:pPr>
              <w:pStyle w:val="11"/>
              <w:rPr>
                <w:rFonts w:ascii="宋体" w:hAnsi="宋体" w:eastAsia="宋体" w:cs="宋体"/>
                <w:lang w:eastAsia="zh-CN"/>
              </w:rPr>
            </w:pPr>
          </w:p>
        </w:tc>
        <w:tc>
          <w:tcPr>
            <w:tcW w:w="1510" w:type="dxa"/>
          </w:tcPr>
          <w:p w14:paraId="79CBAC54">
            <w:pPr>
              <w:pStyle w:val="11"/>
              <w:rPr>
                <w:rFonts w:ascii="宋体" w:hAnsi="宋体" w:eastAsia="宋体" w:cs="宋体"/>
                <w:lang w:eastAsia="zh-CN"/>
              </w:rPr>
            </w:pPr>
          </w:p>
        </w:tc>
      </w:tr>
      <w:tr w14:paraId="4BFA7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054" w:hRule="atLeast"/>
        </w:trPr>
        <w:tc>
          <w:tcPr>
            <w:tcW w:w="958" w:type="dxa"/>
            <w:vAlign w:val="center"/>
          </w:tcPr>
          <w:p w14:paraId="2A8B819C">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373" w:type="dxa"/>
          </w:tcPr>
          <w:p w14:paraId="25C42B05">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七、验收方式</w:t>
            </w:r>
          </w:p>
          <w:p w14:paraId="1E60B375">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成交供应商将货物送至采购人指定地点后，由采购人依据采购合同、采购文件要求及响应文件承诺进行核对，并根据国家相关法律法规，对货物的规格参数和质量标准进行检查验收。</w:t>
            </w:r>
          </w:p>
          <w:p w14:paraId="4EF39BD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2. 货物在验收过程中，如发现存在短缺、次品、损坏或其他不符合磋商文件及合同规定的情形，采购人有权拒付该批物品的费用，由此产生的一切费用和损失由成交供应商承担。</w:t>
            </w:r>
          </w:p>
          <w:p w14:paraId="59972DB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3. 所有货物在使用过程中若发现以次充好或使用假冒伪劣产品的情况，成交供应商须无条件更换货物，并按“假一赔三”的原则进行赔偿。若此类情况发生两次及以上，采购人有权单方终止合同，且履约保证金不予退还。</w:t>
            </w:r>
          </w:p>
          <w:p w14:paraId="4D725F9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4. 因质量问题引发争议时，由地级市或以上级别的质检部门进行鉴定。鉴定费用先由成交供应商垫付，若鉴定结果符合质量技术要求，所有鉴定费用由采购人承担；若鉴定结果不符合质量技术要求，所有鉴定费用由成交供应商承担。</w:t>
            </w:r>
          </w:p>
          <w:p w14:paraId="12C9C2D5">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5. 若成交供应商提供的产品发生知识产权纠纷，由成交供应商负责与原知识产权所有者协商解决，采购人不承担任何相关的经济和法律责任。</w:t>
            </w:r>
          </w:p>
          <w:p w14:paraId="2B719439">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6. 成交供应商应按照双方约定的时间交付采购人所购买的产品，采购人应及时组织验收。对于符合合同约定的标的物予以接收，对不符合合同要求的质量、品种、规格、数量等情况，采购人有权拒一概予以拒收。成交供应商须对被拒收产品及时进行更换，且不得影响采购人的正常使用。若因更换不及时导致采购人使用受影响并产生损失，采购人有权要求成交供应商赔偿由此造成的全部损失。</w:t>
            </w:r>
          </w:p>
          <w:p w14:paraId="00C59363">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7. 成交供应商若需提前交付采购人所采购的产品，必须事先获得采购人的书面同意，否则因此产生的储存保管费用及标的物毁损、灭失的风险由成交供应商自行承担。</w:t>
            </w:r>
          </w:p>
          <w:p w14:paraId="049664A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8. 成交供应商应按照采购人采购计划中指定的医院地址进行送货，相关费用由成交供应商承担。</w:t>
            </w:r>
          </w:p>
        </w:tc>
        <w:tc>
          <w:tcPr>
            <w:tcW w:w="1541" w:type="dxa"/>
          </w:tcPr>
          <w:p w14:paraId="3CC5F3B6">
            <w:pPr>
              <w:pStyle w:val="11"/>
              <w:rPr>
                <w:rFonts w:ascii="宋体" w:hAnsi="宋体" w:eastAsia="宋体" w:cs="宋体"/>
                <w:lang w:eastAsia="zh-CN"/>
              </w:rPr>
            </w:pPr>
          </w:p>
        </w:tc>
        <w:tc>
          <w:tcPr>
            <w:tcW w:w="1510" w:type="dxa"/>
          </w:tcPr>
          <w:p w14:paraId="3ECDB715">
            <w:pPr>
              <w:pStyle w:val="11"/>
              <w:rPr>
                <w:rFonts w:ascii="宋体" w:hAnsi="宋体" w:eastAsia="宋体" w:cs="宋体"/>
                <w:lang w:eastAsia="zh-CN"/>
              </w:rPr>
            </w:pPr>
          </w:p>
        </w:tc>
      </w:tr>
      <w:tr w14:paraId="7EE4C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958" w:type="dxa"/>
            <w:vAlign w:val="center"/>
          </w:tcPr>
          <w:p w14:paraId="46291B8E">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373" w:type="dxa"/>
          </w:tcPr>
          <w:p w14:paraId="5F7382C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八、售后服务要求</w:t>
            </w:r>
          </w:p>
          <w:p w14:paraId="1E6275A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成交供应商提供的货物须为全新正品，其质量、规格、性能、品牌、有效期限等均须满足用户需求，并符合国家及行业生产、经营标准，保证货真价实，且能提供相应的合格证明资料。货物交付时，成交供应商应提供合同货物真实有效的生产日期，所供应产品必须在保质期内，且剩余保质期时长应超过总保质期的三分之二。</w:t>
            </w:r>
          </w:p>
          <w:p w14:paraId="050EA24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在合同期内，成交供应商应为采购方各供水点提供符合国家相关标准的立式冷热桶装水饮水机，具体数量以实际需求为准。饮水机若出现非人为因素造成的故障，成交供应商须在24小时内赶赴现场进行免费维修；若无法维修，应提供同等质量的饮水机进行更换使用。</w:t>
            </w:r>
          </w:p>
          <w:p w14:paraId="2F99311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成交供应商需每半年对其提供的饮水机进行一次免费消毒清洗。</w:t>
            </w:r>
          </w:p>
          <w:p w14:paraId="3F819A8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质保期内，成交供应商应提供24小时响应服务，并指定一名项目负责人，确保服务电话24小时畅通。对于采购人提出的质量异议，成交供应商必须在1小时内予以响应并提出解决方案；货物因非人为因素出现损坏、变形等问题的，成交供应商应在接到通知后2小时内派遣专业人员上门服务，并在到达现场后4小时内解决问题，按要求完成更换、送回等服务，确保所提供货物的合格率达到100%，并对造成的损失承担赔偿责任。若在到场4小时后仍未能有效解决问题，成交供应商应向采购人说明原因并经其同意后，提供同档次或优于原参数的货物供采购人使用；若未能及时完成修理或更换，采购人有权自行采购更换，所产生的费用从履约保证金中扣除；如因此造成采购人损失的，由成交供应商承担赔偿责任。</w:t>
            </w:r>
          </w:p>
          <w:p w14:paraId="1DCCF2D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质保期内，成交供应商须提供货物“包退、包换、包修”的质量“三包”服务。若货物不符合国家有关质量标准、采购文件及合同参数要求，采购人有权拒收，成交供应商应无条件退换货物，退换期限为2个自然日，由此产生的一切费用由成交供应商承担；若造成采购人经济损失的，采购人有权进行索赔。</w:t>
            </w:r>
          </w:p>
          <w:p w14:paraId="4BFC8F49">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6. 若货物不符合国家有关质量标准、进货渠道不正规，或经证实存在缺陷（包括潜在缺陷或使用不符合要求的材料等），采购人有权要求成交供应商无条件退换货物，退换期限为2个自然日，由此产生的一切费用由成交供应商承担，并赔偿因此给采购人造成的经济损失。</w:t>
            </w:r>
          </w:p>
          <w:p w14:paraId="783CE2E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7. 成交供应商在配送服务过程中，应保证送水数量准确，送水人员稳定，衣着整齐并统一佩戴工作牌，严格服从医院管理，不得有任何损害医院形象的行为，并认真填写送水登记表。</w:t>
            </w:r>
          </w:p>
          <w:p w14:paraId="0ACAF1E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8. 成交供应商应恪守诚信原则，严禁制造、销售假冒伪劣桶装水。服务期内，如出现供应非正品或产品质量问题等情况，采购人有权单方面解除合同，成交供应商须承担由此造成的一切损失。</w:t>
            </w:r>
          </w:p>
          <w:p w14:paraId="3711221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9. ★成交供应商所供产品须符合卫生标准，表面保持洁净无垢，商标清晰规范。凡因产品质量或服务质量问题引发用户投诉的，成交供应商应在1小时内到达现场处理，采取一切措施将损害降至最低，并承担因自身责任导致的相关责任。因成交供应商责任被客户投诉且经查证属实的，每次扣罚200元；同类投诉再次发生的，罚款按倍数递增；罚款从该批次货物结算款中扣除。</w:t>
            </w:r>
          </w:p>
          <w:p w14:paraId="56ADC2F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10. 成交供应商应加强对送水员工的日常安全教育与安全管理，防止发生任何安全事故。因管理不善导致安全生产事故的，由供应商承担全部责任。</w:t>
            </w:r>
          </w:p>
        </w:tc>
        <w:tc>
          <w:tcPr>
            <w:tcW w:w="1541" w:type="dxa"/>
          </w:tcPr>
          <w:p w14:paraId="0F06F75D">
            <w:pPr>
              <w:pStyle w:val="11"/>
              <w:rPr>
                <w:rFonts w:ascii="宋体" w:hAnsi="宋体" w:eastAsia="宋体" w:cs="宋体"/>
                <w:lang w:eastAsia="zh-CN"/>
              </w:rPr>
            </w:pPr>
          </w:p>
        </w:tc>
        <w:tc>
          <w:tcPr>
            <w:tcW w:w="1510" w:type="dxa"/>
          </w:tcPr>
          <w:p w14:paraId="1CE95EF2">
            <w:pPr>
              <w:pStyle w:val="11"/>
              <w:rPr>
                <w:rFonts w:ascii="宋体" w:hAnsi="宋体" w:eastAsia="宋体" w:cs="宋体"/>
                <w:lang w:eastAsia="zh-CN"/>
              </w:rPr>
            </w:pPr>
          </w:p>
        </w:tc>
      </w:tr>
      <w:tr w14:paraId="36038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958" w:type="dxa"/>
            <w:vAlign w:val="center"/>
          </w:tcPr>
          <w:p w14:paraId="652B5B5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373" w:type="dxa"/>
          </w:tcPr>
          <w:p w14:paraId="04E6660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九、付款方式</w:t>
            </w:r>
          </w:p>
          <w:p w14:paraId="42C3B0B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1. 签订合同后5个工作日内成成交供应商须向采购人缴纳合同总金额5%的履约保证金。该保证金将于最后一批次货物送达并验收合格后的一个月内，由采购人一次性无息退还。若发生违约情形，采购人将依据合同约定条款扣除相应款项，剩余保证金无息退还。  </w:t>
            </w:r>
          </w:p>
          <w:p w14:paraId="3E38A5D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2. 合同签订后，在供货期限内，采购人可根据实际使用需求，分批次向成交供应商发出供货指令。本合同无预付款，各批次订货亦无预付款。  </w:t>
            </w:r>
          </w:p>
          <w:p w14:paraId="1A3B877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3. 货款按月结算。成交供应商在接到采购人的订单通知后，应按照采购人要求的品种和数量供应货物。经双方确认验收合格后，成交供应商需开具当月所供货物的有效全额增值税普通发票（含税费）。采购人在收到发票并审核无误后的60个工作日内，向成交供应商支付相应款项。  </w:t>
            </w:r>
          </w:p>
          <w:p w14:paraId="222618B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4. 特别说明：合同约定的付款期限，须遵守《保障中小企业款项支付条例》的规定。若成交供应商为中小企业，付款期限最长不得超过60日。  </w:t>
            </w:r>
          </w:p>
          <w:p w14:paraId="7015094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成交供应商开具的有效全额增值税普通发票，其开票人名称及报价须与响应文件中的报价人名称及响应报价保持一致。</w:t>
            </w:r>
          </w:p>
        </w:tc>
        <w:tc>
          <w:tcPr>
            <w:tcW w:w="1541" w:type="dxa"/>
          </w:tcPr>
          <w:p w14:paraId="1CFCF2A1">
            <w:pPr>
              <w:pStyle w:val="11"/>
              <w:rPr>
                <w:rFonts w:ascii="宋体" w:hAnsi="宋体" w:eastAsia="宋体" w:cs="宋体"/>
                <w:lang w:eastAsia="zh-CN"/>
              </w:rPr>
            </w:pPr>
          </w:p>
        </w:tc>
        <w:tc>
          <w:tcPr>
            <w:tcW w:w="1510" w:type="dxa"/>
          </w:tcPr>
          <w:p w14:paraId="5E81E370">
            <w:pPr>
              <w:pStyle w:val="11"/>
              <w:rPr>
                <w:rFonts w:ascii="宋体" w:hAnsi="宋体" w:eastAsia="宋体" w:cs="宋体"/>
                <w:lang w:eastAsia="zh-CN"/>
              </w:rPr>
            </w:pPr>
          </w:p>
        </w:tc>
      </w:tr>
      <w:tr w14:paraId="2537A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958" w:type="dxa"/>
            <w:vAlign w:val="center"/>
          </w:tcPr>
          <w:p w14:paraId="35C3489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5373" w:type="dxa"/>
          </w:tcPr>
          <w:p w14:paraId="628FFBE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十、违约责任  </w:t>
            </w:r>
          </w:p>
          <w:p w14:paraId="250246E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1. 采购人应按照合同约定时间及执行进度向成交供应商支付货款。每逾期一日，采购人应向成交供应商支付逾期金额5‰的违约金。  </w:t>
            </w:r>
          </w:p>
          <w:p w14:paraId="1E5CC38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2. 若成交供应商未能按期交货，或未能在交货之日起10个自然日内提供项目验收所需的合法有效文件，每逾期一日，须向采购人支付合同金额5‰的违约金。若逾期达10个自然日仍未履行，则视为成交供应商无法交货，应按合同总价的20%支付违约金，采购人有权单方面解除合同且不予退还履约保证金。若上述违约金及履约保证金不足以弥补采购人因成交供应商违约所造成的损失，采购人有权进一步向成交供应商索赔。  </w:t>
            </w:r>
          </w:p>
          <w:p w14:paraId="3A1A6E1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3. 成交供应商交付的货物若不符合合同约定，采购人有权拒收，成交供应商应向采购人支付合同总价20％的违约金。  </w:t>
            </w:r>
          </w:p>
          <w:p w14:paraId="01BB29F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4. 采购人无正当理由拒收货物的，应向成交供应商支付当次送货金额5‰的违约金。  </w:t>
            </w:r>
          </w:p>
          <w:p w14:paraId="57970BD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5. 货物在保质期内，若成交供应商无法提供质保服务，须承担采购人因此产生的一切更换费用及其他损失。  </w:t>
            </w:r>
          </w:p>
          <w:p w14:paraId="042E089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6. 若在货物使用过程中发现成交供应商存在以次充好或使用假冒伪劣产品的情况，成交供应商须无条件更换货物，并按“假一赔三”的原则进行赔偿。若此类情况发生两次及以上，履约保证金不予退还，采购人有权单方面终止合同。  </w:t>
            </w:r>
          </w:p>
          <w:p w14:paraId="5D684A4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7. 若成交供应商提供的货物引发知识产权纠纷，由成交供应商负责与原知识产权所有者协商解决，采购人不承担任何相关经济及法律责任。</w:t>
            </w:r>
          </w:p>
          <w:p w14:paraId="4EAE40F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8. 因成交供应商原因导致采购人货物无法按时正常使用的，成交供应商应承担合同标的金额20%的违约金；若违约金不足以赔偿采购人损失，应另行补足差额。  </w:t>
            </w:r>
          </w:p>
          <w:p w14:paraId="567D00D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9. 双方应对本项目内容（包括涉及本项目的相关通知及函电）严格履行保密义务。未经一方书面同意或许可，任何一方不得在任何时候以任何方式向第三方泄露，否则应赔偿由此给对方造成的一切损失。  </w:t>
            </w:r>
          </w:p>
          <w:p w14:paraId="6E16854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10. 对于成交供应商给采购人造成的损失，采购人可通过必要途径或方式追索，由此产生的费用（包括但不限于律师费、查档费、鉴定费、公证费、交通费、诉讼费、财产保全责任保险费等）由成交供应商承担。  </w:t>
            </w:r>
          </w:p>
          <w:p w14:paraId="163EDE7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11. 其他违约责任依照《中华人民共和国民法典》相关规定处理。</w:t>
            </w:r>
          </w:p>
        </w:tc>
        <w:tc>
          <w:tcPr>
            <w:tcW w:w="1541" w:type="dxa"/>
          </w:tcPr>
          <w:p w14:paraId="7D075FF8">
            <w:pPr>
              <w:pStyle w:val="11"/>
              <w:rPr>
                <w:rFonts w:ascii="宋体" w:hAnsi="宋体" w:eastAsia="宋体" w:cs="宋体"/>
                <w:lang w:eastAsia="zh-CN"/>
              </w:rPr>
            </w:pPr>
          </w:p>
        </w:tc>
        <w:tc>
          <w:tcPr>
            <w:tcW w:w="1510" w:type="dxa"/>
          </w:tcPr>
          <w:p w14:paraId="686D7884">
            <w:pPr>
              <w:pStyle w:val="11"/>
              <w:rPr>
                <w:rFonts w:ascii="宋体" w:hAnsi="宋体" w:eastAsia="宋体" w:cs="宋体"/>
                <w:lang w:eastAsia="zh-CN"/>
              </w:rPr>
            </w:pPr>
          </w:p>
        </w:tc>
      </w:tr>
      <w:tr w14:paraId="2E720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958" w:type="dxa"/>
            <w:vAlign w:val="center"/>
          </w:tcPr>
          <w:p w14:paraId="3FBE6087">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11</w:t>
            </w:r>
          </w:p>
        </w:tc>
        <w:tc>
          <w:tcPr>
            <w:tcW w:w="5373" w:type="dxa"/>
          </w:tcPr>
          <w:p w14:paraId="618F796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十一、评审方式</w:t>
            </w:r>
          </w:p>
          <w:p w14:paraId="7996753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本项目的评审采用最低价法方式（报价格式详见响应文件模板中（一）报价单），在符合项目需求的前提下，选取最低价格为中选供应商，如有两家或以上供应商相同报价时，由评审专家按技术方案优劣等综合因素择优选取。</w:t>
            </w:r>
          </w:p>
        </w:tc>
        <w:tc>
          <w:tcPr>
            <w:tcW w:w="1541" w:type="dxa"/>
          </w:tcPr>
          <w:p w14:paraId="1B8D985F">
            <w:pPr>
              <w:pStyle w:val="11"/>
              <w:rPr>
                <w:rFonts w:ascii="宋体" w:hAnsi="宋体" w:eastAsia="宋体" w:cs="宋体"/>
                <w:lang w:eastAsia="zh-CN"/>
              </w:rPr>
            </w:pPr>
          </w:p>
        </w:tc>
        <w:tc>
          <w:tcPr>
            <w:tcW w:w="1510" w:type="dxa"/>
          </w:tcPr>
          <w:p w14:paraId="688F0AC4">
            <w:pPr>
              <w:pStyle w:val="11"/>
              <w:rPr>
                <w:rFonts w:ascii="宋体" w:hAnsi="宋体" w:eastAsia="宋体" w:cs="宋体"/>
                <w:lang w:eastAsia="zh-CN"/>
              </w:rPr>
            </w:pPr>
          </w:p>
        </w:tc>
      </w:tr>
    </w:tbl>
    <w:p w14:paraId="4C88AA66">
      <w:pPr>
        <w:rPr>
          <w:lang w:eastAsia="zh-CN"/>
        </w:rPr>
      </w:pPr>
    </w:p>
    <w:p w14:paraId="3447D6D1">
      <w:pPr>
        <w:rPr>
          <w:lang w:eastAsia="zh-CN"/>
        </w:rPr>
      </w:pPr>
      <w:r>
        <w:rPr>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ascii="宋体" w:hAnsi="宋体" w:eastAsia="宋体" w:cs="宋体"/>
          <w:b/>
          <w:bCs/>
          <w:spacing w:val="5"/>
          <w:sz w:val="20"/>
          <w:szCs w:val="20"/>
          <w:lang w:eastAsia="zh-CN"/>
        </w:rPr>
        <w:t>十</w:t>
      </w:r>
      <w:r>
        <w:rPr>
          <w:rFonts w:hint="eastAsia" w:ascii="宋体" w:hAnsi="宋体" w:eastAsia="宋体" w:cs="宋体"/>
          <w:b/>
          <w:bCs/>
          <w:spacing w:val="5"/>
          <w:sz w:val="20"/>
          <w:szCs w:val="20"/>
          <w:lang w:val="en-US" w:eastAsia="zh-CN"/>
        </w:rPr>
        <w:t>三</w:t>
      </w:r>
      <w:r>
        <w:rPr>
          <w:rFonts w:ascii="宋体" w:hAnsi="宋体" w:eastAsia="宋体" w:cs="宋体"/>
          <w:b/>
          <w:bCs/>
          <w:spacing w:val="5"/>
          <w:sz w:val="20"/>
          <w:szCs w:val="20"/>
          <w:lang w:eastAsia="zh-CN"/>
        </w:rPr>
        <w:t>、</w:t>
      </w:r>
      <w:r>
        <w:rPr>
          <w:rFonts w:hint="eastAsia" w:ascii="宋体" w:hAnsi="宋体" w:eastAsia="宋体" w:cs="宋体"/>
          <w:b/>
          <w:bCs/>
          <w:spacing w:val="5"/>
          <w:sz w:val="20"/>
          <w:szCs w:val="20"/>
          <w:lang w:val="en-US" w:eastAsia="zh-CN"/>
        </w:rPr>
        <w:t>近三年同类规模业绩相关证明文件</w:t>
      </w:r>
    </w:p>
    <w:p w14:paraId="1D14C0F7">
      <w:pPr>
        <w:spacing w:before="41" w:line="227" w:lineRule="auto"/>
        <w:jc w:val="both"/>
        <w:rPr>
          <w:rFonts w:ascii="宋体" w:hAnsi="宋体" w:eastAsia="宋体" w:cs="宋体"/>
          <w:sz w:val="20"/>
          <w:szCs w:val="20"/>
          <w:lang w:eastAsia="zh-CN"/>
        </w:rPr>
      </w:pPr>
    </w:p>
    <w:p w14:paraId="7029066B">
      <w:pPr>
        <w:pStyle w:val="2"/>
        <w:spacing w:line="260" w:lineRule="auto"/>
        <w:rPr>
          <w:lang w:eastAsia="zh-CN"/>
        </w:rPr>
      </w:pPr>
    </w:p>
    <w:p w14:paraId="2CD238D2">
      <w:pPr>
        <w:pStyle w:val="2"/>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0"/>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1"/>
            </w:pPr>
          </w:p>
        </w:tc>
        <w:tc>
          <w:tcPr>
            <w:tcW w:w="1854" w:type="dxa"/>
          </w:tcPr>
          <w:p w14:paraId="43601105">
            <w:pPr>
              <w:pStyle w:val="11"/>
            </w:pPr>
          </w:p>
        </w:tc>
        <w:tc>
          <w:tcPr>
            <w:tcW w:w="1986" w:type="dxa"/>
          </w:tcPr>
          <w:p w14:paraId="6311272B">
            <w:pPr>
              <w:pStyle w:val="11"/>
            </w:pPr>
          </w:p>
        </w:tc>
        <w:tc>
          <w:tcPr>
            <w:tcW w:w="1722" w:type="dxa"/>
          </w:tcPr>
          <w:p w14:paraId="3768DC7F">
            <w:pPr>
              <w:pStyle w:val="11"/>
            </w:pPr>
          </w:p>
        </w:tc>
        <w:tc>
          <w:tcPr>
            <w:tcW w:w="1191" w:type="dxa"/>
          </w:tcPr>
          <w:p w14:paraId="2305DC57">
            <w:pPr>
              <w:pStyle w:val="11"/>
            </w:pPr>
          </w:p>
        </w:tc>
        <w:tc>
          <w:tcPr>
            <w:tcW w:w="1471" w:type="dxa"/>
            <w:tcBorders>
              <w:right w:val="single" w:color="000000" w:sz="2" w:space="0"/>
            </w:tcBorders>
          </w:tcPr>
          <w:p w14:paraId="1DC4DC5D">
            <w:pPr>
              <w:pStyle w:val="11"/>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1"/>
            </w:pPr>
          </w:p>
        </w:tc>
        <w:tc>
          <w:tcPr>
            <w:tcW w:w="1854" w:type="dxa"/>
          </w:tcPr>
          <w:p w14:paraId="26C3F9DC">
            <w:pPr>
              <w:pStyle w:val="11"/>
            </w:pPr>
          </w:p>
        </w:tc>
        <w:tc>
          <w:tcPr>
            <w:tcW w:w="1986" w:type="dxa"/>
          </w:tcPr>
          <w:p w14:paraId="0C8FC5A6">
            <w:pPr>
              <w:pStyle w:val="11"/>
            </w:pPr>
          </w:p>
        </w:tc>
        <w:tc>
          <w:tcPr>
            <w:tcW w:w="1722" w:type="dxa"/>
          </w:tcPr>
          <w:p w14:paraId="036176B2">
            <w:pPr>
              <w:pStyle w:val="11"/>
            </w:pPr>
          </w:p>
        </w:tc>
        <w:tc>
          <w:tcPr>
            <w:tcW w:w="1191" w:type="dxa"/>
          </w:tcPr>
          <w:p w14:paraId="69BDA775">
            <w:pPr>
              <w:pStyle w:val="11"/>
            </w:pPr>
          </w:p>
        </w:tc>
        <w:tc>
          <w:tcPr>
            <w:tcW w:w="1471" w:type="dxa"/>
            <w:tcBorders>
              <w:right w:val="single" w:color="000000" w:sz="2" w:space="0"/>
            </w:tcBorders>
          </w:tcPr>
          <w:p w14:paraId="74EE419A">
            <w:pPr>
              <w:pStyle w:val="11"/>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1"/>
            </w:pPr>
          </w:p>
        </w:tc>
        <w:tc>
          <w:tcPr>
            <w:tcW w:w="1854" w:type="dxa"/>
            <w:tcBorders>
              <w:bottom w:val="single" w:color="000000" w:sz="2" w:space="0"/>
            </w:tcBorders>
          </w:tcPr>
          <w:p w14:paraId="40B04108">
            <w:pPr>
              <w:pStyle w:val="11"/>
            </w:pPr>
          </w:p>
        </w:tc>
        <w:tc>
          <w:tcPr>
            <w:tcW w:w="1986" w:type="dxa"/>
            <w:tcBorders>
              <w:bottom w:val="single" w:color="000000" w:sz="2" w:space="0"/>
            </w:tcBorders>
          </w:tcPr>
          <w:p w14:paraId="4C40CFD8">
            <w:pPr>
              <w:pStyle w:val="11"/>
            </w:pPr>
          </w:p>
        </w:tc>
        <w:tc>
          <w:tcPr>
            <w:tcW w:w="1722" w:type="dxa"/>
            <w:tcBorders>
              <w:bottom w:val="single" w:color="000000" w:sz="2" w:space="0"/>
            </w:tcBorders>
          </w:tcPr>
          <w:p w14:paraId="4F595AE5">
            <w:pPr>
              <w:pStyle w:val="11"/>
            </w:pPr>
          </w:p>
        </w:tc>
        <w:tc>
          <w:tcPr>
            <w:tcW w:w="1191" w:type="dxa"/>
            <w:tcBorders>
              <w:bottom w:val="single" w:color="000000" w:sz="2" w:space="0"/>
            </w:tcBorders>
          </w:tcPr>
          <w:p w14:paraId="7692FA63">
            <w:pPr>
              <w:pStyle w:val="11"/>
            </w:pPr>
          </w:p>
        </w:tc>
        <w:tc>
          <w:tcPr>
            <w:tcW w:w="1471" w:type="dxa"/>
            <w:tcBorders>
              <w:bottom w:val="single" w:color="000000" w:sz="2" w:space="0"/>
              <w:right w:val="single" w:color="000000" w:sz="2" w:space="0"/>
            </w:tcBorders>
          </w:tcPr>
          <w:p w14:paraId="48AC055B">
            <w:pPr>
              <w:pStyle w:val="11"/>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2"/>
        <w:spacing w:line="270" w:lineRule="auto"/>
        <w:rPr>
          <w:lang w:eastAsia="zh-CN"/>
        </w:rPr>
      </w:pPr>
    </w:p>
    <w:p w14:paraId="0D453BE2">
      <w:pPr>
        <w:pStyle w:val="2"/>
        <w:spacing w:line="270" w:lineRule="auto"/>
        <w:rPr>
          <w:lang w:eastAsia="zh-CN"/>
        </w:rPr>
      </w:pPr>
    </w:p>
    <w:p w14:paraId="7263ABBE">
      <w:pPr>
        <w:pStyle w:val="2"/>
        <w:spacing w:line="270" w:lineRule="auto"/>
        <w:rPr>
          <w:lang w:eastAsia="zh-CN"/>
        </w:rPr>
      </w:pPr>
    </w:p>
    <w:p w14:paraId="1E0368E6">
      <w:pPr>
        <w:pStyle w:val="2"/>
        <w:spacing w:line="270" w:lineRule="auto"/>
        <w:rPr>
          <w:lang w:eastAsia="zh-CN"/>
        </w:rPr>
      </w:pPr>
    </w:p>
    <w:p w14:paraId="4F1157A5">
      <w:pPr>
        <w:pStyle w:val="2"/>
        <w:spacing w:line="270" w:lineRule="auto"/>
        <w:rPr>
          <w:lang w:eastAsia="zh-CN"/>
        </w:rPr>
      </w:pPr>
    </w:p>
    <w:p w14:paraId="66CFC844">
      <w:pPr>
        <w:pStyle w:val="2"/>
        <w:spacing w:line="270" w:lineRule="auto"/>
        <w:rPr>
          <w:lang w:eastAsia="zh-CN"/>
        </w:rPr>
      </w:pPr>
    </w:p>
    <w:p w14:paraId="480F5979">
      <w:pPr>
        <w:pStyle w:val="2"/>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供应商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供应商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51A4B3E6">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十四、产品检测报告</w:t>
      </w:r>
    </w:p>
    <w:p w14:paraId="2345DAAF">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37C98485">
      <w:pPr>
        <w:spacing w:before="41"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五</w:t>
      </w:r>
      <w:r>
        <w:rPr>
          <w:rFonts w:ascii="宋体" w:hAnsi="宋体" w:eastAsia="宋体" w:cs="宋体"/>
          <w:b/>
          <w:bCs/>
          <w:spacing w:val="7"/>
          <w:sz w:val="20"/>
          <w:szCs w:val="20"/>
          <w:lang w:eastAsia="zh-CN"/>
        </w:rPr>
        <w:t>、项目整体实施方案（格式自拟）</w:t>
      </w:r>
    </w:p>
    <w:p w14:paraId="22B4EC2E">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202360FF">
      <w:pPr>
        <w:spacing w:before="162" w:line="226"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六</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承诺函</w:t>
      </w:r>
      <w:r>
        <w:rPr>
          <w:rFonts w:hint="eastAsia" w:ascii="宋体" w:hAnsi="宋体" w:eastAsia="宋体" w:cs="宋体"/>
          <w:b/>
          <w:bCs/>
          <w:spacing w:val="7"/>
          <w:sz w:val="20"/>
          <w:szCs w:val="20"/>
          <w:lang w:eastAsia="zh-CN"/>
        </w:rPr>
        <w:t>（格式自拟），</w:t>
      </w:r>
      <w:r>
        <w:rPr>
          <w:rFonts w:hint="eastAsia" w:ascii="宋体" w:hAnsi="宋体" w:eastAsia="宋体" w:cs="宋体"/>
          <w:b/>
          <w:bCs/>
          <w:spacing w:val="7"/>
          <w:sz w:val="20"/>
          <w:szCs w:val="20"/>
          <w:lang w:val="en-US" w:eastAsia="zh-CN"/>
        </w:rPr>
        <w:t>包括但不限于：①提供的货物须为全新正品，其质量、规格、性能、品牌、有效期限等均须满足用户需求，并符合国家及行业生产、经营标准，保证货真价实；②在合同期内，成交供应商应为采购方各供水点提供符合国家相关标准的立式冷热桶装水饮水机，具体数量以实际需求为准；③所供产品须符合卫生标准，表面保持洁净无垢，商标清晰规范。</w:t>
      </w:r>
    </w:p>
    <w:p w14:paraId="5BDBBE73">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3E1D3DB4">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十七、售后服务方案（格式自拟）</w:t>
      </w:r>
    </w:p>
    <w:p w14:paraId="35DF4457">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val="en-US" w:eastAsia="zh-CN"/>
        </w:rPr>
        <w:t>十八</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E26336"/>
    <w:rsid w:val="05D250F6"/>
    <w:rsid w:val="06984FFC"/>
    <w:rsid w:val="07D772C8"/>
    <w:rsid w:val="07DE22A7"/>
    <w:rsid w:val="0A1B60BD"/>
    <w:rsid w:val="0A382368"/>
    <w:rsid w:val="0E881903"/>
    <w:rsid w:val="0E9C78E3"/>
    <w:rsid w:val="126C008B"/>
    <w:rsid w:val="13666B31"/>
    <w:rsid w:val="16DD5993"/>
    <w:rsid w:val="18C80C4B"/>
    <w:rsid w:val="1E9D0594"/>
    <w:rsid w:val="1EA21FDF"/>
    <w:rsid w:val="1EDF5020"/>
    <w:rsid w:val="20607AD1"/>
    <w:rsid w:val="20BE2A44"/>
    <w:rsid w:val="22732647"/>
    <w:rsid w:val="231E7145"/>
    <w:rsid w:val="23487B36"/>
    <w:rsid w:val="2695736E"/>
    <w:rsid w:val="26B446CD"/>
    <w:rsid w:val="281105FD"/>
    <w:rsid w:val="28580DF7"/>
    <w:rsid w:val="36073C0B"/>
    <w:rsid w:val="3B082DE1"/>
    <w:rsid w:val="3EB26D88"/>
    <w:rsid w:val="40671DCB"/>
    <w:rsid w:val="40C03509"/>
    <w:rsid w:val="433379C8"/>
    <w:rsid w:val="45D45685"/>
    <w:rsid w:val="4A4831FA"/>
    <w:rsid w:val="4C030C69"/>
    <w:rsid w:val="50573AD2"/>
    <w:rsid w:val="5178029F"/>
    <w:rsid w:val="54B97F1A"/>
    <w:rsid w:val="556A1102"/>
    <w:rsid w:val="5774562F"/>
    <w:rsid w:val="58514D81"/>
    <w:rsid w:val="5E5E5F4E"/>
    <w:rsid w:val="72507210"/>
    <w:rsid w:val="73052C46"/>
    <w:rsid w:val="73252077"/>
    <w:rsid w:val="7372318C"/>
    <w:rsid w:val="75E87F4B"/>
    <w:rsid w:val="790F76AC"/>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semiHidden/>
    <w:qFormat/>
    <w:uiPriority w:val="0"/>
  </w:style>
  <w:style w:type="paragraph" w:customStyle="1" w:styleId="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5">
    <w:name w:val="Body Text Indent 2"/>
    <w:basedOn w:val="1"/>
    <w:link w:val="12"/>
    <w:qFormat/>
    <w:uiPriority w:val="0"/>
    <w:pPr>
      <w:spacing w:after="120" w:line="480" w:lineRule="auto"/>
      <w:ind w:left="420" w:leftChars="200"/>
    </w:pPr>
    <w:rPr>
      <w:szCs w:val="20"/>
    </w:rPr>
  </w:style>
  <w:style w:type="paragraph" w:styleId="6">
    <w:name w:val="Normal (Web)"/>
    <w:basedOn w:val="1"/>
    <w:qFormat/>
    <w:uiPriority w:val="0"/>
    <w:pPr>
      <w:spacing w:before="100" w:beforeAutospacing="1" w:after="100" w:afterAutospacing="1"/>
    </w:pPr>
    <w:rPr>
      <w:rFonts w:cs="Times New Roman"/>
      <w:sz w:val="24"/>
      <w:lang w:eastAsia="zh-CN"/>
    </w:rPr>
  </w:style>
  <w:style w:type="character" w:styleId="9">
    <w:name w:val="Strong"/>
    <w:basedOn w:val="8"/>
    <w:qFormat/>
    <w:uiPriority w:val="0"/>
    <w:rPr>
      <w:b/>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style>
  <w:style w:type="character" w:customStyle="1" w:styleId="12">
    <w:name w:val="正文文本缩进 2 Char"/>
    <w:link w:val="5"/>
    <w:autoRedefine/>
    <w:qFormat/>
    <w:uiPriority w:val="0"/>
    <w:rPr>
      <w:szCs w:val="20"/>
    </w:rPr>
  </w:style>
  <w:style w:type="character" w:customStyle="1" w:styleId="13">
    <w:name w:val="font11"/>
    <w:basedOn w:val="8"/>
    <w:autoRedefine/>
    <w:qFormat/>
    <w:uiPriority w:val="0"/>
    <w:rPr>
      <w:rFonts w:hint="eastAsia" w:ascii="宋体" w:hAnsi="宋体" w:eastAsia="宋体" w:cs="宋体"/>
      <w:color w:val="000000"/>
      <w:sz w:val="22"/>
      <w:szCs w:val="22"/>
      <w:u w:val="single"/>
    </w:rPr>
  </w:style>
  <w:style w:type="character" w:customStyle="1" w:styleId="14">
    <w:name w:val="font31"/>
    <w:basedOn w:val="8"/>
    <w:qFormat/>
    <w:uiPriority w:val="0"/>
    <w:rPr>
      <w:rFonts w:hint="eastAsia" w:ascii="宋体" w:hAnsi="宋体" w:eastAsia="宋体" w:cs="宋体"/>
      <w:color w:val="000000"/>
      <w:sz w:val="21"/>
      <w:szCs w:val="21"/>
      <w:u w:val="none"/>
    </w:rPr>
  </w:style>
  <w:style w:type="paragraph" w:styleId="15">
    <w:name w:val="List Paragraph"/>
    <w:basedOn w:val="1"/>
    <w:qFormat/>
    <w:uiPriority w:val="34"/>
    <w:pPr>
      <w:widowControl/>
      <w:ind w:firstLine="420" w:firstLineChars="200"/>
      <w:jc w:val="left"/>
    </w:pPr>
    <w:rPr>
      <w:kern w:val="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26</Pages>
  <Words>9591</Words>
  <Characters>10040</Characters>
  <Lines>55</Lines>
  <Paragraphs>15</Paragraphs>
  <TotalTime>4</TotalTime>
  <ScaleCrop>false</ScaleCrop>
  <LinksUpToDate>false</LinksUpToDate>
  <CharactersWithSpaces>10517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2026-05-21T01:24:31Z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82EF3B5B713A461EAD7CC1D03AFF31E6_13</vt:lpwstr>
  </property>
  <property fmtid="{D5CDD505-2E9C-101B-9397-08002B2CF9AE}" pid="4" name="KSOTemplateDocerSaveRecord">
    <vt:lpwstr>eyJoZGlkIjoiZjMxODI1ZDk1NTM3ZThjZDIyMDM0N2Q4Njc3ODMwMjMiLCJ1c2VySWQiOiIyNjI5MDY5MzEifQ==</vt:lpwstr>
  </property>
</Properties>
</file>