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66F7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afterLines="30" w:line="228" w:lineRule="auto"/>
        <w:jc w:val="center"/>
        <w:textAlignment w:val="baseline"/>
        <w:rPr>
          <w:rFonts w:ascii="宋体" w:hAnsi="宋体" w:eastAsia="宋体" w:cs="宋体"/>
          <w:snapToGrid w:val="0"/>
          <w:color w:val="000000"/>
          <w:kern w:val="0"/>
          <w:sz w:val="30"/>
          <w:szCs w:val="30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1"/>
          <w:kern w:val="0"/>
          <w:sz w:val="28"/>
          <w:szCs w:val="28"/>
          <w:lang w:val="en-US" w:eastAsia="zh-CN" w:bidi="ar-SA"/>
        </w:rPr>
        <w:t>附件一：</w:t>
      </w:r>
      <w:r>
        <w:rPr>
          <w:rFonts w:ascii="宋体" w:hAnsi="宋体" w:eastAsia="宋体" w:cs="宋体"/>
          <w:b/>
          <w:bCs/>
          <w:snapToGrid w:val="0"/>
          <w:color w:val="000000"/>
          <w:spacing w:val="-4"/>
          <w:kern w:val="0"/>
          <w:sz w:val="30"/>
          <w:szCs w:val="30"/>
          <w:lang w:val="en-US" w:eastAsia="en-US" w:bidi="ar-SA"/>
        </w:rPr>
        <w:t>水箱清洗消毒服务质量考评表</w:t>
      </w:r>
      <w:bookmarkStart w:id="0" w:name="_GoBack"/>
      <w:bookmarkEnd w:id="0"/>
    </w:p>
    <w:tbl>
      <w:tblPr>
        <w:tblStyle w:val="3"/>
        <w:tblW w:w="15217" w:type="dxa"/>
        <w:tblInd w:w="-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372"/>
        <w:gridCol w:w="705"/>
        <w:gridCol w:w="5835"/>
        <w:gridCol w:w="1200"/>
        <w:gridCol w:w="4470"/>
        <w:gridCol w:w="1635"/>
      </w:tblGrid>
      <w:tr w14:paraId="71409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7" w:hRule="atLeast"/>
        </w:trPr>
        <w:tc>
          <w:tcPr>
            <w:tcW w:w="1372" w:type="dxa"/>
            <w:vAlign w:val="center"/>
          </w:tcPr>
          <w:p w14:paraId="306467B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2"/>
                <w:kern w:val="0"/>
                <w:sz w:val="21"/>
                <w:szCs w:val="21"/>
                <w:lang w:eastAsia="en-US"/>
              </w:rPr>
              <w:t>项目</w:t>
            </w:r>
          </w:p>
        </w:tc>
        <w:tc>
          <w:tcPr>
            <w:tcW w:w="705" w:type="dxa"/>
            <w:vAlign w:val="center"/>
          </w:tcPr>
          <w:p w14:paraId="0CA2BBF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5835" w:type="dxa"/>
            <w:vAlign w:val="center"/>
          </w:tcPr>
          <w:p w14:paraId="663B970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考评标准</w:t>
            </w:r>
          </w:p>
        </w:tc>
        <w:tc>
          <w:tcPr>
            <w:tcW w:w="1200" w:type="dxa"/>
            <w:vAlign w:val="center"/>
          </w:tcPr>
          <w:p w14:paraId="5AE4DFC9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2"/>
                <w:kern w:val="0"/>
                <w:sz w:val="21"/>
                <w:szCs w:val="21"/>
                <w:lang w:eastAsia="en-US"/>
              </w:rPr>
              <w:t>分值</w:t>
            </w:r>
          </w:p>
        </w:tc>
        <w:tc>
          <w:tcPr>
            <w:tcW w:w="4470" w:type="dxa"/>
            <w:vAlign w:val="center"/>
          </w:tcPr>
          <w:p w14:paraId="33A48F46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考核方法</w:t>
            </w:r>
          </w:p>
        </w:tc>
        <w:tc>
          <w:tcPr>
            <w:tcW w:w="1635" w:type="dxa"/>
            <w:vAlign w:val="center"/>
          </w:tcPr>
          <w:p w14:paraId="7DBE75E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before="46"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6"/>
                <w:kern w:val="0"/>
                <w:sz w:val="21"/>
                <w:szCs w:val="21"/>
                <w:lang w:eastAsia="en-US"/>
              </w:rPr>
              <w:t>检查结果</w:t>
            </w:r>
          </w:p>
        </w:tc>
      </w:tr>
      <w:tr w14:paraId="467FF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649EA23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岗位职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eastAsia="en-US"/>
              </w:rPr>
              <w:t>责</w:t>
            </w:r>
          </w:p>
        </w:tc>
        <w:tc>
          <w:tcPr>
            <w:tcW w:w="705" w:type="dxa"/>
            <w:vAlign w:val="center"/>
          </w:tcPr>
          <w:p w14:paraId="65F1417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835" w:type="dxa"/>
            <w:vAlign w:val="center"/>
          </w:tcPr>
          <w:p w14:paraId="1A02117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工作人员根据服务内容及要求按质按量完成本岗位职责。包括对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val="en-US" w:eastAsia="zh-CN"/>
              </w:rPr>
              <w:t>医疗综合楼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的冷水箱、热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水箱清洗消毒。</w:t>
            </w:r>
          </w:p>
        </w:tc>
        <w:tc>
          <w:tcPr>
            <w:tcW w:w="1200" w:type="dxa"/>
            <w:vAlign w:val="center"/>
          </w:tcPr>
          <w:p w14:paraId="5CE9172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vertAlign w:val="baseline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4470" w:type="dxa"/>
            <w:vAlign w:val="center"/>
          </w:tcPr>
          <w:p w14:paraId="149BAD6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一项工作不符合要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求的，扣1分/次，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如因清洗消毒不到位引起公共卫生事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18"/>
                <w:szCs w:val="18"/>
                <w:lang w:eastAsia="en-US"/>
              </w:rPr>
              <w:t>件，扣30分，扣完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18"/>
                <w:szCs w:val="18"/>
                <w:lang w:eastAsia="en-US"/>
              </w:rPr>
              <w:t>该项分为止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635" w:type="dxa"/>
            <w:vAlign w:val="center"/>
          </w:tcPr>
          <w:p w14:paraId="115E157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2BB86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Merge w:val="restart"/>
            <w:vAlign w:val="center"/>
          </w:tcPr>
          <w:p w14:paraId="060E392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人员在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岗</w:t>
            </w:r>
          </w:p>
        </w:tc>
        <w:tc>
          <w:tcPr>
            <w:tcW w:w="705" w:type="dxa"/>
            <w:vAlign w:val="center"/>
          </w:tcPr>
          <w:p w14:paraId="6676153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5835" w:type="dxa"/>
            <w:vAlign w:val="center"/>
          </w:tcPr>
          <w:p w14:paraId="6621FF4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18"/>
                <w:szCs w:val="18"/>
                <w:lang w:eastAsia="en-US"/>
              </w:rPr>
              <w:t>项目负责人要坚守工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作岗位，在工作日请假休息或途中离开医院的，应向采购人主管部门报备并做好工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eastAsia="en-US"/>
              </w:rPr>
              <w:t>作安排。</w:t>
            </w:r>
          </w:p>
        </w:tc>
        <w:tc>
          <w:tcPr>
            <w:tcW w:w="1200" w:type="dxa"/>
            <w:vAlign w:val="center"/>
          </w:tcPr>
          <w:p w14:paraId="1460E99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7"/>
                <w:kern w:val="0"/>
                <w:position w:val="1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4470" w:type="dxa"/>
            <w:vAlign w:val="center"/>
          </w:tcPr>
          <w:p w14:paraId="4F514C7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管理人员无故离岗或休息不向采购人主管部门报备的，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一次扣5分；如因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管理人员休息而工作安排不到位导致不良后果的，扣减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eastAsia="en-US"/>
              </w:rPr>
              <w:t>10分/次。</w:t>
            </w:r>
          </w:p>
        </w:tc>
        <w:tc>
          <w:tcPr>
            <w:tcW w:w="1635" w:type="dxa"/>
            <w:vAlign w:val="center"/>
          </w:tcPr>
          <w:p w14:paraId="4A1B92C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71C6D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Merge w:val="continue"/>
            <w:vAlign w:val="center"/>
          </w:tcPr>
          <w:p w14:paraId="58E40A5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05" w:type="dxa"/>
            <w:vAlign w:val="center"/>
          </w:tcPr>
          <w:p w14:paraId="2624D33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5835" w:type="dxa"/>
            <w:vAlign w:val="center"/>
          </w:tcPr>
          <w:p w14:paraId="2CF8315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18"/>
                <w:szCs w:val="18"/>
                <w:lang w:eastAsia="en-US"/>
              </w:rPr>
              <w:t>岗位核查：清洗消毒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0"/>
                <w:kern w:val="0"/>
                <w:sz w:val="18"/>
                <w:szCs w:val="18"/>
                <w:lang w:eastAsia="en-US"/>
              </w:rPr>
              <w:t>作业不得少于2人，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由采购人主管部门每次对中标人的作业人数进行核查，不得存在人数不足或弄虚作假情况，不得未经采购人主管部门同意随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18"/>
                <w:szCs w:val="18"/>
                <w:lang w:eastAsia="en-US"/>
              </w:rPr>
              <w:t>意更换项目作业人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员。</w:t>
            </w:r>
          </w:p>
        </w:tc>
        <w:tc>
          <w:tcPr>
            <w:tcW w:w="1200" w:type="dxa"/>
            <w:vAlign w:val="center"/>
          </w:tcPr>
          <w:p w14:paraId="0944209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7"/>
                <w:kern w:val="0"/>
                <w:position w:val="1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4470" w:type="dxa"/>
            <w:vAlign w:val="center"/>
          </w:tcPr>
          <w:p w14:paraId="46282F9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发现作业人数不足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的，每发现一次扣5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分，发现未经同意随意更换项目作业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人员，扣5分/次。</w:t>
            </w:r>
          </w:p>
        </w:tc>
        <w:tc>
          <w:tcPr>
            <w:tcW w:w="1635" w:type="dxa"/>
            <w:vAlign w:val="center"/>
          </w:tcPr>
          <w:p w14:paraId="1CC0765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7518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5E5A3DB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eastAsia="en-US"/>
              </w:rPr>
              <w:t>质量管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理</w:t>
            </w:r>
          </w:p>
        </w:tc>
        <w:tc>
          <w:tcPr>
            <w:tcW w:w="705" w:type="dxa"/>
            <w:vAlign w:val="center"/>
          </w:tcPr>
          <w:p w14:paraId="0F32FBB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5835" w:type="dxa"/>
            <w:vAlign w:val="center"/>
          </w:tcPr>
          <w:p w14:paraId="79B79A0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每次按照清洗消毒的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18"/>
                <w:szCs w:val="18"/>
                <w:lang w:eastAsia="en-US"/>
              </w:rPr>
              <w:t>范围及频次进行消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9"/>
                <w:kern w:val="0"/>
                <w:sz w:val="18"/>
                <w:szCs w:val="18"/>
                <w:lang w:eastAsia="en-US"/>
              </w:rPr>
              <w:t>毒，以清洗消毒记录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表、水质检测报告来核查消毒范围频次以及消毒效果，不得弄虚作假。清洁消毒完成后，需对环境进行清洁，设施部件恢复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18"/>
                <w:szCs w:val="18"/>
                <w:lang w:eastAsia="en-US"/>
              </w:rPr>
              <w:t>原状。</w:t>
            </w:r>
          </w:p>
        </w:tc>
        <w:tc>
          <w:tcPr>
            <w:tcW w:w="1200" w:type="dxa"/>
            <w:vAlign w:val="center"/>
          </w:tcPr>
          <w:p w14:paraId="28CC13A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7"/>
                <w:kern w:val="0"/>
                <w:position w:val="1"/>
                <w:sz w:val="21"/>
                <w:szCs w:val="21"/>
                <w:lang w:eastAsia="en-US"/>
              </w:rPr>
              <w:t>15</w:t>
            </w:r>
          </w:p>
        </w:tc>
        <w:tc>
          <w:tcPr>
            <w:tcW w:w="4470" w:type="dxa"/>
            <w:vAlign w:val="center"/>
          </w:tcPr>
          <w:p w14:paraId="00EE9D6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一项工作不符合要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eastAsia="en-US"/>
              </w:rPr>
              <w:t>求的，扣1分/次，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消毒效果不合格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的，按要求重新消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毒，直至验收合格，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1"/>
                <w:kern w:val="0"/>
                <w:sz w:val="18"/>
                <w:szCs w:val="18"/>
                <w:lang w:eastAsia="en-US"/>
              </w:rPr>
              <w:t>若发现弄虚作假，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0"/>
                <w:kern w:val="0"/>
                <w:sz w:val="18"/>
                <w:szCs w:val="18"/>
                <w:lang w:eastAsia="en-US"/>
              </w:rPr>
              <w:t>扣10分/次，扣完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eastAsia="en-US"/>
              </w:rPr>
              <w:t>为止。</w:t>
            </w:r>
          </w:p>
        </w:tc>
        <w:tc>
          <w:tcPr>
            <w:tcW w:w="1635" w:type="dxa"/>
            <w:vAlign w:val="center"/>
          </w:tcPr>
          <w:p w14:paraId="3357B57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5620D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3C39473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4"/>
                <w:kern w:val="0"/>
                <w:sz w:val="18"/>
                <w:szCs w:val="18"/>
                <w:lang w:eastAsia="en-US"/>
              </w:rPr>
              <w:t>资料提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交</w:t>
            </w:r>
          </w:p>
        </w:tc>
        <w:tc>
          <w:tcPr>
            <w:tcW w:w="705" w:type="dxa"/>
            <w:vAlign w:val="center"/>
          </w:tcPr>
          <w:p w14:paraId="0440F61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5835" w:type="dxa"/>
            <w:vAlign w:val="center"/>
          </w:tcPr>
          <w:p w14:paraId="62FD41E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按时提交清洗人员健康证复印件、清洗记录表，并提供水池清洗前照片和清洗后照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18"/>
                <w:szCs w:val="18"/>
                <w:lang w:eastAsia="en-US"/>
              </w:rPr>
              <w:t>片以及水质检测报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eastAsia="en-US"/>
              </w:rPr>
              <w:t>告。</w:t>
            </w:r>
          </w:p>
        </w:tc>
        <w:tc>
          <w:tcPr>
            <w:tcW w:w="1200" w:type="dxa"/>
            <w:vAlign w:val="center"/>
          </w:tcPr>
          <w:p w14:paraId="42838C3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7"/>
                <w:kern w:val="0"/>
                <w:position w:val="1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4470" w:type="dxa"/>
            <w:vAlign w:val="center"/>
          </w:tcPr>
          <w:p w14:paraId="5835634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未按时交齐相关资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18"/>
                <w:szCs w:val="18"/>
                <w:lang w:eastAsia="en-US"/>
              </w:rPr>
              <w:t>料的，扣2分/次，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18"/>
                <w:szCs w:val="18"/>
                <w:lang w:eastAsia="en-US"/>
              </w:rPr>
              <w:t>扣完为止。</w:t>
            </w:r>
          </w:p>
        </w:tc>
        <w:tc>
          <w:tcPr>
            <w:tcW w:w="1635" w:type="dxa"/>
            <w:vAlign w:val="center"/>
          </w:tcPr>
          <w:p w14:paraId="1DFD342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71F0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5DF60D3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员工培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eastAsia="en-US"/>
              </w:rPr>
              <w:t>训</w:t>
            </w:r>
          </w:p>
        </w:tc>
        <w:tc>
          <w:tcPr>
            <w:tcW w:w="705" w:type="dxa"/>
            <w:vAlign w:val="center"/>
          </w:tcPr>
          <w:p w14:paraId="208BAE4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5835" w:type="dxa"/>
            <w:vAlign w:val="center"/>
          </w:tcPr>
          <w:p w14:paraId="2732F5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3"/>
                <w:kern w:val="0"/>
                <w:sz w:val="18"/>
                <w:szCs w:val="18"/>
                <w:lang w:eastAsia="en-US"/>
              </w:rPr>
              <w:t>公司有培训计划并针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对员工进行实施，员工熟悉本岗位工作职责和流程及要求、相关法律法规、应急预案和处理方法等，应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9"/>
                <w:kern w:val="0"/>
                <w:sz w:val="18"/>
                <w:szCs w:val="18"/>
                <w:lang w:eastAsia="en-US"/>
              </w:rPr>
              <w:t>急处理培训合格率达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18"/>
                <w:szCs w:val="18"/>
                <w:lang w:eastAsia="en-US"/>
              </w:rPr>
              <w:t>100%。新入职员工应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培训合格方可上岗作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eastAsia="en-US"/>
              </w:rPr>
              <w:t>业。</w:t>
            </w:r>
          </w:p>
        </w:tc>
        <w:tc>
          <w:tcPr>
            <w:tcW w:w="1200" w:type="dxa"/>
            <w:vAlign w:val="center"/>
          </w:tcPr>
          <w:p w14:paraId="196CBD0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position w:val="1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4470" w:type="dxa"/>
            <w:vAlign w:val="center"/>
          </w:tcPr>
          <w:p w14:paraId="34BD1AE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不熟悉职责、工作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11"/>
                <w:kern w:val="0"/>
                <w:sz w:val="18"/>
                <w:szCs w:val="18"/>
                <w:lang w:eastAsia="en-US"/>
              </w:rPr>
              <w:t>流程的，扣2分/人；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新入职员工未经培训或培训后不熟悉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工作独上岗，扣减1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分/人，扣完为止。</w:t>
            </w:r>
          </w:p>
        </w:tc>
        <w:tc>
          <w:tcPr>
            <w:tcW w:w="1635" w:type="dxa"/>
            <w:vAlign w:val="center"/>
          </w:tcPr>
          <w:p w14:paraId="0B4F589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604B1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6E7767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val="en-US" w:eastAsia="en-US" w:bidi="ar-SA"/>
              </w:rPr>
              <w:t>质量持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18"/>
                <w:szCs w:val="18"/>
                <w:lang w:val="en-US" w:eastAsia="en-US" w:bidi="ar-SA"/>
              </w:rPr>
              <w:t>续改进</w:t>
            </w:r>
          </w:p>
        </w:tc>
        <w:tc>
          <w:tcPr>
            <w:tcW w:w="705" w:type="dxa"/>
            <w:vAlign w:val="center"/>
          </w:tcPr>
          <w:p w14:paraId="26BFA7B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5835" w:type="dxa"/>
            <w:vAlign w:val="center"/>
          </w:tcPr>
          <w:p w14:paraId="01E8980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18"/>
                <w:szCs w:val="18"/>
                <w:lang w:eastAsia="en-US"/>
              </w:rPr>
              <w:t>对存在问题及时改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进，如收到采购人发出的整改通知函，应按期整改并提交整改意见。发生不良事件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eastAsia="en-US"/>
              </w:rPr>
              <w:t>应1小时内采取补救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41"/>
                <w:kern w:val="0"/>
                <w:sz w:val="18"/>
                <w:szCs w:val="18"/>
                <w:lang w:eastAsia="en-US"/>
              </w:rPr>
              <w:t>措施将影响降到最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低，处理结束后，针对发生原因进行分析并持续改进，在一周内提交整改报告到采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购人主管部门。</w:t>
            </w:r>
          </w:p>
        </w:tc>
        <w:tc>
          <w:tcPr>
            <w:tcW w:w="1200" w:type="dxa"/>
            <w:vAlign w:val="center"/>
          </w:tcPr>
          <w:p w14:paraId="4A03B52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-7"/>
                <w:kern w:val="0"/>
                <w:position w:val="1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4470" w:type="dxa"/>
            <w:vAlign w:val="center"/>
          </w:tcPr>
          <w:p w14:paraId="66E7BA9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未按要求处理或改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进的，扣1分/次；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0"/>
                <w:kern w:val="0"/>
                <w:sz w:val="18"/>
                <w:szCs w:val="18"/>
                <w:lang w:eastAsia="en-US"/>
              </w:rPr>
              <w:t>如果因公司责任再次发生同类不良事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3"/>
                <w:kern w:val="0"/>
                <w:sz w:val="18"/>
                <w:szCs w:val="18"/>
                <w:lang w:eastAsia="en-US"/>
              </w:rPr>
              <w:t>件的，扣3分/项，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18"/>
                <w:szCs w:val="18"/>
                <w:lang w:eastAsia="en-US"/>
              </w:rPr>
              <w:t>扣完为止。</w:t>
            </w:r>
          </w:p>
        </w:tc>
        <w:tc>
          <w:tcPr>
            <w:tcW w:w="1635" w:type="dxa"/>
            <w:vAlign w:val="center"/>
          </w:tcPr>
          <w:p w14:paraId="63525C1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7137C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1286EB8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eastAsia="en-US"/>
              </w:rPr>
              <w:t>劳动纪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eastAsia="en-US"/>
              </w:rPr>
              <w:t>律</w:t>
            </w:r>
          </w:p>
        </w:tc>
        <w:tc>
          <w:tcPr>
            <w:tcW w:w="705" w:type="dxa"/>
            <w:vAlign w:val="center"/>
          </w:tcPr>
          <w:p w14:paraId="0B52E84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2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5835" w:type="dxa"/>
            <w:vAlign w:val="center"/>
          </w:tcPr>
          <w:p w14:paraId="258DC26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2"/>
                <w:kern w:val="0"/>
                <w:sz w:val="18"/>
                <w:szCs w:val="18"/>
                <w:lang w:eastAsia="en-US"/>
              </w:rPr>
              <w:t>中标人的工作人员应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遵守采购人的各项规章制度及疫情防控要求，服从指挥，配合采购人的工作要求，积极响应采购人的疫情防控措施，接受采购人的质量监督和检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"/>
                <w:kern w:val="0"/>
                <w:sz w:val="18"/>
                <w:szCs w:val="18"/>
                <w:lang w:eastAsia="en-US"/>
              </w:rPr>
              <w:t>查。</w:t>
            </w:r>
          </w:p>
        </w:tc>
        <w:tc>
          <w:tcPr>
            <w:tcW w:w="1200" w:type="dxa"/>
            <w:vAlign w:val="center"/>
          </w:tcPr>
          <w:p w14:paraId="33E99DF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position w:val="1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4470" w:type="dxa"/>
            <w:vAlign w:val="center"/>
          </w:tcPr>
          <w:p w14:paraId="3A61B74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一人一项不符合扣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9"/>
                <w:kern w:val="0"/>
                <w:sz w:val="18"/>
                <w:szCs w:val="18"/>
                <w:lang w:eastAsia="en-US"/>
              </w:rPr>
              <w:t>0.5分/次；扣完该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1"/>
                <w:kern w:val="0"/>
                <w:sz w:val="18"/>
                <w:szCs w:val="18"/>
                <w:lang w:eastAsia="en-US"/>
              </w:rPr>
              <w:t>项为止；同类问题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0"/>
                <w:kern w:val="0"/>
                <w:sz w:val="18"/>
                <w:szCs w:val="18"/>
                <w:lang w:eastAsia="en-US"/>
              </w:rPr>
              <w:t>出现≥3次扣3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0"/>
                <w:kern w:val="0"/>
                <w:sz w:val="18"/>
                <w:szCs w:val="18"/>
                <w:lang w:val="en-US" w:eastAsia="zh-CN"/>
              </w:rPr>
              <w:t>分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0"/>
                <w:kern w:val="0"/>
                <w:sz w:val="18"/>
                <w:szCs w:val="18"/>
                <w:lang w:eastAsia="en-US"/>
              </w:rPr>
              <w:t>/人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eastAsia="en-US"/>
              </w:rPr>
              <w:t>・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次，扣完该项分为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eastAsia="en-US"/>
              </w:rPr>
              <w:t>止。</w:t>
            </w:r>
          </w:p>
        </w:tc>
        <w:tc>
          <w:tcPr>
            <w:tcW w:w="1635" w:type="dxa"/>
            <w:vAlign w:val="center"/>
          </w:tcPr>
          <w:p w14:paraId="6F8BA01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55E52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" w:hRule="atLeast"/>
        </w:trPr>
        <w:tc>
          <w:tcPr>
            <w:tcW w:w="1372" w:type="dxa"/>
            <w:vAlign w:val="center"/>
          </w:tcPr>
          <w:p w14:paraId="645127A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应急响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18"/>
                <w:szCs w:val="18"/>
                <w:lang w:eastAsia="en-US"/>
              </w:rPr>
              <w:t>应</w:t>
            </w:r>
          </w:p>
        </w:tc>
        <w:tc>
          <w:tcPr>
            <w:tcW w:w="705" w:type="dxa"/>
            <w:vAlign w:val="center"/>
          </w:tcPr>
          <w:p w14:paraId="2D4F0F8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7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7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5835" w:type="dxa"/>
            <w:vAlign w:val="center"/>
          </w:tcPr>
          <w:p w14:paraId="360EB18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7"/>
                <w:kern w:val="0"/>
                <w:sz w:val="18"/>
                <w:szCs w:val="18"/>
                <w:lang w:eastAsia="en-US"/>
              </w:rPr>
              <w:t>提供24小时响应服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18"/>
                <w:szCs w:val="18"/>
                <w:lang w:eastAsia="en-US"/>
              </w:rPr>
              <w:t>务。非正常上班时间遇临时性或突发性的工作，应在接到采购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eastAsia="en-US"/>
              </w:rPr>
              <w:t>人通知1小时内到达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17"/>
                <w:kern w:val="0"/>
                <w:sz w:val="18"/>
                <w:szCs w:val="18"/>
                <w:lang w:eastAsia="en-US"/>
              </w:rPr>
              <w:t>现场处理，到场后2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7"/>
                <w:kern w:val="0"/>
                <w:sz w:val="18"/>
                <w:szCs w:val="18"/>
                <w:lang w:eastAsia="en-US"/>
              </w:rPr>
              <w:t>小时内处理完毕。</w:t>
            </w:r>
          </w:p>
        </w:tc>
        <w:tc>
          <w:tcPr>
            <w:tcW w:w="1200" w:type="dxa"/>
            <w:vAlign w:val="center"/>
          </w:tcPr>
          <w:p w14:paraId="172C752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position w:val="1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4470" w:type="dxa"/>
            <w:vAlign w:val="center"/>
          </w:tcPr>
          <w:p w14:paraId="50C57B8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>未按要求响应或未按时到达现场处理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的，每发生一次扣1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pacing w:val="6"/>
                <w:kern w:val="0"/>
                <w:sz w:val="18"/>
                <w:szCs w:val="18"/>
                <w:lang w:eastAsia="en-US"/>
              </w:rPr>
              <w:t>分，扣完为止。</w:t>
            </w:r>
          </w:p>
        </w:tc>
        <w:tc>
          <w:tcPr>
            <w:tcW w:w="1635" w:type="dxa"/>
            <w:vAlign w:val="center"/>
          </w:tcPr>
          <w:p w14:paraId="56FB14F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  <w:vertAlign w:val="baseline"/>
                <w:lang w:eastAsia="en-US"/>
              </w:rPr>
            </w:pPr>
          </w:p>
        </w:tc>
      </w:tr>
      <w:tr w14:paraId="0743B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4" w:hRule="atLeast"/>
        </w:trPr>
        <w:tc>
          <w:tcPr>
            <w:tcW w:w="7912" w:type="dxa"/>
            <w:gridSpan w:val="3"/>
            <w:vAlign w:val="center"/>
          </w:tcPr>
          <w:p w14:paraId="03C9167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4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3"/>
                <w:kern w:val="0"/>
                <w:sz w:val="24"/>
                <w:szCs w:val="24"/>
                <w:lang w:eastAsia="en-US"/>
              </w:rPr>
              <w:t>合计</w:t>
            </w:r>
          </w:p>
        </w:tc>
        <w:tc>
          <w:tcPr>
            <w:tcW w:w="1200" w:type="dxa"/>
            <w:vAlign w:val="center"/>
          </w:tcPr>
          <w:p w14:paraId="601EA64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-2"/>
                <w:kern w:val="0"/>
                <w:position w:val="1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470" w:type="dxa"/>
            <w:vAlign w:val="center"/>
          </w:tcPr>
          <w:p w14:paraId="6C80D1B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pacing w:val="19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3"/>
                <w:kern w:val="0"/>
                <w:sz w:val="24"/>
                <w:szCs w:val="24"/>
                <w:lang w:val="en-US" w:eastAsia="zh-CN"/>
              </w:rPr>
              <w:t>得分</w:t>
            </w:r>
          </w:p>
        </w:tc>
        <w:tc>
          <w:tcPr>
            <w:tcW w:w="1635" w:type="dxa"/>
            <w:vAlign w:val="center"/>
          </w:tcPr>
          <w:p w14:paraId="510F443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  <w:vertAlign w:val="baseline"/>
                <w:lang w:eastAsia="en-US"/>
              </w:rPr>
            </w:pPr>
          </w:p>
        </w:tc>
      </w:tr>
    </w:tbl>
    <w:p w14:paraId="2BE6D2F6"/>
    <w:sectPr>
      <w:pgSz w:w="16839" w:h="11906" w:orient="landscape"/>
      <w:pgMar w:top="737" w:right="907" w:bottom="737" w:left="907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D025C7"/>
    <w:rsid w:val="04D0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2026-09-22T03:48:00Z</dcterms:created>
  <dc:creator>Lily</dc:creator>
  <cp:lastModifiedBy>Lily</cp:lastModifiedBy>
  <dcterms:modified xsi:type="dcterms:W3CDTF">2026-09-22T03:58:04Z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804647FBFB8E47519A57C47DD6E9B4BF_11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