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中山市东升医院手动双摇病床及床垫采购项目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417" w:bottom="907" w:left="1417"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06CE8DBD">
      <w:pPr>
        <w:keepNext w:val="0"/>
        <w:keepLines w:val="0"/>
        <w:pageBreakBefore w:val="0"/>
        <w:widowControl/>
        <w:kinsoku w:val="0"/>
        <w:wordWrap/>
        <w:overflowPunct/>
        <w:topLinePunct w:val="0"/>
        <w:autoSpaceDE w:val="0"/>
        <w:autoSpaceDN w:val="0"/>
        <w:bidi w:val="0"/>
        <w:adjustRightInd w:val="0"/>
        <w:snapToGrid w:val="0"/>
        <w:spacing w:after="0" w:afterLines="50"/>
        <w:textAlignment w:val="baseline"/>
        <w:rPr>
          <w:rFonts w:hint="default" w:eastAsia="宋体"/>
          <w:b/>
          <w:bCs/>
          <w:lang w:val="en-US" w:eastAsia="zh-CN"/>
        </w:rPr>
      </w:pPr>
    </w:p>
    <w:p w14:paraId="2B884CF5">
      <w:pPr>
        <w:pStyle w:val="3"/>
        <w:rPr>
          <w:rFonts w:hint="default"/>
          <w:lang w:val="en-US" w:eastAsia="zh-CN"/>
        </w:rPr>
      </w:pPr>
    </w:p>
    <w:tbl>
      <w:tblPr>
        <w:tblStyle w:val="11"/>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89"/>
        <w:gridCol w:w="3046"/>
        <w:gridCol w:w="225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378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046"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下浮率报价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25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378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中山市东升医院手动双摇病床及床垫采购项目</w:t>
            </w:r>
          </w:p>
        </w:tc>
        <w:tc>
          <w:tcPr>
            <w:tcW w:w="3046"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259" w:type="dxa"/>
            <w:vAlign w:val="center"/>
          </w:tcPr>
          <w:p w14:paraId="417A2084">
            <w:pPr>
              <w:jc w:val="center"/>
              <w:rPr>
                <w:rFonts w:hint="default" w:eastAsia="宋体"/>
                <w:lang w:val="en-US" w:eastAsia="zh-CN"/>
              </w:rPr>
            </w:pPr>
            <w:r>
              <w:rPr>
                <w:rFonts w:hint="eastAsia" w:eastAsia="宋体"/>
                <w:lang w:val="en-US" w:eastAsia="zh-CN"/>
              </w:rPr>
              <w:t>提供详细项目清单</w:t>
            </w:r>
          </w:p>
        </w:tc>
      </w:tr>
    </w:tbl>
    <w:p w14:paraId="06BFCCF9">
      <w:pPr>
        <w:pStyle w:val="3"/>
        <w:spacing w:line="371" w:lineRule="auto"/>
      </w:pPr>
    </w:p>
    <w:p w14:paraId="1CE97BEE">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pacing w:val="7"/>
          <w:sz w:val="20"/>
          <w:szCs w:val="20"/>
          <w:lang w:eastAsia="zh-CN"/>
        </w:rPr>
      </w:pPr>
      <w:r>
        <w:rPr>
          <w:rFonts w:hint="eastAsia" w:asciiTheme="minorEastAsia" w:hAnsiTheme="minorEastAsia" w:eastAsiaTheme="minorEastAsia" w:cstheme="minorEastAsia"/>
          <w:b/>
          <w:bCs/>
          <w:spacing w:val="7"/>
          <w:sz w:val="20"/>
          <w:szCs w:val="20"/>
          <w:lang w:val="en-US" w:eastAsia="zh-CN"/>
        </w:rPr>
        <w:t>供应商应依据《技术参数及配置要求》中最高单价限价报出一个统一的响应下浮率，下浮率取值范围为0%（含）至50%（含），超出此范围的报价将被视为无效响应。</w:t>
      </w:r>
      <w:r>
        <w:rPr>
          <w:rFonts w:hint="eastAsia" w:asciiTheme="minorEastAsia" w:hAnsiTheme="minorEastAsia" w:eastAsiaTheme="minorEastAsia" w:cstheme="minorEastAsia"/>
          <w:b/>
          <w:bCs/>
          <w:spacing w:val="7"/>
          <w:sz w:val="20"/>
          <w:szCs w:val="20"/>
          <w:lang w:eastAsia="zh-CN"/>
        </w:rPr>
        <w:t>不得随意更改本表格式。</w:t>
      </w:r>
    </w:p>
    <w:p w14:paraId="40A56808">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280" w:lineRule="exact"/>
        <w:ind w:left="0" w:leftChars="0" w:firstLine="0" w:firstLineChars="0"/>
        <w:textAlignment w:val="baseline"/>
        <w:rPr>
          <w:rFonts w:hint="eastAsia" w:asciiTheme="minorEastAsia" w:hAnsiTheme="minorEastAsia" w:eastAsiaTheme="minorEastAsia" w:cstheme="minorEastAsia"/>
          <w:b/>
          <w:bCs/>
          <w:sz w:val="20"/>
          <w:szCs w:val="20"/>
          <w:lang w:val="en-US" w:eastAsia="zh-CN"/>
        </w:rPr>
      </w:pPr>
      <w:r>
        <w:rPr>
          <w:rFonts w:hint="eastAsia" w:asciiTheme="minorEastAsia" w:hAnsiTheme="minorEastAsia" w:eastAsiaTheme="minorEastAsia" w:cstheme="minorEastAsia"/>
          <w:b/>
          <w:bCs/>
          <w:sz w:val="20"/>
          <w:szCs w:val="20"/>
          <w:lang w:val="en-US" w:eastAsia="zh-CN"/>
        </w:rPr>
        <w:t>本项目的评审采用最低价法方式，在符合项目需求的前提下，选取最低价格为拟中选供应商。</w:t>
      </w:r>
    </w:p>
    <w:p w14:paraId="75F08E26">
      <w:pPr>
        <w:pStyle w:val="3"/>
        <w:keepNext w:val="0"/>
        <w:keepLines w:val="0"/>
        <w:pageBreakBefore w:val="0"/>
        <w:widowControl/>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z w:val="20"/>
          <w:szCs w:val="20"/>
          <w:lang w:val="en-US" w:eastAsia="zh-CN"/>
        </w:rPr>
      </w:pPr>
      <w:r>
        <w:rPr>
          <w:rFonts w:hint="eastAsia" w:asciiTheme="minorEastAsia" w:hAnsiTheme="minorEastAsia" w:eastAsiaTheme="minorEastAsia" w:cstheme="minorEastAsia"/>
          <w:b/>
          <w:bCs/>
          <w:sz w:val="20"/>
          <w:szCs w:val="20"/>
          <w:lang w:val="en-US" w:eastAsia="zh-CN"/>
        </w:rPr>
        <w:t>3. 结算公式：结算价格 = 单项最高单价限价×（1-成交下浮率）×实际采购数量，结果四舍五入保留至小数点后两位。该单价为合同期间的最终价格，合同期内不随市场同类商品价格波动进行调整。</w:t>
      </w:r>
    </w:p>
    <w:p w14:paraId="17E08FB6">
      <w:pPr>
        <w:pStyle w:val="3"/>
        <w:keepNext w:val="0"/>
        <w:keepLines w:val="0"/>
        <w:pageBreakBefore w:val="0"/>
        <w:widowControl/>
        <w:kinsoku w:val="0"/>
        <w:wordWrap/>
        <w:overflowPunct/>
        <w:topLinePunct w:val="0"/>
        <w:autoSpaceDE w:val="0"/>
        <w:autoSpaceDN w:val="0"/>
        <w:bidi w:val="0"/>
        <w:adjustRightInd w:val="0"/>
        <w:snapToGrid w:val="0"/>
        <w:spacing w:before="0" w:beforeLines="50" w:line="280" w:lineRule="exact"/>
        <w:textAlignment w:val="baseline"/>
        <w:rPr>
          <w:rFonts w:hint="eastAsia" w:asciiTheme="minorEastAsia" w:hAnsiTheme="minorEastAsia" w:eastAsiaTheme="minorEastAsia" w:cstheme="minorEastAsia"/>
          <w:b/>
          <w:bCs/>
          <w:spacing w:val="2"/>
          <w:sz w:val="20"/>
          <w:szCs w:val="20"/>
          <w:lang w:eastAsia="zh-CN"/>
        </w:rPr>
      </w:pPr>
      <w:r>
        <w:rPr>
          <w:rFonts w:hint="eastAsia" w:asciiTheme="minorEastAsia" w:hAnsiTheme="minorEastAsia" w:eastAsiaTheme="minorEastAsia" w:cstheme="minorEastAsia"/>
          <w:b/>
          <w:bCs/>
          <w:spacing w:val="2"/>
          <w:sz w:val="20"/>
          <w:szCs w:val="20"/>
          <w:lang w:val="en-US" w:eastAsia="zh-CN"/>
        </w:rPr>
        <w:t>4. 报价次数：1次。</w:t>
      </w:r>
    </w:p>
    <w:p w14:paraId="573023C5">
      <w:pPr>
        <w:pStyle w:val="4"/>
        <w:rPr>
          <w:rFonts w:ascii="宋体" w:hAnsi="宋体" w:eastAsia="宋体" w:cs="宋体"/>
          <w:spacing w:val="2"/>
          <w:sz w:val="24"/>
          <w:szCs w:val="24"/>
          <w:lang w:eastAsia="zh-CN"/>
        </w:rPr>
      </w:pPr>
    </w:p>
    <w:p w14:paraId="400D596C">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中山市东升医院手动双摇病床及床垫采购项目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中山市东升医院手动双摇病床及床垫采购项目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7EC7D9E2">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十一、有效的医疗器械产品注册或备案证明材料、报价人的经营许可或备案证明材料等相关资料。</w:t>
      </w:r>
    </w:p>
    <w:p w14:paraId="089ACB47">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2E07A2B7">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二、按照公告文件第四条《技术参数及配置要求》提供相应的证明文件（须加盖公章），包括但不限于：①第三方检测机构出具的检测证明复印件；②认证证书复印件；③第三方检测机构出具床垫阻燃检测报告复印件；④甲醛含量测试报告复印件；⑤省级及以上质量技术监督局认定的具有CMA资质检验检测机构出具的床垫防水性能测试报告复印件等。</w:t>
      </w:r>
    </w:p>
    <w:p w14:paraId="7677C5C0">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hint="eastAsia" w:ascii="Calibri" w:hAnsi="Calibri" w:eastAsia="Calibri" w:cs="Calibri"/>
          <w:spacing w:val="8"/>
          <w:sz w:val="20"/>
          <w:szCs w:val="20"/>
          <w:lang w:val="en-US"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0" w:beforeLines="30" w:line="280" w:lineRule="exact"/>
        <w:textAlignment w:val="baseline"/>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hint="eastAsia" w:ascii="Calibri" w:hAnsi="Calibri" w:eastAsia="Calibri" w:cs="Calibri"/>
          <w:spacing w:val="-14"/>
          <w:sz w:val="20"/>
          <w:szCs w:val="20"/>
          <w:lang w:val="en-US" w:eastAsia="zh-CN"/>
        </w:rPr>
        <w:t xml:space="preserve">.  </w:t>
      </w:r>
      <w:r>
        <w:rPr>
          <w:rFonts w:ascii="宋体" w:hAnsi="宋体" w:eastAsia="宋体" w:cs="宋体"/>
          <w:spacing w:val="7"/>
          <w:sz w:val="20"/>
          <w:szCs w:val="20"/>
          <w:lang w:eastAsia="zh-CN"/>
        </w:rPr>
        <w:t>其中带★的参数是必须完全响应的参数。</w:t>
      </w:r>
    </w:p>
    <w:p w14:paraId="5439A5A0">
      <w:pPr>
        <w:keepNext w:val="0"/>
        <w:keepLines w:val="0"/>
        <w:pageBreakBefore w:val="0"/>
        <w:widowControl/>
        <w:kinsoku w:val="0"/>
        <w:wordWrap/>
        <w:overflowPunct/>
        <w:topLinePunct w:val="0"/>
        <w:autoSpaceDE w:val="0"/>
        <w:autoSpaceDN w:val="0"/>
        <w:bidi w:val="0"/>
        <w:adjustRightInd w:val="0"/>
        <w:snapToGrid w:val="0"/>
        <w:spacing w:before="0" w:beforeLines="30" w:after="0" w:afterLines="50" w:line="280" w:lineRule="exact"/>
        <w:textAlignment w:val="baseline"/>
        <w:rPr>
          <w:rFonts w:ascii="宋体" w:hAnsi="宋体" w:eastAsia="宋体" w:cs="宋体"/>
          <w:spacing w:val="7"/>
          <w:sz w:val="20"/>
          <w:szCs w:val="20"/>
          <w:lang w:eastAsia="zh-CN"/>
        </w:rPr>
      </w:pPr>
      <w:r>
        <w:rPr>
          <w:rFonts w:ascii="Calibri" w:hAnsi="Calibri" w:eastAsia="Calibri" w:cs="Calibri"/>
          <w:spacing w:val="8"/>
          <w:sz w:val="20"/>
          <w:szCs w:val="20"/>
          <w:lang w:eastAsia="zh-CN"/>
        </w:rPr>
        <w:t>3</w:t>
      </w:r>
      <w:r>
        <w:rPr>
          <w:rFonts w:hint="eastAsia" w:ascii="Calibri" w:hAnsi="Calibri" w:eastAsia="Calibri" w:cs="Calibri"/>
          <w:spacing w:val="-23"/>
          <w:sz w:val="20"/>
          <w:szCs w:val="20"/>
          <w:lang w:val="en-US"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1"/>
        <w:tblW w:w="9660" w:type="dxa"/>
        <w:tblInd w:w="-5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765"/>
        <w:gridCol w:w="5280"/>
        <w:gridCol w:w="1290"/>
        <w:gridCol w:w="1215"/>
        <w:gridCol w:w="1110"/>
      </w:tblGrid>
      <w:tr w14:paraId="1C0F4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62" w:hRule="atLeast"/>
        </w:trPr>
        <w:tc>
          <w:tcPr>
            <w:tcW w:w="765" w:type="dxa"/>
            <w:vAlign w:val="center"/>
          </w:tcPr>
          <w:p w14:paraId="5BDB5DDC">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5"/>
              </w:rPr>
              <w:t>序号</w:t>
            </w:r>
          </w:p>
        </w:tc>
        <w:tc>
          <w:tcPr>
            <w:tcW w:w="5280" w:type="dxa"/>
            <w:vAlign w:val="center"/>
          </w:tcPr>
          <w:p w14:paraId="3674397B">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8"/>
              </w:rPr>
              <w:t>采购需求的要求</w:t>
            </w:r>
          </w:p>
        </w:tc>
        <w:tc>
          <w:tcPr>
            <w:tcW w:w="1290" w:type="dxa"/>
            <w:vAlign w:val="center"/>
          </w:tcPr>
          <w:p w14:paraId="53D5C9D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ind w:right="241"/>
              <w:jc w:val="center"/>
              <w:textAlignment w:val="baseline"/>
              <w:rPr>
                <w:rFonts w:hint="eastAsia" w:ascii="宋体" w:hAnsi="宋体" w:eastAsia="宋体" w:cs="宋体"/>
                <w:b/>
                <w:bCs/>
                <w:lang w:val="en-US" w:eastAsia="zh-CN"/>
              </w:rPr>
            </w:pPr>
            <w:r>
              <w:rPr>
                <w:rFonts w:hint="eastAsia" w:ascii="宋体" w:hAnsi="宋体" w:eastAsia="宋体" w:cs="宋体"/>
                <w:b/>
                <w:bCs/>
                <w:lang w:val="en-US" w:eastAsia="zh-CN"/>
              </w:rPr>
              <w:t>完全响应</w:t>
            </w:r>
          </w:p>
          <w:p w14:paraId="5455D04C">
            <w:pPr>
              <w:pStyle w:val="2"/>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jc w:val="center"/>
              <w:textAlignment w:val="baseline"/>
              <w:rPr>
                <w:rFonts w:hint="eastAsia" w:cs="宋体"/>
                <w:b/>
                <w:bCs/>
                <w:lang w:val="en-US" w:eastAsia="zh-CN"/>
              </w:rPr>
            </w:pPr>
            <w:r>
              <w:rPr>
                <w:rFonts w:hint="eastAsia" w:cs="宋体"/>
                <w:b/>
                <w:bCs/>
                <w:lang w:val="en-US" w:eastAsia="zh-CN"/>
              </w:rPr>
              <w:t>或</w:t>
            </w:r>
          </w:p>
          <w:p w14:paraId="4870510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260" w:lineRule="exact"/>
              <w:jc w:val="center"/>
              <w:textAlignment w:val="baseline"/>
              <w:rPr>
                <w:rFonts w:hint="default"/>
                <w:lang w:val="en-US" w:eastAsia="zh-CN"/>
              </w:rPr>
            </w:pPr>
            <w:r>
              <w:rPr>
                <w:rFonts w:hint="eastAsia" w:cs="宋体"/>
                <w:b/>
                <w:bCs/>
                <w:lang w:val="en-US" w:eastAsia="zh-CN"/>
              </w:rPr>
              <w:t>正/负偏离</w:t>
            </w:r>
          </w:p>
        </w:tc>
        <w:tc>
          <w:tcPr>
            <w:tcW w:w="1215" w:type="dxa"/>
            <w:vAlign w:val="center"/>
          </w:tcPr>
          <w:p w14:paraId="3E93E2B7">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ascii="宋体" w:hAnsi="宋体" w:eastAsia="宋体" w:cs="宋体"/>
                <w:b/>
                <w:bCs/>
                <w:spacing w:val="7"/>
              </w:rPr>
            </w:pPr>
            <w:r>
              <w:rPr>
                <w:rFonts w:hint="eastAsia" w:ascii="宋体" w:hAnsi="宋体" w:eastAsia="宋体" w:cs="宋体"/>
                <w:b/>
                <w:bCs/>
                <w:spacing w:val="7"/>
              </w:rPr>
              <w:t>偏离</w:t>
            </w:r>
          </w:p>
          <w:p w14:paraId="189B2D09">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ascii="宋体" w:hAnsi="宋体" w:eastAsia="宋体" w:cs="宋体"/>
                <w:b/>
                <w:bCs/>
              </w:rPr>
            </w:pPr>
            <w:r>
              <w:rPr>
                <w:rFonts w:hint="eastAsia" w:ascii="宋体" w:hAnsi="宋体" w:eastAsia="宋体" w:cs="宋体"/>
                <w:b/>
                <w:bCs/>
                <w:spacing w:val="7"/>
              </w:rPr>
              <w:t>情况</w:t>
            </w:r>
          </w:p>
        </w:tc>
        <w:tc>
          <w:tcPr>
            <w:tcW w:w="1110" w:type="dxa"/>
            <w:vAlign w:val="center"/>
          </w:tcPr>
          <w:p w14:paraId="3CD53C02">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相关</w:t>
            </w:r>
          </w:p>
          <w:p w14:paraId="4B5ABCB3">
            <w:pPr>
              <w:keepNext w:val="0"/>
              <w:keepLines w:val="0"/>
              <w:pageBreakBefore w:val="0"/>
              <w:widowControl/>
              <w:kinsoku w:val="0"/>
              <w:wordWrap/>
              <w:overflowPunct/>
              <w:topLinePunct w:val="0"/>
              <w:autoSpaceDE w:val="0"/>
              <w:autoSpaceDN w:val="0"/>
              <w:bidi w:val="0"/>
              <w:adjustRightInd w:val="0"/>
              <w:snapToGrid w:val="0"/>
              <w:spacing w:line="260" w:lineRule="exact"/>
              <w:jc w:val="center"/>
              <w:textAlignment w:val="baseline"/>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775BE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4433" w:hRule="atLeast"/>
        </w:trPr>
        <w:tc>
          <w:tcPr>
            <w:tcW w:w="765" w:type="dxa"/>
            <w:vAlign w:val="center"/>
          </w:tcPr>
          <w:p w14:paraId="65A6A3D8">
            <w:pPr>
              <w:spacing w:before="65" w:line="270" w:lineRule="exact"/>
              <w:jc w:val="both"/>
              <w:rPr>
                <w:rFonts w:ascii="宋体" w:hAnsi="宋体" w:eastAsia="宋体" w:cs="宋体"/>
              </w:rPr>
            </w:pPr>
            <w:r>
              <w:rPr>
                <w:rFonts w:hint="eastAsia" w:ascii="宋体" w:hAnsi="宋体" w:eastAsia="宋体" w:cs="宋体"/>
                <w:position w:val="1"/>
              </w:rPr>
              <w:t>1</w:t>
            </w:r>
          </w:p>
        </w:tc>
        <w:tc>
          <w:tcPr>
            <w:tcW w:w="5280" w:type="dxa"/>
            <w:vAlign w:val="center"/>
          </w:tcPr>
          <w:p w14:paraId="05D472C7">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一、项目基本要求</w:t>
            </w:r>
          </w:p>
          <w:p w14:paraId="1C5AE44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项目名称：中山市东升医院手动双摇病床及床垫采购项目</w:t>
            </w:r>
          </w:p>
          <w:p w14:paraId="4C36A356">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项目编号：HW-CW-CW-2026046</w:t>
            </w:r>
          </w:p>
          <w:p w14:paraId="5AD39ACB">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项目预算：84000元（含税全包价）</w:t>
            </w:r>
          </w:p>
          <w:p w14:paraId="6636EC2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交货时间：中标供应商须于中标通知书发出之日起30日内，依据招标文件及其中标投标文件所确定的事项与采购人订立合同；合同签订后，在收到采购人通知的15日内，完成设备的运送、安装及调试工作。</w:t>
            </w:r>
          </w:p>
          <w:p w14:paraId="1EDEA9E3">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质保期：自设备验收合格之日起计算，质保期限为3年及以上。</w:t>
            </w:r>
          </w:p>
          <w:p w14:paraId="2039DFD9">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响应供应商须符合《医疗器械经营质量管理规范》及《医疗器械监督管理条例》的相关规定，并根据本项目的具体特性，提供有效的医疗器械产品注册或备案证明材料、报价人的经营许可或备案证明材料等相关资料。</w:t>
            </w:r>
          </w:p>
          <w:p w14:paraId="46A4769C">
            <w:pPr>
              <w:pStyle w:val="6"/>
              <w:widowControl w:val="0"/>
              <w:kinsoku/>
              <w:autoSpaceDN/>
              <w:adjustRightInd/>
              <w:snapToGrid/>
              <w:spacing w:before="0" w:beforeAutospacing="0" w:after="0" w:afterAutospacing="0"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 成交供应商不得通过任何形式将本项目进行转包或分包。</w:t>
            </w:r>
          </w:p>
          <w:p w14:paraId="7879DE5F">
            <w:pPr>
              <w:pStyle w:val="6"/>
              <w:widowControl w:val="0"/>
              <w:kinsoku/>
              <w:autoSpaceDN/>
              <w:adjustRightInd/>
              <w:snapToGrid/>
              <w:spacing w:before="0" w:beforeAutospacing="0" w:after="0" w:afterAutospacing="0" w:line="240" w:lineRule="exact"/>
              <w:jc w:val="both"/>
              <w:rPr>
                <w:rFonts w:ascii="宋体" w:hAnsi="宋体" w:eastAsia="宋体" w:cs="宋体"/>
                <w:sz w:val="20"/>
                <w:szCs w:val="20"/>
              </w:rPr>
            </w:pPr>
            <w:r>
              <w:rPr>
                <w:rFonts w:hint="eastAsia" w:ascii="宋体" w:hAnsi="宋体" w:eastAsia="宋体" w:cs="宋体"/>
                <w:sz w:val="18"/>
                <w:szCs w:val="18"/>
                <w:lang w:val="en-US" w:eastAsia="zh-CN"/>
              </w:rPr>
              <w:t>8. 公告文件中带有“★”标识的内容条款，均为关键性的响应要求、技术指标要求及性能要求。报价人须对此作出明确回应并予以完全满足，且不得存在任何负偏离，否则其报价将被视作无效。</w:t>
            </w:r>
          </w:p>
        </w:tc>
        <w:tc>
          <w:tcPr>
            <w:tcW w:w="1290" w:type="dxa"/>
            <w:vAlign w:val="center"/>
          </w:tcPr>
          <w:p w14:paraId="5B3B314A">
            <w:pPr>
              <w:pStyle w:val="12"/>
              <w:jc w:val="both"/>
              <w:rPr>
                <w:rFonts w:ascii="宋体" w:hAnsi="宋体" w:eastAsia="宋体" w:cs="宋体"/>
                <w:lang w:eastAsia="zh-CN"/>
              </w:rPr>
            </w:pPr>
            <w:bookmarkStart w:id="1" w:name="_GoBack"/>
            <w:bookmarkEnd w:id="1"/>
          </w:p>
        </w:tc>
        <w:tc>
          <w:tcPr>
            <w:tcW w:w="1215" w:type="dxa"/>
            <w:vAlign w:val="center"/>
          </w:tcPr>
          <w:p w14:paraId="28582A36">
            <w:pPr>
              <w:pStyle w:val="12"/>
              <w:jc w:val="both"/>
              <w:rPr>
                <w:rFonts w:ascii="宋体" w:hAnsi="宋体" w:eastAsia="宋体" w:cs="宋体"/>
                <w:lang w:eastAsia="zh-CN"/>
              </w:rPr>
            </w:pPr>
          </w:p>
        </w:tc>
        <w:tc>
          <w:tcPr>
            <w:tcW w:w="1110" w:type="dxa"/>
            <w:vAlign w:val="center"/>
          </w:tcPr>
          <w:p w14:paraId="4974FF2A">
            <w:pPr>
              <w:pStyle w:val="12"/>
              <w:jc w:val="both"/>
              <w:rPr>
                <w:rFonts w:ascii="宋体" w:hAnsi="宋体" w:eastAsia="宋体" w:cs="宋体"/>
                <w:lang w:eastAsia="zh-CN"/>
              </w:rPr>
            </w:pPr>
          </w:p>
        </w:tc>
      </w:tr>
      <w:tr w14:paraId="43E26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3379" w:hRule="atLeast"/>
        </w:trPr>
        <w:tc>
          <w:tcPr>
            <w:tcW w:w="765" w:type="dxa"/>
            <w:vAlign w:val="center"/>
          </w:tcPr>
          <w:p w14:paraId="2D18E0F6">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2</w:t>
            </w:r>
          </w:p>
        </w:tc>
        <w:tc>
          <w:tcPr>
            <w:tcW w:w="5280" w:type="dxa"/>
            <w:vAlign w:val="center"/>
          </w:tcPr>
          <w:p w14:paraId="1F5B6B5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二、供应商的资格要求</w:t>
            </w:r>
          </w:p>
          <w:p w14:paraId="4B516B7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7FD6ED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响应供应商须持有有效的营业执照，且其经营范围包含相关业务；同时，须根据本项目的具体特性，提供有效的医疗器械产品注册或备案证明材料、报价人的经营许可或备案证明材料等相关资料。</w:t>
            </w:r>
          </w:p>
          <w:p w14:paraId="28F132A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响应供应商应具备项目承接能力、合同履约能力、售后供应能力及良好的商业信誉。</w:t>
            </w:r>
          </w:p>
          <w:p w14:paraId="2E8D6A35">
            <w:pPr>
              <w:widowControl w:val="0"/>
              <w:spacing w:line="240" w:lineRule="exact"/>
              <w:jc w:val="both"/>
              <w:rPr>
                <w:rFonts w:ascii="宋体" w:hAnsi="宋体" w:eastAsia="宋体" w:cs="宋体"/>
                <w:sz w:val="20"/>
                <w:szCs w:val="20"/>
                <w:lang w:eastAsia="zh-CN"/>
              </w:rPr>
            </w:pPr>
            <w:r>
              <w:rPr>
                <w:rFonts w:hint="eastAsia" w:ascii="宋体" w:hAnsi="宋体" w:eastAsia="宋体" w:cs="宋体"/>
                <w:sz w:val="18"/>
                <w:szCs w:val="18"/>
                <w:lang w:eastAsia="zh-CN"/>
              </w:rPr>
              <w:t>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响应供应商在参与公开招标活动中，不得存在违法违纪行为及受过处罚的记录，且不得有围标、串标等行为。</w:t>
            </w:r>
          </w:p>
        </w:tc>
        <w:tc>
          <w:tcPr>
            <w:tcW w:w="1290" w:type="dxa"/>
            <w:vAlign w:val="center"/>
          </w:tcPr>
          <w:p w14:paraId="11B334CA">
            <w:pPr>
              <w:pStyle w:val="12"/>
              <w:jc w:val="both"/>
              <w:rPr>
                <w:rFonts w:ascii="宋体" w:hAnsi="宋体" w:eastAsia="宋体" w:cs="宋体"/>
                <w:lang w:eastAsia="zh-CN"/>
              </w:rPr>
            </w:pPr>
          </w:p>
        </w:tc>
        <w:tc>
          <w:tcPr>
            <w:tcW w:w="1215" w:type="dxa"/>
            <w:vAlign w:val="center"/>
          </w:tcPr>
          <w:p w14:paraId="0566467E">
            <w:pPr>
              <w:pStyle w:val="12"/>
              <w:jc w:val="both"/>
              <w:rPr>
                <w:rFonts w:ascii="宋体" w:hAnsi="宋体" w:eastAsia="宋体" w:cs="宋体"/>
                <w:lang w:eastAsia="zh-CN"/>
              </w:rPr>
            </w:pPr>
          </w:p>
        </w:tc>
        <w:tc>
          <w:tcPr>
            <w:tcW w:w="1110" w:type="dxa"/>
            <w:vAlign w:val="center"/>
          </w:tcPr>
          <w:p w14:paraId="35CEC9C0">
            <w:pPr>
              <w:pStyle w:val="12"/>
              <w:jc w:val="both"/>
              <w:rPr>
                <w:rFonts w:ascii="宋体" w:hAnsi="宋体" w:eastAsia="宋体" w:cs="宋体"/>
                <w:lang w:eastAsia="zh-CN"/>
              </w:rPr>
            </w:pPr>
          </w:p>
        </w:tc>
      </w:tr>
      <w:tr w14:paraId="5BC80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655" w:hRule="atLeast"/>
        </w:trPr>
        <w:tc>
          <w:tcPr>
            <w:tcW w:w="765" w:type="dxa"/>
            <w:vAlign w:val="center"/>
          </w:tcPr>
          <w:p w14:paraId="7A7E1C2D">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3</w:t>
            </w:r>
          </w:p>
        </w:tc>
        <w:tc>
          <w:tcPr>
            <w:tcW w:w="5280" w:type="dxa"/>
            <w:vAlign w:val="center"/>
          </w:tcPr>
          <w:p w14:paraId="6937A7AA">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eastAsia="zh-CN"/>
              </w:rPr>
              <w:t>三、采购清单</w:t>
            </w:r>
            <w:r>
              <w:rPr>
                <w:rFonts w:hint="eastAsia" w:ascii="宋体" w:hAnsi="宋体" w:eastAsia="宋体" w:cs="宋体"/>
                <w:sz w:val="18"/>
                <w:szCs w:val="18"/>
                <w:lang w:val="en-US" w:eastAsia="zh-CN"/>
              </w:rPr>
              <w:t>：</w:t>
            </w:r>
          </w:p>
          <w:tbl>
            <w:tblPr>
              <w:tblStyle w:val="8"/>
              <w:tblpPr w:leftFromText="180" w:rightFromText="180" w:vertAnchor="text" w:horzAnchor="page" w:tblpX="101" w:tblpY="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750"/>
              <w:gridCol w:w="2137"/>
              <w:gridCol w:w="1013"/>
              <w:gridCol w:w="1035"/>
            </w:tblGrid>
            <w:tr w14:paraId="1707D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25484A5E">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序号</w:t>
                  </w:r>
                </w:p>
              </w:tc>
              <w:tc>
                <w:tcPr>
                  <w:tcW w:w="2137" w:type="dxa"/>
                  <w:vAlign w:val="center"/>
                </w:tcPr>
                <w:p w14:paraId="6BEB1C5B">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项目名称</w:t>
                  </w:r>
                </w:p>
              </w:tc>
              <w:tc>
                <w:tcPr>
                  <w:tcW w:w="1013" w:type="dxa"/>
                  <w:vAlign w:val="center"/>
                </w:tcPr>
                <w:p w14:paraId="16CF6E4E">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单位</w:t>
                  </w:r>
                </w:p>
              </w:tc>
              <w:tc>
                <w:tcPr>
                  <w:tcW w:w="1035" w:type="dxa"/>
                  <w:vAlign w:val="center"/>
                </w:tcPr>
                <w:p w14:paraId="2C16BDF4">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r>
            <w:tr w14:paraId="2DAD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5BFEC12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1</w:t>
                  </w:r>
                </w:p>
              </w:tc>
              <w:tc>
                <w:tcPr>
                  <w:tcW w:w="2137" w:type="dxa"/>
                  <w:vAlign w:val="center"/>
                </w:tcPr>
                <w:p w14:paraId="7595B3A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手动双摇病床</w:t>
                  </w:r>
                </w:p>
              </w:tc>
              <w:tc>
                <w:tcPr>
                  <w:tcW w:w="1013" w:type="dxa"/>
                  <w:vAlign w:val="center"/>
                </w:tcPr>
                <w:p w14:paraId="1B57259E">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套</w:t>
                  </w:r>
                </w:p>
              </w:tc>
              <w:tc>
                <w:tcPr>
                  <w:tcW w:w="1035" w:type="dxa"/>
                  <w:vAlign w:val="center"/>
                </w:tcPr>
                <w:p w14:paraId="7447ED40">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w:t>
                  </w:r>
                </w:p>
              </w:tc>
            </w:tr>
            <w:tr w14:paraId="68AF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306" w:hRule="exact"/>
              </w:trPr>
              <w:tc>
                <w:tcPr>
                  <w:tcW w:w="750" w:type="dxa"/>
                  <w:vAlign w:val="center"/>
                </w:tcPr>
                <w:p w14:paraId="195EE5FF">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w:t>
                  </w:r>
                </w:p>
              </w:tc>
              <w:tc>
                <w:tcPr>
                  <w:tcW w:w="2137" w:type="dxa"/>
                  <w:vAlign w:val="center"/>
                </w:tcPr>
                <w:p w14:paraId="4148C2E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床垫</w:t>
                  </w:r>
                </w:p>
              </w:tc>
              <w:tc>
                <w:tcPr>
                  <w:tcW w:w="1013" w:type="dxa"/>
                  <w:vAlign w:val="center"/>
                </w:tcPr>
                <w:p w14:paraId="0DA2A72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张</w:t>
                  </w:r>
                </w:p>
              </w:tc>
              <w:tc>
                <w:tcPr>
                  <w:tcW w:w="1035" w:type="dxa"/>
                  <w:vAlign w:val="center"/>
                </w:tcPr>
                <w:p w14:paraId="569978C6">
                  <w:pPr>
                    <w:widowControl w:val="0"/>
                    <w:spacing w:line="240" w:lineRule="exact"/>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w:t>
                  </w:r>
                </w:p>
              </w:tc>
            </w:tr>
          </w:tbl>
          <w:p w14:paraId="747896FB">
            <w:pPr>
              <w:keepNext w:val="0"/>
              <w:keepLines w:val="0"/>
              <w:pageBreakBefore w:val="0"/>
              <w:widowControl w:val="0"/>
              <w:kinsoku w:val="0"/>
              <w:wordWrap/>
              <w:overflowPunct/>
              <w:topLinePunct w:val="0"/>
              <w:autoSpaceDE w:val="0"/>
              <w:autoSpaceDN w:val="0"/>
              <w:bidi w:val="0"/>
              <w:adjustRightInd w:val="0"/>
              <w:snapToGrid w:val="0"/>
              <w:spacing w:line="80" w:lineRule="exact"/>
              <w:jc w:val="both"/>
              <w:textAlignment w:val="baseline"/>
              <w:rPr>
                <w:rFonts w:ascii="宋体" w:hAnsi="宋体" w:eastAsia="宋体" w:cs="宋体"/>
                <w:sz w:val="18"/>
                <w:szCs w:val="18"/>
                <w:lang w:eastAsia="zh-CN"/>
              </w:rPr>
            </w:pPr>
          </w:p>
        </w:tc>
        <w:tc>
          <w:tcPr>
            <w:tcW w:w="1290" w:type="dxa"/>
            <w:vAlign w:val="center"/>
          </w:tcPr>
          <w:p w14:paraId="6483D143">
            <w:pPr>
              <w:pStyle w:val="12"/>
              <w:jc w:val="both"/>
              <w:rPr>
                <w:rFonts w:ascii="宋体" w:hAnsi="宋体" w:eastAsia="宋体" w:cs="宋体"/>
                <w:lang w:eastAsia="zh-CN"/>
              </w:rPr>
            </w:pPr>
          </w:p>
        </w:tc>
        <w:tc>
          <w:tcPr>
            <w:tcW w:w="1215" w:type="dxa"/>
            <w:vAlign w:val="center"/>
          </w:tcPr>
          <w:p w14:paraId="774B4E9C">
            <w:pPr>
              <w:pStyle w:val="12"/>
              <w:jc w:val="both"/>
              <w:rPr>
                <w:rFonts w:ascii="宋体" w:hAnsi="宋体" w:eastAsia="宋体" w:cs="宋体"/>
                <w:lang w:eastAsia="zh-CN"/>
              </w:rPr>
            </w:pPr>
          </w:p>
        </w:tc>
        <w:tc>
          <w:tcPr>
            <w:tcW w:w="1110" w:type="dxa"/>
            <w:vAlign w:val="center"/>
          </w:tcPr>
          <w:p w14:paraId="4A390490">
            <w:pPr>
              <w:pStyle w:val="12"/>
              <w:jc w:val="both"/>
              <w:rPr>
                <w:rFonts w:ascii="宋体" w:hAnsi="宋体" w:eastAsia="宋体" w:cs="宋体"/>
                <w:lang w:eastAsia="zh-CN"/>
              </w:rPr>
            </w:pPr>
          </w:p>
        </w:tc>
      </w:tr>
      <w:tr w14:paraId="43FF2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1" w:hRule="atLeast"/>
        </w:trPr>
        <w:tc>
          <w:tcPr>
            <w:tcW w:w="765" w:type="dxa"/>
            <w:vAlign w:val="center"/>
          </w:tcPr>
          <w:p w14:paraId="66BBC161">
            <w:pPr>
              <w:spacing w:before="65"/>
              <w:jc w:val="both"/>
              <w:rPr>
                <w:rFonts w:ascii="宋体" w:hAnsi="宋体" w:eastAsia="宋体" w:cs="宋体"/>
                <w:position w:val="1"/>
                <w:lang w:eastAsia="zh-CN"/>
              </w:rPr>
            </w:pPr>
            <w:r>
              <w:rPr>
                <w:rFonts w:hint="eastAsia" w:ascii="宋体" w:hAnsi="宋体" w:eastAsia="宋体" w:cs="宋体"/>
                <w:position w:val="1"/>
                <w:lang w:eastAsia="zh-CN"/>
              </w:rPr>
              <w:t>4</w:t>
            </w:r>
          </w:p>
        </w:tc>
        <w:tc>
          <w:tcPr>
            <w:tcW w:w="5280" w:type="dxa"/>
            <w:vAlign w:val="center"/>
          </w:tcPr>
          <w:p w14:paraId="46878C1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四、技术参数及配置要求：</w:t>
            </w:r>
          </w:p>
          <w:tbl>
            <w:tblPr>
              <w:tblStyle w:val="7"/>
              <w:tblW w:w="4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85" w:type="dxa"/>
                <w:bottom w:w="85" w:type="dxa"/>
                <w:right w:w="85" w:type="dxa"/>
              </w:tblCellMar>
            </w:tblPr>
            <w:tblGrid>
              <w:gridCol w:w="840"/>
              <w:gridCol w:w="1261"/>
              <w:gridCol w:w="724"/>
              <w:gridCol w:w="700"/>
              <w:gridCol w:w="700"/>
              <w:gridCol w:w="693"/>
            </w:tblGrid>
            <w:tr w14:paraId="0F4D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restart"/>
                  <w:shd w:val="clear" w:color="auto" w:fill="auto"/>
                  <w:vAlign w:val="center"/>
                </w:tcPr>
                <w:p w14:paraId="336E534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采购</w:t>
                  </w:r>
                </w:p>
                <w:p w14:paraId="39F35F2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内容</w:t>
                  </w:r>
                </w:p>
              </w:tc>
              <w:tc>
                <w:tcPr>
                  <w:tcW w:w="1985" w:type="dxa"/>
                  <w:gridSpan w:val="2"/>
                  <w:tcBorders>
                    <w:bottom w:val="single" w:color="auto" w:sz="2" w:space="0"/>
                  </w:tcBorders>
                  <w:shd w:val="clear" w:color="auto" w:fill="auto"/>
                  <w:vAlign w:val="center"/>
                </w:tcPr>
                <w:p w14:paraId="6E6109E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标准配置</w:t>
                  </w:r>
                </w:p>
              </w:tc>
              <w:tc>
                <w:tcPr>
                  <w:tcW w:w="700" w:type="dxa"/>
                  <w:vMerge w:val="restart"/>
                  <w:shd w:val="clear" w:color="auto" w:fill="auto"/>
                  <w:vAlign w:val="center"/>
                </w:tcPr>
                <w:p w14:paraId="1D37E13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c>
                <w:tcPr>
                  <w:tcW w:w="700" w:type="dxa"/>
                  <w:vMerge w:val="restart"/>
                  <w:shd w:val="clear" w:color="auto" w:fill="auto"/>
                  <w:vAlign w:val="center"/>
                </w:tcPr>
                <w:p w14:paraId="242D615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最高单价</w:t>
                  </w:r>
                </w:p>
                <w:p w14:paraId="3FDCCAD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限价</w:t>
                  </w:r>
                </w:p>
              </w:tc>
              <w:tc>
                <w:tcPr>
                  <w:tcW w:w="693" w:type="dxa"/>
                  <w:vMerge w:val="restart"/>
                  <w:shd w:val="clear" w:color="auto" w:fill="auto"/>
                  <w:vAlign w:val="center"/>
                </w:tcPr>
                <w:p w14:paraId="1E9E896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是否允许</w:t>
                  </w:r>
                </w:p>
                <w:p w14:paraId="225B9C0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进口产品</w:t>
                  </w:r>
                </w:p>
              </w:tc>
            </w:tr>
            <w:tr w14:paraId="7237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shd w:val="clear" w:color="auto" w:fill="auto"/>
                  <w:vAlign w:val="center"/>
                </w:tcPr>
                <w:p w14:paraId="3075030D">
                  <w:pPr>
                    <w:pStyle w:val="3"/>
                    <w:jc w:val="both"/>
                    <w:rPr>
                      <w:rFonts w:hint="eastAsia" w:ascii="宋体" w:hAnsi="宋体" w:eastAsia="宋体" w:cs="宋体"/>
                      <w:sz w:val="18"/>
                      <w:szCs w:val="18"/>
                      <w:lang w:val="en-US" w:eastAsia="zh-CN"/>
                    </w:rPr>
                  </w:pPr>
                </w:p>
              </w:tc>
              <w:tc>
                <w:tcPr>
                  <w:tcW w:w="1261" w:type="dxa"/>
                  <w:tcBorders>
                    <w:top w:val="single" w:color="auto" w:sz="2" w:space="0"/>
                  </w:tcBorders>
                  <w:shd w:val="clear" w:color="auto" w:fill="auto"/>
                  <w:vAlign w:val="center"/>
                </w:tcPr>
                <w:p w14:paraId="48108C0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名称</w:t>
                  </w:r>
                </w:p>
              </w:tc>
              <w:tc>
                <w:tcPr>
                  <w:tcW w:w="724" w:type="dxa"/>
                  <w:tcBorders>
                    <w:top w:val="single" w:color="auto" w:sz="2" w:space="0"/>
                  </w:tcBorders>
                  <w:shd w:val="clear" w:color="auto" w:fill="auto"/>
                  <w:vAlign w:val="center"/>
                </w:tcPr>
                <w:p w14:paraId="790C320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数量</w:t>
                  </w:r>
                </w:p>
              </w:tc>
              <w:tc>
                <w:tcPr>
                  <w:tcW w:w="700" w:type="dxa"/>
                  <w:vMerge w:val="continue"/>
                  <w:shd w:val="clear" w:color="auto" w:fill="auto"/>
                  <w:vAlign w:val="center"/>
                </w:tcPr>
                <w:p w14:paraId="296D2351">
                  <w:pPr>
                    <w:pStyle w:val="3"/>
                    <w:jc w:val="both"/>
                    <w:rPr>
                      <w:rFonts w:hint="eastAsia" w:ascii="宋体" w:hAnsi="宋体" w:eastAsia="宋体" w:cs="宋体"/>
                      <w:sz w:val="18"/>
                      <w:szCs w:val="18"/>
                      <w:lang w:val="en-US" w:eastAsia="zh-CN"/>
                    </w:rPr>
                  </w:pPr>
                </w:p>
              </w:tc>
              <w:tc>
                <w:tcPr>
                  <w:tcW w:w="700" w:type="dxa"/>
                  <w:vMerge w:val="continue"/>
                  <w:shd w:val="clear" w:color="auto" w:fill="auto"/>
                  <w:vAlign w:val="center"/>
                </w:tcPr>
                <w:p w14:paraId="7C13B76B">
                  <w:pPr>
                    <w:pStyle w:val="3"/>
                    <w:jc w:val="both"/>
                    <w:rPr>
                      <w:rFonts w:hint="eastAsia" w:ascii="宋体" w:hAnsi="宋体" w:eastAsia="宋体" w:cs="宋体"/>
                      <w:sz w:val="18"/>
                      <w:szCs w:val="18"/>
                      <w:lang w:val="en-US" w:eastAsia="zh-CN"/>
                    </w:rPr>
                  </w:pPr>
                </w:p>
              </w:tc>
              <w:tc>
                <w:tcPr>
                  <w:tcW w:w="693" w:type="dxa"/>
                  <w:vMerge w:val="continue"/>
                  <w:shd w:val="clear" w:color="auto" w:fill="auto"/>
                  <w:vAlign w:val="center"/>
                </w:tcPr>
                <w:p w14:paraId="087355C8">
                  <w:pPr>
                    <w:pStyle w:val="3"/>
                    <w:jc w:val="both"/>
                    <w:rPr>
                      <w:rFonts w:hint="eastAsia" w:ascii="宋体" w:hAnsi="宋体" w:eastAsia="宋体" w:cs="宋体"/>
                      <w:sz w:val="18"/>
                      <w:szCs w:val="18"/>
                      <w:lang w:val="en-US" w:eastAsia="zh-CN"/>
                    </w:rPr>
                  </w:pPr>
                </w:p>
              </w:tc>
            </w:tr>
            <w:tr w14:paraId="122D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restart"/>
                  <w:tcBorders>
                    <w:top w:val="single" w:color="auto" w:sz="2" w:space="0"/>
                  </w:tcBorders>
                  <w:shd w:val="clear" w:color="auto" w:fill="auto"/>
                  <w:vAlign w:val="center"/>
                </w:tcPr>
                <w:p w14:paraId="5C602C3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手动双摇</w:t>
                  </w:r>
                </w:p>
                <w:p w14:paraId="5AC096C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病床</w:t>
                  </w:r>
                </w:p>
              </w:tc>
              <w:tc>
                <w:tcPr>
                  <w:tcW w:w="1261" w:type="dxa"/>
                  <w:tcBorders>
                    <w:top w:val="single" w:color="auto" w:sz="2" w:space="0"/>
                  </w:tcBorders>
                  <w:shd w:val="clear" w:color="auto" w:fill="auto"/>
                  <w:vAlign w:val="center"/>
                </w:tcPr>
                <w:p w14:paraId="4013885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含ABS床头尾板</w:t>
                  </w:r>
                </w:p>
              </w:tc>
              <w:tc>
                <w:tcPr>
                  <w:tcW w:w="724" w:type="dxa"/>
                  <w:tcBorders>
                    <w:top w:val="single" w:color="auto" w:sz="2" w:space="0"/>
                  </w:tcBorders>
                  <w:shd w:val="clear" w:color="auto" w:fill="auto"/>
                  <w:vAlign w:val="center"/>
                </w:tcPr>
                <w:p w14:paraId="399C491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1对</w:t>
                  </w:r>
                </w:p>
              </w:tc>
              <w:tc>
                <w:tcPr>
                  <w:tcW w:w="700" w:type="dxa"/>
                  <w:vMerge w:val="restart"/>
                  <w:tcBorders>
                    <w:top w:val="single" w:color="auto" w:sz="2" w:space="0"/>
                  </w:tcBorders>
                  <w:shd w:val="clear" w:color="auto" w:fill="auto"/>
                  <w:vAlign w:val="center"/>
                </w:tcPr>
                <w:p w14:paraId="63A8289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30套</w:t>
                  </w:r>
                </w:p>
              </w:tc>
              <w:tc>
                <w:tcPr>
                  <w:tcW w:w="700" w:type="dxa"/>
                  <w:vMerge w:val="restart"/>
                  <w:tcBorders>
                    <w:top w:val="single" w:color="auto" w:sz="2" w:space="0"/>
                  </w:tcBorders>
                  <w:shd w:val="clear" w:color="auto" w:fill="auto"/>
                  <w:vAlign w:val="center"/>
                </w:tcPr>
                <w:p w14:paraId="3F5DF93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2592</w:t>
                  </w:r>
                </w:p>
              </w:tc>
              <w:tc>
                <w:tcPr>
                  <w:tcW w:w="693" w:type="dxa"/>
                  <w:vMerge w:val="restart"/>
                  <w:tcBorders>
                    <w:top w:val="single" w:color="auto" w:sz="2" w:space="0"/>
                  </w:tcBorders>
                  <w:shd w:val="clear" w:color="auto" w:fill="auto"/>
                  <w:vAlign w:val="center"/>
                </w:tcPr>
                <w:p w14:paraId="6F6ACEB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否</w:t>
                  </w:r>
                </w:p>
              </w:tc>
            </w:tr>
            <w:tr w14:paraId="628B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7E080C95">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78D745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铝合金护栏</w:t>
                  </w:r>
                </w:p>
              </w:tc>
              <w:tc>
                <w:tcPr>
                  <w:tcW w:w="724" w:type="dxa"/>
                  <w:tcBorders>
                    <w:top w:val="single" w:color="auto" w:sz="2" w:space="0"/>
                  </w:tcBorders>
                  <w:vAlign w:val="center"/>
                </w:tcPr>
                <w:p w14:paraId="54C39B8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1对</w:t>
                  </w:r>
                </w:p>
              </w:tc>
              <w:tc>
                <w:tcPr>
                  <w:tcW w:w="700" w:type="dxa"/>
                  <w:vMerge w:val="continue"/>
                  <w:vAlign w:val="center"/>
                </w:tcPr>
                <w:p w14:paraId="53EA9260">
                  <w:pPr>
                    <w:pStyle w:val="3"/>
                    <w:jc w:val="both"/>
                    <w:rPr>
                      <w:rFonts w:hint="eastAsia" w:ascii="宋体" w:hAnsi="宋体" w:eastAsia="宋体" w:cs="宋体"/>
                      <w:sz w:val="18"/>
                      <w:szCs w:val="18"/>
                      <w:lang w:val="en-US" w:eastAsia="zh-CN"/>
                    </w:rPr>
                  </w:pPr>
                </w:p>
              </w:tc>
              <w:tc>
                <w:tcPr>
                  <w:tcW w:w="700" w:type="dxa"/>
                  <w:vMerge w:val="continue"/>
                  <w:vAlign w:val="center"/>
                </w:tcPr>
                <w:p w14:paraId="558BC79A">
                  <w:pPr>
                    <w:pStyle w:val="3"/>
                    <w:jc w:val="both"/>
                    <w:rPr>
                      <w:rFonts w:hint="eastAsia" w:ascii="宋体" w:hAnsi="宋体" w:eastAsia="宋体" w:cs="宋体"/>
                      <w:sz w:val="18"/>
                      <w:szCs w:val="18"/>
                      <w:lang w:val="en-US" w:eastAsia="zh-CN"/>
                    </w:rPr>
                  </w:pPr>
                </w:p>
              </w:tc>
              <w:tc>
                <w:tcPr>
                  <w:tcW w:w="693" w:type="dxa"/>
                  <w:vMerge w:val="continue"/>
                  <w:vAlign w:val="center"/>
                </w:tcPr>
                <w:p w14:paraId="3631CFAB">
                  <w:pPr>
                    <w:pStyle w:val="3"/>
                    <w:jc w:val="both"/>
                    <w:rPr>
                      <w:rFonts w:hint="eastAsia" w:ascii="宋体" w:hAnsi="宋体" w:eastAsia="宋体" w:cs="宋体"/>
                      <w:sz w:val="18"/>
                      <w:szCs w:val="18"/>
                      <w:lang w:val="en-US" w:eastAsia="zh-CN"/>
                    </w:rPr>
                  </w:pPr>
                </w:p>
              </w:tc>
            </w:tr>
            <w:tr w14:paraId="04F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15A0270F">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3214234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输液架</w:t>
                  </w:r>
                </w:p>
              </w:tc>
              <w:tc>
                <w:tcPr>
                  <w:tcW w:w="724" w:type="dxa"/>
                  <w:tcBorders>
                    <w:top w:val="single" w:color="auto" w:sz="2" w:space="0"/>
                  </w:tcBorders>
                  <w:vAlign w:val="center"/>
                </w:tcPr>
                <w:p w14:paraId="78B2EFA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1支</w:t>
                  </w:r>
                </w:p>
              </w:tc>
              <w:tc>
                <w:tcPr>
                  <w:tcW w:w="700" w:type="dxa"/>
                  <w:vMerge w:val="continue"/>
                  <w:vAlign w:val="center"/>
                </w:tcPr>
                <w:p w14:paraId="485EBD29">
                  <w:pPr>
                    <w:pStyle w:val="3"/>
                    <w:jc w:val="both"/>
                    <w:rPr>
                      <w:rFonts w:hint="eastAsia" w:ascii="宋体" w:hAnsi="宋体" w:eastAsia="宋体" w:cs="宋体"/>
                      <w:sz w:val="18"/>
                      <w:szCs w:val="18"/>
                      <w:lang w:val="en-US" w:eastAsia="zh-CN"/>
                    </w:rPr>
                  </w:pPr>
                </w:p>
              </w:tc>
              <w:tc>
                <w:tcPr>
                  <w:tcW w:w="700" w:type="dxa"/>
                  <w:vMerge w:val="continue"/>
                  <w:vAlign w:val="center"/>
                </w:tcPr>
                <w:p w14:paraId="6F609516">
                  <w:pPr>
                    <w:pStyle w:val="3"/>
                    <w:jc w:val="both"/>
                    <w:rPr>
                      <w:rFonts w:hint="eastAsia" w:ascii="宋体" w:hAnsi="宋体" w:eastAsia="宋体" w:cs="宋体"/>
                      <w:sz w:val="18"/>
                      <w:szCs w:val="18"/>
                      <w:lang w:val="en-US" w:eastAsia="zh-CN"/>
                    </w:rPr>
                  </w:pPr>
                </w:p>
              </w:tc>
              <w:tc>
                <w:tcPr>
                  <w:tcW w:w="693" w:type="dxa"/>
                  <w:vMerge w:val="continue"/>
                  <w:vAlign w:val="center"/>
                </w:tcPr>
                <w:p w14:paraId="49F7CB58">
                  <w:pPr>
                    <w:pStyle w:val="3"/>
                    <w:jc w:val="both"/>
                    <w:rPr>
                      <w:rFonts w:hint="eastAsia" w:ascii="宋体" w:hAnsi="宋体" w:eastAsia="宋体" w:cs="宋体"/>
                      <w:sz w:val="18"/>
                      <w:szCs w:val="18"/>
                      <w:lang w:val="en-US" w:eastAsia="zh-CN"/>
                    </w:rPr>
                  </w:pPr>
                </w:p>
              </w:tc>
            </w:tr>
            <w:tr w14:paraId="515E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278C26A6">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39BCD9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中控脚轮</w:t>
                  </w:r>
                </w:p>
              </w:tc>
              <w:tc>
                <w:tcPr>
                  <w:tcW w:w="724" w:type="dxa"/>
                  <w:tcBorders>
                    <w:top w:val="single" w:color="auto" w:sz="2" w:space="0"/>
                  </w:tcBorders>
                  <w:vAlign w:val="center"/>
                </w:tcPr>
                <w:p w14:paraId="47F4E5C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1套</w:t>
                  </w:r>
                </w:p>
              </w:tc>
              <w:tc>
                <w:tcPr>
                  <w:tcW w:w="700" w:type="dxa"/>
                  <w:vMerge w:val="continue"/>
                  <w:vAlign w:val="center"/>
                </w:tcPr>
                <w:p w14:paraId="614D3ED7">
                  <w:pPr>
                    <w:pStyle w:val="3"/>
                    <w:jc w:val="both"/>
                    <w:rPr>
                      <w:rFonts w:hint="eastAsia" w:ascii="宋体" w:hAnsi="宋体" w:eastAsia="宋体" w:cs="宋体"/>
                      <w:sz w:val="18"/>
                      <w:szCs w:val="18"/>
                      <w:lang w:val="en-US" w:eastAsia="zh-CN"/>
                    </w:rPr>
                  </w:pPr>
                </w:p>
              </w:tc>
              <w:tc>
                <w:tcPr>
                  <w:tcW w:w="700" w:type="dxa"/>
                  <w:vMerge w:val="continue"/>
                  <w:vAlign w:val="center"/>
                </w:tcPr>
                <w:p w14:paraId="0BF59ECF">
                  <w:pPr>
                    <w:pStyle w:val="3"/>
                    <w:jc w:val="both"/>
                    <w:rPr>
                      <w:rFonts w:hint="eastAsia" w:ascii="宋体" w:hAnsi="宋体" w:eastAsia="宋体" w:cs="宋体"/>
                      <w:sz w:val="18"/>
                      <w:szCs w:val="18"/>
                      <w:lang w:val="en-US" w:eastAsia="zh-CN"/>
                    </w:rPr>
                  </w:pPr>
                </w:p>
              </w:tc>
              <w:tc>
                <w:tcPr>
                  <w:tcW w:w="693" w:type="dxa"/>
                  <w:vMerge w:val="continue"/>
                  <w:vAlign w:val="center"/>
                </w:tcPr>
                <w:p w14:paraId="6CB4C63A">
                  <w:pPr>
                    <w:pStyle w:val="3"/>
                    <w:jc w:val="both"/>
                    <w:rPr>
                      <w:rFonts w:hint="eastAsia" w:ascii="宋体" w:hAnsi="宋体" w:eastAsia="宋体" w:cs="宋体"/>
                      <w:sz w:val="18"/>
                      <w:szCs w:val="18"/>
                      <w:lang w:val="en-US" w:eastAsia="zh-CN"/>
                    </w:rPr>
                  </w:pPr>
                </w:p>
              </w:tc>
            </w:tr>
            <w:tr w14:paraId="4E1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2D01E3D8">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60D17A9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餐板</w:t>
                  </w:r>
                </w:p>
              </w:tc>
              <w:tc>
                <w:tcPr>
                  <w:tcW w:w="724" w:type="dxa"/>
                  <w:tcBorders>
                    <w:top w:val="single" w:color="auto" w:sz="2" w:space="0"/>
                  </w:tcBorders>
                  <w:vAlign w:val="center"/>
                </w:tcPr>
                <w:p w14:paraId="067BBF8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1张</w:t>
                  </w:r>
                </w:p>
              </w:tc>
              <w:tc>
                <w:tcPr>
                  <w:tcW w:w="700" w:type="dxa"/>
                  <w:vMerge w:val="continue"/>
                  <w:vAlign w:val="center"/>
                </w:tcPr>
                <w:p w14:paraId="7B47B440">
                  <w:pPr>
                    <w:pStyle w:val="3"/>
                    <w:jc w:val="both"/>
                    <w:rPr>
                      <w:rFonts w:hint="eastAsia" w:ascii="宋体" w:hAnsi="宋体" w:eastAsia="宋体" w:cs="宋体"/>
                      <w:sz w:val="18"/>
                      <w:szCs w:val="18"/>
                      <w:lang w:val="en-US" w:eastAsia="zh-CN"/>
                    </w:rPr>
                  </w:pPr>
                </w:p>
              </w:tc>
              <w:tc>
                <w:tcPr>
                  <w:tcW w:w="700" w:type="dxa"/>
                  <w:vMerge w:val="continue"/>
                  <w:vAlign w:val="center"/>
                </w:tcPr>
                <w:p w14:paraId="72672D3F">
                  <w:pPr>
                    <w:pStyle w:val="3"/>
                    <w:jc w:val="both"/>
                    <w:rPr>
                      <w:rFonts w:hint="eastAsia" w:ascii="宋体" w:hAnsi="宋体" w:eastAsia="宋体" w:cs="宋体"/>
                      <w:sz w:val="18"/>
                      <w:szCs w:val="18"/>
                      <w:lang w:val="en-US" w:eastAsia="zh-CN"/>
                    </w:rPr>
                  </w:pPr>
                </w:p>
              </w:tc>
              <w:tc>
                <w:tcPr>
                  <w:tcW w:w="693" w:type="dxa"/>
                  <w:vMerge w:val="continue"/>
                  <w:vAlign w:val="center"/>
                </w:tcPr>
                <w:p w14:paraId="3AA85D7B">
                  <w:pPr>
                    <w:pStyle w:val="3"/>
                    <w:jc w:val="both"/>
                    <w:rPr>
                      <w:rFonts w:hint="eastAsia" w:ascii="宋体" w:hAnsi="宋体" w:eastAsia="宋体" w:cs="宋体"/>
                      <w:sz w:val="18"/>
                      <w:szCs w:val="18"/>
                      <w:lang w:val="en-US" w:eastAsia="zh-CN"/>
                    </w:rPr>
                  </w:pPr>
                </w:p>
              </w:tc>
            </w:tr>
            <w:tr w14:paraId="6CD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18221F17">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6D4450B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杂物架</w:t>
                  </w:r>
                </w:p>
              </w:tc>
              <w:tc>
                <w:tcPr>
                  <w:tcW w:w="724" w:type="dxa"/>
                  <w:tcBorders>
                    <w:top w:val="single" w:color="auto" w:sz="2" w:space="0"/>
                  </w:tcBorders>
                  <w:vAlign w:val="center"/>
                </w:tcPr>
                <w:p w14:paraId="6E4F379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1个</w:t>
                  </w:r>
                </w:p>
              </w:tc>
              <w:tc>
                <w:tcPr>
                  <w:tcW w:w="700" w:type="dxa"/>
                  <w:vMerge w:val="continue"/>
                  <w:vAlign w:val="center"/>
                </w:tcPr>
                <w:p w14:paraId="3268B8EB">
                  <w:pPr>
                    <w:pStyle w:val="3"/>
                    <w:jc w:val="both"/>
                    <w:rPr>
                      <w:rFonts w:hint="eastAsia" w:ascii="宋体" w:hAnsi="宋体" w:eastAsia="宋体" w:cs="宋体"/>
                      <w:sz w:val="18"/>
                      <w:szCs w:val="18"/>
                      <w:lang w:val="en-US" w:eastAsia="zh-CN"/>
                    </w:rPr>
                  </w:pPr>
                </w:p>
              </w:tc>
              <w:tc>
                <w:tcPr>
                  <w:tcW w:w="700" w:type="dxa"/>
                  <w:vMerge w:val="continue"/>
                  <w:vAlign w:val="center"/>
                </w:tcPr>
                <w:p w14:paraId="535624C4">
                  <w:pPr>
                    <w:pStyle w:val="3"/>
                    <w:jc w:val="both"/>
                    <w:rPr>
                      <w:rFonts w:hint="eastAsia" w:ascii="宋体" w:hAnsi="宋体" w:eastAsia="宋体" w:cs="宋体"/>
                      <w:sz w:val="18"/>
                      <w:szCs w:val="18"/>
                      <w:lang w:val="en-US" w:eastAsia="zh-CN"/>
                    </w:rPr>
                  </w:pPr>
                </w:p>
              </w:tc>
              <w:tc>
                <w:tcPr>
                  <w:tcW w:w="693" w:type="dxa"/>
                  <w:vMerge w:val="continue"/>
                  <w:vAlign w:val="center"/>
                </w:tcPr>
                <w:p w14:paraId="34AECAA8">
                  <w:pPr>
                    <w:pStyle w:val="3"/>
                    <w:jc w:val="both"/>
                    <w:rPr>
                      <w:rFonts w:hint="eastAsia" w:ascii="宋体" w:hAnsi="宋体" w:eastAsia="宋体" w:cs="宋体"/>
                      <w:sz w:val="18"/>
                      <w:szCs w:val="18"/>
                      <w:lang w:val="en-US" w:eastAsia="zh-CN"/>
                    </w:rPr>
                  </w:pPr>
                </w:p>
              </w:tc>
            </w:tr>
            <w:tr w14:paraId="001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5DD99017">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21E8075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引流挂勾</w:t>
                  </w:r>
                </w:p>
              </w:tc>
              <w:tc>
                <w:tcPr>
                  <w:tcW w:w="724" w:type="dxa"/>
                  <w:tcBorders>
                    <w:top w:val="single" w:color="auto" w:sz="2" w:space="0"/>
                  </w:tcBorders>
                  <w:vAlign w:val="center"/>
                </w:tcPr>
                <w:p w14:paraId="28F01FB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4个</w:t>
                  </w:r>
                </w:p>
              </w:tc>
              <w:tc>
                <w:tcPr>
                  <w:tcW w:w="700" w:type="dxa"/>
                  <w:vMerge w:val="continue"/>
                  <w:vAlign w:val="center"/>
                </w:tcPr>
                <w:p w14:paraId="7CEAA769">
                  <w:pPr>
                    <w:pStyle w:val="3"/>
                    <w:jc w:val="both"/>
                    <w:rPr>
                      <w:rFonts w:hint="eastAsia" w:ascii="宋体" w:hAnsi="宋体" w:eastAsia="宋体" w:cs="宋体"/>
                      <w:sz w:val="18"/>
                      <w:szCs w:val="18"/>
                      <w:lang w:val="en-US" w:eastAsia="zh-CN"/>
                    </w:rPr>
                  </w:pPr>
                </w:p>
              </w:tc>
              <w:tc>
                <w:tcPr>
                  <w:tcW w:w="700" w:type="dxa"/>
                  <w:vMerge w:val="continue"/>
                  <w:vAlign w:val="center"/>
                </w:tcPr>
                <w:p w14:paraId="4FD3A2A4">
                  <w:pPr>
                    <w:pStyle w:val="3"/>
                    <w:jc w:val="both"/>
                    <w:rPr>
                      <w:rFonts w:hint="eastAsia" w:ascii="宋体" w:hAnsi="宋体" w:eastAsia="宋体" w:cs="宋体"/>
                      <w:sz w:val="18"/>
                      <w:szCs w:val="18"/>
                      <w:lang w:val="en-US" w:eastAsia="zh-CN"/>
                    </w:rPr>
                  </w:pPr>
                </w:p>
              </w:tc>
              <w:tc>
                <w:tcPr>
                  <w:tcW w:w="693" w:type="dxa"/>
                  <w:vMerge w:val="continue"/>
                  <w:vAlign w:val="center"/>
                </w:tcPr>
                <w:p w14:paraId="2C381E5E">
                  <w:pPr>
                    <w:pStyle w:val="3"/>
                    <w:jc w:val="both"/>
                    <w:rPr>
                      <w:rFonts w:hint="eastAsia" w:ascii="宋体" w:hAnsi="宋体" w:eastAsia="宋体" w:cs="宋体"/>
                      <w:sz w:val="18"/>
                      <w:szCs w:val="18"/>
                      <w:lang w:val="en-US" w:eastAsia="zh-CN"/>
                    </w:rPr>
                  </w:pPr>
                </w:p>
              </w:tc>
            </w:tr>
            <w:tr w14:paraId="4415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Merge w:val="continue"/>
                  <w:vAlign w:val="center"/>
                </w:tcPr>
                <w:p w14:paraId="659D7A21">
                  <w:pPr>
                    <w:pStyle w:val="3"/>
                    <w:jc w:val="both"/>
                    <w:rPr>
                      <w:rFonts w:hint="eastAsia" w:ascii="宋体" w:hAnsi="宋体" w:eastAsia="宋体" w:cs="宋体"/>
                      <w:sz w:val="18"/>
                      <w:szCs w:val="18"/>
                      <w:lang w:val="en-US" w:eastAsia="zh-CN"/>
                    </w:rPr>
                  </w:pPr>
                </w:p>
              </w:tc>
              <w:tc>
                <w:tcPr>
                  <w:tcW w:w="1261" w:type="dxa"/>
                  <w:tcBorders>
                    <w:top w:val="single" w:color="auto" w:sz="2" w:space="0"/>
                  </w:tcBorders>
                  <w:vAlign w:val="center"/>
                </w:tcPr>
                <w:p w14:paraId="3048024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床头卡</w:t>
                  </w:r>
                </w:p>
              </w:tc>
              <w:tc>
                <w:tcPr>
                  <w:tcW w:w="724" w:type="dxa"/>
                  <w:tcBorders>
                    <w:top w:val="single" w:color="auto" w:sz="2" w:space="0"/>
                  </w:tcBorders>
                  <w:vAlign w:val="center"/>
                </w:tcPr>
                <w:p w14:paraId="7C46E37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1个</w:t>
                  </w:r>
                </w:p>
              </w:tc>
              <w:tc>
                <w:tcPr>
                  <w:tcW w:w="700" w:type="dxa"/>
                  <w:vMerge w:val="continue"/>
                  <w:vAlign w:val="center"/>
                </w:tcPr>
                <w:p w14:paraId="1A432674">
                  <w:pPr>
                    <w:pStyle w:val="3"/>
                    <w:jc w:val="both"/>
                    <w:rPr>
                      <w:rFonts w:hint="eastAsia" w:ascii="宋体" w:hAnsi="宋体" w:eastAsia="宋体" w:cs="宋体"/>
                      <w:sz w:val="18"/>
                      <w:szCs w:val="18"/>
                      <w:lang w:val="en-US" w:eastAsia="zh-CN"/>
                    </w:rPr>
                  </w:pPr>
                </w:p>
              </w:tc>
              <w:tc>
                <w:tcPr>
                  <w:tcW w:w="700" w:type="dxa"/>
                  <w:vMerge w:val="continue"/>
                  <w:vAlign w:val="center"/>
                </w:tcPr>
                <w:p w14:paraId="6478105A">
                  <w:pPr>
                    <w:pStyle w:val="3"/>
                    <w:jc w:val="both"/>
                    <w:rPr>
                      <w:rFonts w:hint="eastAsia" w:ascii="宋体" w:hAnsi="宋体" w:eastAsia="宋体" w:cs="宋体"/>
                      <w:sz w:val="18"/>
                      <w:szCs w:val="18"/>
                      <w:lang w:val="en-US" w:eastAsia="zh-CN"/>
                    </w:rPr>
                  </w:pPr>
                </w:p>
              </w:tc>
              <w:tc>
                <w:tcPr>
                  <w:tcW w:w="693" w:type="dxa"/>
                  <w:vMerge w:val="continue"/>
                  <w:vAlign w:val="center"/>
                </w:tcPr>
                <w:p w14:paraId="66AD7A2B">
                  <w:pPr>
                    <w:pStyle w:val="3"/>
                    <w:jc w:val="both"/>
                    <w:rPr>
                      <w:rFonts w:hint="eastAsia" w:ascii="宋体" w:hAnsi="宋体" w:eastAsia="宋体" w:cs="宋体"/>
                      <w:sz w:val="18"/>
                      <w:szCs w:val="18"/>
                      <w:lang w:val="en-US" w:eastAsia="zh-CN"/>
                    </w:rPr>
                  </w:pPr>
                </w:p>
              </w:tc>
            </w:tr>
            <w:tr w14:paraId="031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0" w:hRule="atLeast"/>
                <w:jc w:val="center"/>
              </w:trPr>
              <w:tc>
                <w:tcPr>
                  <w:tcW w:w="840" w:type="dxa"/>
                  <w:vAlign w:val="center"/>
                </w:tcPr>
                <w:p w14:paraId="6391C27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床垫</w:t>
                  </w:r>
                </w:p>
              </w:tc>
              <w:tc>
                <w:tcPr>
                  <w:tcW w:w="1261" w:type="dxa"/>
                  <w:tcBorders>
                    <w:top w:val="single" w:color="auto" w:sz="2" w:space="0"/>
                    <w:bottom w:val="single" w:color="auto" w:sz="2" w:space="0"/>
                  </w:tcBorders>
                  <w:shd w:val="clear" w:color="auto" w:fill="auto"/>
                  <w:vAlign w:val="center"/>
                </w:tcPr>
                <w:p w14:paraId="489EFD6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配套床垫</w:t>
                  </w:r>
                </w:p>
              </w:tc>
              <w:tc>
                <w:tcPr>
                  <w:tcW w:w="724" w:type="dxa"/>
                  <w:tcBorders>
                    <w:top w:val="single" w:color="auto" w:sz="2" w:space="0"/>
                    <w:bottom w:val="single" w:color="auto" w:sz="2" w:space="0"/>
                  </w:tcBorders>
                  <w:vAlign w:val="center"/>
                </w:tcPr>
                <w:p w14:paraId="00CA680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1张</w:t>
                  </w:r>
                </w:p>
              </w:tc>
              <w:tc>
                <w:tcPr>
                  <w:tcW w:w="700" w:type="dxa"/>
                  <w:vAlign w:val="center"/>
                </w:tcPr>
                <w:p w14:paraId="25C352F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30张</w:t>
                  </w:r>
                </w:p>
              </w:tc>
              <w:tc>
                <w:tcPr>
                  <w:tcW w:w="700" w:type="dxa"/>
                  <w:vAlign w:val="center"/>
                </w:tcPr>
                <w:p w14:paraId="150669A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208</w:t>
                  </w:r>
                </w:p>
              </w:tc>
              <w:tc>
                <w:tcPr>
                  <w:tcW w:w="693" w:type="dxa"/>
                  <w:vAlign w:val="center"/>
                </w:tcPr>
                <w:p w14:paraId="2A262EF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否</w:t>
                  </w:r>
                </w:p>
              </w:tc>
            </w:tr>
          </w:tbl>
          <w:p w14:paraId="54A1A47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病床规格（mm）：≥2150*900*480。</w:t>
            </w:r>
          </w:p>
          <w:p w14:paraId="63726A1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 调节高度：背部调节高度：0°～80°（允许偏差±5°），腿部调节高度：0°～40°（允许偏差±5°）。</w:t>
            </w:r>
          </w:p>
          <w:p w14:paraId="6FE3991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 床体承重：可载重≥240kg；背板动态载重≥150kg。</w:t>
            </w:r>
          </w:p>
          <w:p w14:paraId="646DCD5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病床床框</w:t>
            </w:r>
          </w:p>
          <w:p w14:paraId="0711281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采用30×60≥1.5mm（投标文件中提供第三方检测机构出具床体方管材质检测证明复印件）矩形碳素钢管焊接。</w:t>
            </w:r>
          </w:p>
          <w:p w14:paraId="2E49FFD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背部床板</w:t>
            </w:r>
          </w:p>
          <w:p w14:paraId="032047F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（1）采用双支撑卸力结构，835mm*Φ32mm*2.5mm无缝钢管。</w:t>
            </w:r>
          </w:p>
          <w:p w14:paraId="6477430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（2）双支撑材料规格：240mm*51mm*2mm。（投标文件中提供第三方检测机构出具护理床动力臂检测证明复印件）</w:t>
            </w:r>
          </w:p>
          <w:p w14:paraId="108774A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（3）一体冲压成型并具有加强筋功能背部具有手提式易清洁装置。</w:t>
            </w:r>
          </w:p>
          <w:p w14:paraId="38D5E78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病床面板</w:t>
            </w:r>
          </w:p>
          <w:p w14:paraId="184C876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采用≥1.2mm（投标文件中提供第三方检测机构出具护理床面板检测证明复印件）冷轧钢材自动锟压设备辊压成型，一次冲孔辊压成型，每段面板两边自带辊压加强筋，两头用ABS工程塑料封边，自锁加拉铆固定，每段承重≥80KG，≥10段组成，段与段之间留有间隙槽。</w:t>
            </w:r>
          </w:p>
          <w:p w14:paraId="3A7BB75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 涂层技术</w:t>
            </w:r>
          </w:p>
          <w:p w14:paraId="334A6A3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（1）金属表面采用自有喷涂线双重涂层技术：环氧树脂保护膜＋树脂粉末涂层。</w:t>
            </w:r>
          </w:p>
          <w:p w14:paraId="0616D10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（2）经电泳静电喷塑处理工艺。</w:t>
            </w:r>
          </w:p>
          <w:p w14:paraId="176B3BB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（3）涂层附着力≤1级。</w:t>
            </w:r>
          </w:p>
          <w:p w14:paraId="28FF619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（4）床体电泳底漆加粉末复式喷涂，内外全面喷涂。</w:t>
            </w:r>
          </w:p>
          <w:p w14:paraId="2203003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（5）喷涂表面光洁，无露底、脱落、气泡、防霉耐褪色、涂层不脱落，不生锈。（投标文件中提供第三方检测机构出具环保喷塑涂层检测报告复印件）</w:t>
            </w:r>
          </w:p>
          <w:p w14:paraId="472CAB2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8. 摇杆系统</w:t>
            </w:r>
          </w:p>
          <w:p w14:paraId="65C44D7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（1）摇杆为含油带极限位置双向保护螺杆。</w:t>
            </w:r>
          </w:p>
          <w:p w14:paraId="3448D31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（2）采用质量合格的钢管加ABS强化塑料材料，具有高支撑力。</w:t>
            </w:r>
          </w:p>
          <w:p w14:paraId="5F1C8BA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（3）每支摇杆可通过独立承重≥700kg的测试。（投标文件中提供第三方检测机构出具护理床摇杆承重检测报告复印件）</w:t>
            </w:r>
          </w:p>
          <w:p w14:paraId="480E6F5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9. 床头尾板</w:t>
            </w:r>
          </w:p>
          <w:p w14:paraId="5FE2A9D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（1）采用弧线形设计，高密度HDPE工程塑料一次成型（投标文件中提供第三方检测机构出具护理床床头尾板检测报告复印件）。</w:t>
            </w:r>
          </w:p>
          <w:p w14:paraId="2596AA8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（2）内嵌滚式防撞轮。</w:t>
            </w:r>
          </w:p>
          <w:p w14:paraId="16E9A86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（3）床头尾板高500mm-520 mm，宽900 mm-1010mm，采用HDPE或同等性能工程塑料一体成型，中间装饰板为ABS材质。</w:t>
            </w:r>
          </w:p>
          <w:p w14:paraId="1C5BDF8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（4）内锁结构非胶水连接，颜色可根据采购人要求调色，可粘贴卡通图片。</w:t>
            </w:r>
          </w:p>
          <w:p w14:paraId="530F603C">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（5）有日式床头尾板挂耳装置，可兼作CPR功能，具备开关自动锁定装置（投标文件中提供床头板自动锁定相关证明复印件），快速拆卸，满足临床急救需求。</w:t>
            </w:r>
          </w:p>
          <w:p w14:paraId="2FB0CCD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（6）床头尾板应结构坚固、耐用，具有良好的防撞性能。</w:t>
            </w:r>
          </w:p>
          <w:p w14:paraId="2442A49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10. 床边护栏系统</w:t>
            </w:r>
          </w:p>
          <w:p w14:paraId="47F42A3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（1）床边护栏采用铝合金扶手磷化电泳硬化处理。</w:t>
            </w:r>
          </w:p>
          <w:p w14:paraId="58674D4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（2）护栏长≥1470mm，高≥405mm。</w:t>
            </w:r>
          </w:p>
          <w:p w14:paraId="09DCE0E8">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（3）护栏前后横向拉力≥80kg，并加设极限保险装置，加厚型开关上下座为全锌合金材质。</w:t>
            </w:r>
          </w:p>
          <w:p w14:paraId="40F8994A">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（4）锌合金开关厚度≥2.5mm。</w:t>
            </w:r>
          </w:p>
          <w:p w14:paraId="692F9C7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（5）护栏采用“Φ”字加强型不锈钢支柱，直径≥Φ19×1.2mm。</w:t>
            </w:r>
          </w:p>
          <w:p w14:paraId="3E25C45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（6）具备卧式C型加强防晃装置，配以冷轧钢板护栏下座，厚度≥3.5mm。</w:t>
            </w:r>
          </w:p>
          <w:p w14:paraId="21D889D4">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（7）防夹手设计，可根据病人需要做升降调。（投标文件中提供第三方检测机构出具床边护栏检测报告复印件）</w:t>
            </w:r>
          </w:p>
          <w:p w14:paraId="38DC4E45">
            <w:pPr>
              <w:pStyle w:val="3"/>
              <w:jc w:val="both"/>
              <w:rPr>
                <w:rFonts w:hint="eastAsia" w:ascii="宋体" w:hAnsi="宋体" w:eastAsia="宋体" w:cs="宋体"/>
                <w:sz w:val="18"/>
                <w:szCs w:val="18"/>
                <w:lang w:val="en-US" w:eastAsia="zh-CN"/>
              </w:rPr>
            </w:pPr>
            <w:bookmarkStart w:id="0" w:name="_Hlk61935963"/>
            <w:r>
              <w:rPr>
                <w:rFonts w:hint="eastAsia" w:ascii="宋体" w:hAnsi="宋体" w:eastAsia="宋体" w:cs="宋体"/>
                <w:sz w:val="18"/>
                <w:szCs w:val="18"/>
                <w:lang w:val="en-US" w:eastAsia="zh-CN"/>
              </w:rPr>
              <w:t>11. 脚轮</w:t>
            </w:r>
          </w:p>
          <w:p w14:paraId="09C82F1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（1）采用质量合格的中控脚轮。</w:t>
            </w:r>
          </w:p>
          <w:p w14:paraId="2815FF5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（2）全封闭自润滑轴承，防水。</w:t>
            </w:r>
          </w:p>
          <w:p w14:paraId="395938D2">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（3）具备ABS防震安装结构，轮面采用TPR耐磨材料。</w:t>
            </w:r>
          </w:p>
          <w:p w14:paraId="5827F763">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（4）铅含量≤0.1%，镉含量≤0.1%，六价铬含量≤0.1%，汞含量≤0.1%，多溴联苯类≤0.1%，多溴二苯醚类≤0.1%。（投标文件中提供第三方检测机构出具脚轮检测报告复印件）</w:t>
            </w:r>
          </w:p>
          <w:p w14:paraId="61A216A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（5）中控刹车系统具有一键式刹车开关功能。</w:t>
            </w:r>
          </w:p>
          <w:p w14:paraId="066E0FF1">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（6）刹车装置镶有锁定开关功能提示键，颜色红绿区分。</w:t>
            </w:r>
          </w:p>
          <w:bookmarkEnd w:id="0"/>
          <w:p w14:paraId="4D3F4F1E">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12. 病床摇手</w:t>
            </w:r>
          </w:p>
          <w:p w14:paraId="1EC0761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（1）采用ABS工程塑料含件注塑成型。</w:t>
            </w:r>
          </w:p>
          <w:p w14:paraId="2A7D9D27">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（2）摇手开关采用POM耐磨材料。</w:t>
            </w:r>
          </w:p>
          <w:p w14:paraId="2D8FD76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（3）摇手柄长90mm（允许偏差±5mm），操作半径180mm（允许偏差±5mm）。</w:t>
            </w:r>
          </w:p>
          <w:p w14:paraId="4BCB219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（4）ABS手摇柄伸缩隐藏式拉杆系统，隐藏时跟床尾板平齐。</w:t>
            </w:r>
          </w:p>
          <w:p w14:paraId="7FBF8AE6">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13. 滴架插座</w:t>
            </w:r>
          </w:p>
          <w:p w14:paraId="03B43A8F">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具备六个点滴架插座，孔径≥19mm，由金属材质冲压成型，固定焊接插入。</w:t>
            </w:r>
          </w:p>
          <w:p w14:paraId="403719BB">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14. 输液架</w:t>
            </w:r>
          </w:p>
          <w:p w14:paraId="2EFD9EF0">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（1）带限位旋转功能输液架。</w:t>
            </w:r>
          </w:p>
          <w:p w14:paraId="727923E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（2）不锈钢双段式点滴架，直径≥19mm，前端Φ16*60mm椭形缩口，紧密配合不晃动。</w:t>
            </w:r>
          </w:p>
          <w:p w14:paraId="30B58F65">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涂料要求：属于绿色健康环保产品，采用抗菌粉末涂料，该涂料对大肠杆菌抗菌活性值为＞6.0，对金黄色葡萄球菌的抗菌活性值＞4.5，对微生物大肠菌和金黄色葡萄球菌具有很强的抗菌作用，抗菌率＞99.9%。通过省级微生物检测分析报告。（投标文件中提供第三方检测机构出具微生物检测报告复印件）</w:t>
            </w:r>
          </w:p>
          <w:p w14:paraId="3D6ED87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（4）体系认证：投标产品制造商应通过有效的质量管理体系认证（如ISO 9001或ISO 13485），认证范围涵盖医疗器械或所投同类产品。（投标文件中提供认证证书复印件）</w:t>
            </w:r>
          </w:p>
          <w:p w14:paraId="2D74D08D">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15. 配套床垫</w:t>
            </w:r>
          </w:p>
          <w:p w14:paraId="7ECE6E59">
            <w:pPr>
              <w:pStyle w:val="3"/>
              <w:jc w:val="both"/>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（1）材质：采用60mm高密度海绵+20mm天然机压环保椰棕+防水布套。</w:t>
            </w:r>
          </w:p>
          <w:p w14:paraId="0D42749C">
            <w:pPr>
              <w:pStyle w:val="3"/>
              <w:jc w:val="both"/>
              <w:rPr>
                <w:rFonts w:hint="default"/>
                <w:sz w:val="20"/>
                <w:szCs w:val="20"/>
                <w:lang w:val="en-US" w:eastAsia="zh-CN"/>
              </w:rPr>
            </w:pPr>
            <w:r>
              <w:rPr>
                <w:rFonts w:hint="eastAsia" w:ascii="宋体" w:hAnsi="宋体" w:eastAsia="宋体" w:cs="宋体"/>
                <w:sz w:val="18"/>
                <w:szCs w:val="18"/>
                <w:lang w:val="en-US" w:eastAsia="zh-CN"/>
              </w:rPr>
              <w:t>（2）外套：采用防水布，经高温水消毒，防虫处理，防止变形，具有透气、透湿、防霉、耐磨作用，带拉链可灵活拆卸，多折。（投标文件中提供第三方检测机构出具床垫阻燃检测报告复印件、甲醛含量测试报告复印件，提供省级及以上质量技术监督局认定的具有CMA资质检验检测机构出具的床垫防水性能测试报告复印件）</w:t>
            </w:r>
          </w:p>
        </w:tc>
        <w:tc>
          <w:tcPr>
            <w:tcW w:w="1290" w:type="dxa"/>
            <w:vAlign w:val="center"/>
          </w:tcPr>
          <w:p w14:paraId="193D8761">
            <w:pPr>
              <w:pStyle w:val="12"/>
              <w:jc w:val="both"/>
              <w:rPr>
                <w:rFonts w:ascii="宋体" w:hAnsi="宋体" w:eastAsia="宋体" w:cs="宋体"/>
                <w:lang w:eastAsia="zh-CN"/>
              </w:rPr>
            </w:pPr>
          </w:p>
        </w:tc>
        <w:tc>
          <w:tcPr>
            <w:tcW w:w="1215" w:type="dxa"/>
            <w:vAlign w:val="center"/>
          </w:tcPr>
          <w:p w14:paraId="091A4CD4">
            <w:pPr>
              <w:pStyle w:val="12"/>
              <w:jc w:val="both"/>
              <w:rPr>
                <w:rFonts w:ascii="宋体" w:hAnsi="宋体" w:eastAsia="宋体" w:cs="宋体"/>
                <w:lang w:eastAsia="zh-CN"/>
              </w:rPr>
            </w:pPr>
          </w:p>
        </w:tc>
        <w:tc>
          <w:tcPr>
            <w:tcW w:w="1110" w:type="dxa"/>
            <w:vAlign w:val="center"/>
          </w:tcPr>
          <w:p w14:paraId="2EE7FAE4">
            <w:pPr>
              <w:pStyle w:val="12"/>
              <w:jc w:val="both"/>
              <w:rPr>
                <w:rFonts w:ascii="宋体" w:hAnsi="宋体" w:eastAsia="宋体" w:cs="宋体"/>
                <w:lang w:eastAsia="zh-CN"/>
              </w:rPr>
            </w:pPr>
          </w:p>
        </w:tc>
      </w:tr>
      <w:tr w14:paraId="28540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948" w:hRule="atLeast"/>
        </w:trPr>
        <w:tc>
          <w:tcPr>
            <w:tcW w:w="765" w:type="dxa"/>
            <w:vAlign w:val="center"/>
          </w:tcPr>
          <w:p w14:paraId="7F4016B6">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5</w:t>
            </w:r>
          </w:p>
        </w:tc>
        <w:tc>
          <w:tcPr>
            <w:tcW w:w="5280" w:type="dxa"/>
            <w:vAlign w:val="center"/>
          </w:tcPr>
          <w:p w14:paraId="07DD3FEF">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五、</w:t>
            </w:r>
            <w:r>
              <w:rPr>
                <w:rFonts w:hint="eastAsia" w:ascii="宋体" w:hAnsi="宋体" w:eastAsia="宋体" w:cs="宋体"/>
                <w:sz w:val="18"/>
                <w:szCs w:val="18"/>
                <w:lang w:eastAsia="zh-CN"/>
              </w:rPr>
              <w:t>商务要求：</w:t>
            </w:r>
          </w:p>
          <w:p w14:paraId="27F386A5">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交货及安装、验收要求</w:t>
            </w:r>
          </w:p>
          <w:p w14:paraId="0A2E3325">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交货地点：采购人指定地点（</w:t>
            </w:r>
            <w:r>
              <w:rPr>
                <w:rFonts w:hint="eastAsia" w:ascii="宋体" w:hAnsi="宋体" w:eastAsia="宋体" w:cs="宋体"/>
                <w:sz w:val="18"/>
                <w:szCs w:val="18"/>
                <w:lang w:val="en-US" w:eastAsia="zh-CN"/>
              </w:rPr>
              <w:t>各科室内</w:t>
            </w:r>
            <w:r>
              <w:rPr>
                <w:rFonts w:hint="eastAsia" w:ascii="宋体" w:hAnsi="宋体" w:eastAsia="宋体" w:cs="宋体"/>
                <w:sz w:val="18"/>
                <w:szCs w:val="18"/>
                <w:lang w:eastAsia="zh-CN"/>
              </w:rPr>
              <w:t>）。</w:t>
            </w:r>
          </w:p>
          <w:p w14:paraId="71EC77A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交货期：中标供应商应当在中标通知书发出之日起30日内按招标文件及中标人的投标文件确定的事项与采购人签订合同，签订合同后</w:t>
            </w:r>
            <w:r>
              <w:rPr>
                <w:rFonts w:hint="eastAsia" w:ascii="宋体" w:hAnsi="宋体" w:eastAsia="宋体" w:cs="宋体"/>
                <w:sz w:val="18"/>
                <w:szCs w:val="18"/>
                <w:lang w:val="en-US" w:eastAsia="zh-CN"/>
              </w:rPr>
              <w:t>收到采购人通知后</w:t>
            </w:r>
            <w:r>
              <w:rPr>
                <w:rFonts w:hint="eastAsia" w:ascii="宋体" w:hAnsi="宋体" w:eastAsia="宋体" w:cs="宋体"/>
                <w:sz w:val="18"/>
                <w:szCs w:val="18"/>
                <w:lang w:eastAsia="zh-CN"/>
              </w:rPr>
              <w:t xml:space="preserve"> </w:t>
            </w:r>
            <w:r>
              <w:rPr>
                <w:rFonts w:hint="eastAsia" w:ascii="宋体" w:hAnsi="宋体" w:eastAsia="宋体" w:cs="宋体"/>
                <w:sz w:val="18"/>
                <w:szCs w:val="18"/>
                <w:lang w:val="en-US" w:eastAsia="zh-CN"/>
              </w:rPr>
              <w:t>15</w:t>
            </w:r>
            <w:r>
              <w:rPr>
                <w:rFonts w:hint="eastAsia" w:ascii="宋体" w:hAnsi="宋体" w:eastAsia="宋体" w:cs="宋体"/>
                <w:sz w:val="18"/>
                <w:szCs w:val="18"/>
                <w:lang w:eastAsia="zh-CN"/>
              </w:rPr>
              <w:t xml:space="preserve"> 日内完成设备的</w:t>
            </w:r>
            <w:r>
              <w:rPr>
                <w:rFonts w:hint="eastAsia" w:ascii="宋体" w:hAnsi="宋体" w:eastAsia="宋体" w:cs="宋体"/>
                <w:sz w:val="18"/>
                <w:szCs w:val="18"/>
                <w:lang w:val="en-US" w:eastAsia="zh-CN"/>
              </w:rPr>
              <w:t>送货、</w:t>
            </w:r>
            <w:r>
              <w:rPr>
                <w:rFonts w:hint="eastAsia" w:ascii="宋体" w:hAnsi="宋体" w:eastAsia="宋体" w:cs="宋体"/>
                <w:sz w:val="18"/>
                <w:szCs w:val="18"/>
                <w:lang w:eastAsia="zh-CN"/>
              </w:rPr>
              <w:t>安装</w:t>
            </w:r>
            <w:r>
              <w:rPr>
                <w:rFonts w:hint="eastAsia" w:ascii="宋体" w:hAnsi="宋体" w:eastAsia="宋体" w:cs="宋体"/>
                <w:sz w:val="18"/>
                <w:szCs w:val="18"/>
                <w:lang w:val="en-US" w:eastAsia="zh-CN"/>
              </w:rPr>
              <w:t>及</w:t>
            </w:r>
            <w:r>
              <w:rPr>
                <w:rFonts w:hint="eastAsia" w:ascii="宋体" w:hAnsi="宋体" w:eastAsia="宋体" w:cs="宋体"/>
                <w:sz w:val="18"/>
                <w:szCs w:val="18"/>
                <w:lang w:eastAsia="zh-CN"/>
              </w:rPr>
              <w:t>调试。</w:t>
            </w:r>
          </w:p>
          <w:p w14:paraId="59339137">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中标供应商须保证中标后所提供的设备为原装、全新合格的产品。</w:t>
            </w:r>
          </w:p>
          <w:p w14:paraId="1384B446">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中标供应商负责派技术人员到现场进行安装调试，直至验收合格，安装调试所需费用应包含在响应总报价内；同时提供培训服务，必须保证需求科室操作人员融会贯通，培训所需费用全部包含在总报价内。</w:t>
            </w:r>
          </w:p>
          <w:p w14:paraId="5BCF074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1.5</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验收方式：按《小榄镇镇属医院医疗项目采购和验收管理规定》。</w:t>
            </w:r>
          </w:p>
          <w:p w14:paraId="553DE598">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1.6</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响应供应商须在投标文件中提供承诺函，该承诺函应包含但不限于以下内容：承诺在中标后，自中标公告发布之日起五个工作日内，提交由设备制造厂商开具并加盖公章的合法有效</w:t>
            </w:r>
            <w:r>
              <w:rPr>
                <w:rFonts w:hint="eastAsia" w:ascii="宋体" w:hAnsi="宋体" w:eastAsia="宋体" w:cs="宋体"/>
                <w:sz w:val="18"/>
                <w:szCs w:val="18"/>
                <w:lang w:val="en-US" w:eastAsia="zh-CN"/>
              </w:rPr>
              <w:t>经营资质、授权函原件（加盖公章）及售后服务承诺函原件（加盖公章）。</w:t>
            </w:r>
          </w:p>
          <w:p w14:paraId="35631C7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售后服务要求</w:t>
            </w:r>
          </w:p>
          <w:p w14:paraId="72CE5519">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中标供应商必须在中国境内有售后服务机构，并附有售后服务能力说明。</w:t>
            </w:r>
          </w:p>
          <w:p w14:paraId="03340332">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2.2</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中标供应商须提供设备原厂质保（设备原厂质量保修范围和保修期）：手动双摇病床和</w:t>
            </w:r>
            <w:r>
              <w:rPr>
                <w:rFonts w:hint="eastAsia" w:ascii="宋体" w:hAnsi="宋体" w:eastAsia="宋体" w:cs="宋体"/>
                <w:sz w:val="18"/>
                <w:szCs w:val="18"/>
                <w:lang w:val="en-US" w:eastAsia="zh-CN"/>
              </w:rPr>
              <w:t>床垫</w:t>
            </w:r>
            <w:r>
              <w:rPr>
                <w:rFonts w:hint="eastAsia" w:ascii="宋体" w:hAnsi="宋体" w:eastAsia="宋体" w:cs="宋体"/>
                <w:sz w:val="18"/>
                <w:szCs w:val="18"/>
                <w:lang w:eastAsia="zh-CN"/>
              </w:rPr>
              <w:t>至少</w:t>
            </w:r>
            <w:r>
              <w:rPr>
                <w:rFonts w:hint="eastAsia" w:ascii="宋体" w:hAnsi="宋体" w:eastAsia="宋体" w:cs="宋体"/>
                <w:sz w:val="18"/>
                <w:szCs w:val="18"/>
                <w:lang w:val="en-US" w:eastAsia="zh-CN"/>
              </w:rPr>
              <w:t xml:space="preserve"> 3</w:t>
            </w:r>
            <w:r>
              <w:rPr>
                <w:rFonts w:hint="eastAsia" w:ascii="宋体" w:hAnsi="宋体" w:eastAsia="宋体" w:cs="宋体"/>
                <w:sz w:val="18"/>
                <w:szCs w:val="18"/>
                <w:lang w:eastAsia="zh-CN"/>
              </w:rPr>
              <w:t>年。</w:t>
            </w:r>
          </w:p>
          <w:p w14:paraId="676C5B93">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在售后期内，中标供应商在接到用户的维修通知，响应时间为半小时内，工程师到达现场时间为4小时内，排除故障时限为到达现场后8小时内。</w:t>
            </w:r>
          </w:p>
          <w:p w14:paraId="1468AF86">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2.4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如果产品故障在检修12小时后仍无法排除，中标供应商应在24小时内提供不低于故障产品规格型号档次的备用产品供采购人使用，直至故障产品修复。</w:t>
            </w:r>
          </w:p>
          <w:p w14:paraId="0710BD34">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eastAsia="zh-CN"/>
              </w:rPr>
              <w:t>3.</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eastAsia="zh-CN"/>
              </w:rPr>
              <w:t>付款方式</w:t>
            </w:r>
          </w:p>
          <w:p w14:paraId="566D4990">
            <w:pPr>
              <w:widowControl w:val="0"/>
              <w:spacing w:line="240" w:lineRule="exact"/>
              <w:jc w:val="both"/>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3.1 </w:t>
            </w:r>
            <w:r>
              <w:rPr>
                <w:rFonts w:hint="eastAsia" w:ascii="宋体" w:hAnsi="宋体" w:eastAsia="宋体" w:cs="宋体"/>
                <w:sz w:val="18"/>
                <w:szCs w:val="18"/>
                <w:lang w:eastAsia="zh-CN"/>
              </w:rPr>
              <w:t>分两期支付。第一期：到货后经双方验收人员书面确认验收合格后，成交供应商开具全额有效增值税普通发票（含税），采购人</w:t>
            </w:r>
            <w:r>
              <w:rPr>
                <w:rFonts w:hint="eastAsia" w:ascii="宋体" w:hAnsi="宋体" w:eastAsia="宋体" w:cs="宋体"/>
                <w:sz w:val="18"/>
                <w:szCs w:val="18"/>
                <w:lang w:val="en-US" w:eastAsia="zh-CN"/>
              </w:rPr>
              <w:t>6个月内支</w:t>
            </w:r>
            <w:r>
              <w:rPr>
                <w:rFonts w:hint="eastAsia" w:ascii="宋体" w:hAnsi="宋体" w:eastAsia="宋体" w:cs="宋体"/>
                <w:sz w:val="18"/>
                <w:szCs w:val="18"/>
                <w:lang w:eastAsia="zh-CN"/>
              </w:rPr>
              <w:t>付合同总额的 95%；第二期：合同总金额的 5%的款项在货物验收合格质保期满后一次性无息支付。</w:t>
            </w:r>
          </w:p>
          <w:p w14:paraId="2CAB4CDC">
            <w:pPr>
              <w:widowControl w:val="0"/>
              <w:spacing w:line="240" w:lineRule="exact"/>
              <w:jc w:val="both"/>
              <w:rPr>
                <w:rFonts w:ascii="宋体" w:hAnsi="宋体" w:eastAsia="宋体" w:cs="宋体"/>
                <w:sz w:val="18"/>
                <w:szCs w:val="18"/>
                <w:lang w:eastAsia="zh-CN"/>
              </w:rPr>
            </w:pPr>
            <w:r>
              <w:rPr>
                <w:rFonts w:hint="eastAsia" w:ascii="宋体" w:hAnsi="宋体" w:eastAsia="宋体" w:cs="宋体"/>
                <w:sz w:val="18"/>
                <w:szCs w:val="18"/>
                <w:lang w:val="en-US" w:eastAsia="zh-CN"/>
              </w:rPr>
              <w:t xml:space="preserve">3.2 </w:t>
            </w:r>
            <w:r>
              <w:rPr>
                <w:rFonts w:hint="eastAsia" w:ascii="宋体" w:hAnsi="宋体" w:eastAsia="宋体" w:cs="宋体"/>
                <w:sz w:val="18"/>
                <w:szCs w:val="18"/>
                <w:lang w:eastAsia="zh-CN"/>
              </w:rPr>
              <w:t>成交供应商须开具与投标文件中报价人名称、响应报价一致的有效全额增值税</w:t>
            </w:r>
            <w:r>
              <w:rPr>
                <w:rFonts w:hint="eastAsia" w:ascii="宋体" w:hAnsi="宋体" w:eastAsia="宋体" w:cs="宋体"/>
                <w:sz w:val="18"/>
                <w:szCs w:val="18"/>
                <w:lang w:val="en-US" w:eastAsia="zh-CN"/>
              </w:rPr>
              <w:t>普通发票。</w:t>
            </w:r>
          </w:p>
        </w:tc>
        <w:tc>
          <w:tcPr>
            <w:tcW w:w="1290" w:type="dxa"/>
            <w:vAlign w:val="center"/>
          </w:tcPr>
          <w:p w14:paraId="400EB205">
            <w:pPr>
              <w:pStyle w:val="12"/>
              <w:jc w:val="both"/>
              <w:rPr>
                <w:rFonts w:ascii="宋体" w:hAnsi="宋体" w:eastAsia="宋体" w:cs="宋体"/>
                <w:lang w:eastAsia="zh-CN"/>
              </w:rPr>
            </w:pPr>
          </w:p>
        </w:tc>
        <w:tc>
          <w:tcPr>
            <w:tcW w:w="1215" w:type="dxa"/>
            <w:vAlign w:val="center"/>
          </w:tcPr>
          <w:p w14:paraId="4379F7B4">
            <w:pPr>
              <w:pStyle w:val="12"/>
              <w:jc w:val="both"/>
              <w:rPr>
                <w:rFonts w:ascii="宋体" w:hAnsi="宋体" w:eastAsia="宋体" w:cs="宋体"/>
                <w:lang w:eastAsia="zh-CN"/>
              </w:rPr>
            </w:pPr>
          </w:p>
        </w:tc>
        <w:tc>
          <w:tcPr>
            <w:tcW w:w="1110" w:type="dxa"/>
            <w:vAlign w:val="center"/>
          </w:tcPr>
          <w:p w14:paraId="0ACB41FD">
            <w:pPr>
              <w:pStyle w:val="12"/>
              <w:jc w:val="both"/>
              <w:rPr>
                <w:rFonts w:ascii="宋体" w:hAnsi="宋体" w:eastAsia="宋体" w:cs="宋体"/>
                <w:lang w:eastAsia="zh-CN"/>
              </w:rPr>
            </w:pPr>
          </w:p>
        </w:tc>
      </w:tr>
      <w:tr w14:paraId="152B4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659" w:hRule="atLeast"/>
        </w:trPr>
        <w:tc>
          <w:tcPr>
            <w:tcW w:w="765" w:type="dxa"/>
            <w:vAlign w:val="center"/>
          </w:tcPr>
          <w:p w14:paraId="5E6150C9">
            <w:pPr>
              <w:spacing w:before="65" w:line="270" w:lineRule="exact"/>
              <w:jc w:val="both"/>
              <w:rPr>
                <w:rFonts w:ascii="宋体" w:hAnsi="宋体" w:eastAsia="宋体" w:cs="宋体"/>
                <w:position w:val="1"/>
                <w:lang w:eastAsia="zh-CN"/>
              </w:rPr>
            </w:pPr>
            <w:r>
              <w:rPr>
                <w:rFonts w:hint="eastAsia" w:ascii="宋体" w:hAnsi="宋体" w:eastAsia="宋体" w:cs="宋体"/>
                <w:position w:val="1"/>
                <w:lang w:eastAsia="zh-CN"/>
              </w:rPr>
              <w:t>6</w:t>
            </w:r>
          </w:p>
        </w:tc>
        <w:tc>
          <w:tcPr>
            <w:tcW w:w="5280" w:type="dxa"/>
            <w:vAlign w:val="center"/>
          </w:tcPr>
          <w:p w14:paraId="2B81CA57">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六、报价方式</w:t>
            </w:r>
          </w:p>
          <w:p w14:paraId="032D94CE">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供应商应依据《技术参数及配置要求》中最高单价限价报出一个统一的响应下浮率，下浮率取值范围为0%（含）至50%（含），超出此范围的报价将被视为无效响应。</w:t>
            </w:r>
          </w:p>
          <w:p w14:paraId="0E661676">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结算公式：结算价格 = 单项最高单价限价×（1-成交下浮率）×实际采购数量，结果四</w:t>
            </w:r>
          </w:p>
          <w:p w14:paraId="1C62B120">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舍五入保留至小数点后两位。该单价为合同期间的最终价格，合同期内不随市场同类商品价格波动进行调整。</w:t>
            </w:r>
          </w:p>
          <w:p w14:paraId="4CCBC347">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4. 结算时以实际送货量为准。</w:t>
            </w:r>
          </w:p>
          <w:p w14:paraId="7E55569D">
            <w:pPr>
              <w:widowControl w:val="0"/>
              <w:spacing w:line="240" w:lineRule="exact"/>
              <w:jc w:val="both"/>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5. 报价次数：1次。</w:t>
            </w:r>
          </w:p>
        </w:tc>
        <w:tc>
          <w:tcPr>
            <w:tcW w:w="1290" w:type="dxa"/>
            <w:vAlign w:val="center"/>
          </w:tcPr>
          <w:p w14:paraId="0ECC2677">
            <w:pPr>
              <w:pStyle w:val="12"/>
              <w:jc w:val="both"/>
              <w:rPr>
                <w:rFonts w:ascii="宋体" w:hAnsi="宋体" w:eastAsia="宋体" w:cs="宋体"/>
                <w:lang w:eastAsia="zh-CN"/>
              </w:rPr>
            </w:pPr>
          </w:p>
        </w:tc>
        <w:tc>
          <w:tcPr>
            <w:tcW w:w="1215" w:type="dxa"/>
            <w:vAlign w:val="center"/>
          </w:tcPr>
          <w:p w14:paraId="79CBAC54">
            <w:pPr>
              <w:pStyle w:val="12"/>
              <w:jc w:val="both"/>
              <w:rPr>
                <w:rFonts w:ascii="宋体" w:hAnsi="宋体" w:eastAsia="宋体" w:cs="宋体"/>
                <w:lang w:eastAsia="zh-CN"/>
              </w:rPr>
            </w:pPr>
          </w:p>
        </w:tc>
        <w:tc>
          <w:tcPr>
            <w:tcW w:w="1110" w:type="dxa"/>
            <w:vAlign w:val="center"/>
          </w:tcPr>
          <w:p w14:paraId="7623F447">
            <w:pPr>
              <w:pStyle w:val="12"/>
              <w:jc w:val="both"/>
              <w:rPr>
                <w:rFonts w:ascii="宋体" w:hAnsi="宋体" w:eastAsia="宋体" w:cs="宋体"/>
                <w:lang w:eastAsia="zh-CN"/>
              </w:rPr>
            </w:pPr>
          </w:p>
        </w:tc>
      </w:tr>
      <w:tr w14:paraId="290DF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79" w:hRule="atLeast"/>
        </w:trPr>
        <w:tc>
          <w:tcPr>
            <w:tcW w:w="765" w:type="dxa"/>
            <w:vAlign w:val="center"/>
          </w:tcPr>
          <w:p w14:paraId="2A8B819C">
            <w:pPr>
              <w:spacing w:before="65" w:line="270" w:lineRule="exact"/>
              <w:jc w:val="both"/>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280" w:type="dxa"/>
            <w:vAlign w:val="center"/>
          </w:tcPr>
          <w:p w14:paraId="618F796A">
            <w:pPr>
              <w:widowControl w:val="0"/>
              <w:spacing w:line="240" w:lineRule="exact"/>
              <w:jc w:val="both"/>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七、评审方式</w:t>
            </w:r>
          </w:p>
          <w:p w14:paraId="140A8F52">
            <w:pPr>
              <w:widowControl w:val="0"/>
              <w:spacing w:line="240" w:lineRule="exact"/>
              <w:jc w:val="both"/>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本项目的评审采用最低价法（报价格式详见响应文件模板中（一）报价单），在符合项目需求的前提下，选取最低价格为拟中选供应商，如有两家或以上供应商相同报价时，以平台响应报名时间更早者为优先。</w:t>
            </w:r>
          </w:p>
        </w:tc>
        <w:tc>
          <w:tcPr>
            <w:tcW w:w="1290" w:type="dxa"/>
            <w:vAlign w:val="center"/>
          </w:tcPr>
          <w:p w14:paraId="3CC5F3B6">
            <w:pPr>
              <w:pStyle w:val="12"/>
              <w:jc w:val="both"/>
              <w:rPr>
                <w:rFonts w:ascii="宋体" w:hAnsi="宋体" w:eastAsia="宋体" w:cs="宋体"/>
                <w:lang w:eastAsia="zh-CN"/>
              </w:rPr>
            </w:pPr>
          </w:p>
        </w:tc>
        <w:tc>
          <w:tcPr>
            <w:tcW w:w="1215" w:type="dxa"/>
            <w:vAlign w:val="center"/>
          </w:tcPr>
          <w:p w14:paraId="3ECDB715">
            <w:pPr>
              <w:pStyle w:val="12"/>
              <w:jc w:val="both"/>
              <w:rPr>
                <w:rFonts w:ascii="宋体" w:hAnsi="宋体" w:eastAsia="宋体" w:cs="宋体"/>
                <w:lang w:eastAsia="zh-CN"/>
              </w:rPr>
            </w:pPr>
          </w:p>
        </w:tc>
        <w:tc>
          <w:tcPr>
            <w:tcW w:w="1110" w:type="dxa"/>
            <w:vAlign w:val="center"/>
          </w:tcPr>
          <w:p w14:paraId="25829840">
            <w:pPr>
              <w:pStyle w:val="12"/>
              <w:jc w:val="both"/>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四</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1"/>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2"/>
            </w:pPr>
          </w:p>
        </w:tc>
        <w:tc>
          <w:tcPr>
            <w:tcW w:w="1854" w:type="dxa"/>
          </w:tcPr>
          <w:p w14:paraId="43601105">
            <w:pPr>
              <w:pStyle w:val="12"/>
            </w:pPr>
          </w:p>
        </w:tc>
        <w:tc>
          <w:tcPr>
            <w:tcW w:w="1986" w:type="dxa"/>
          </w:tcPr>
          <w:p w14:paraId="6311272B">
            <w:pPr>
              <w:pStyle w:val="12"/>
            </w:pPr>
          </w:p>
        </w:tc>
        <w:tc>
          <w:tcPr>
            <w:tcW w:w="1722" w:type="dxa"/>
          </w:tcPr>
          <w:p w14:paraId="3768DC7F">
            <w:pPr>
              <w:pStyle w:val="12"/>
            </w:pPr>
          </w:p>
        </w:tc>
        <w:tc>
          <w:tcPr>
            <w:tcW w:w="1191" w:type="dxa"/>
          </w:tcPr>
          <w:p w14:paraId="2305DC57">
            <w:pPr>
              <w:pStyle w:val="12"/>
            </w:pPr>
          </w:p>
        </w:tc>
        <w:tc>
          <w:tcPr>
            <w:tcW w:w="1471" w:type="dxa"/>
            <w:tcBorders>
              <w:right w:val="single" w:color="000000" w:sz="2" w:space="0"/>
            </w:tcBorders>
          </w:tcPr>
          <w:p w14:paraId="1DC4DC5D">
            <w:pPr>
              <w:pStyle w:val="12"/>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2"/>
            </w:pPr>
          </w:p>
        </w:tc>
        <w:tc>
          <w:tcPr>
            <w:tcW w:w="1854" w:type="dxa"/>
          </w:tcPr>
          <w:p w14:paraId="26C3F9DC">
            <w:pPr>
              <w:pStyle w:val="12"/>
            </w:pPr>
          </w:p>
        </w:tc>
        <w:tc>
          <w:tcPr>
            <w:tcW w:w="1986" w:type="dxa"/>
          </w:tcPr>
          <w:p w14:paraId="0C8FC5A6">
            <w:pPr>
              <w:pStyle w:val="12"/>
            </w:pPr>
          </w:p>
        </w:tc>
        <w:tc>
          <w:tcPr>
            <w:tcW w:w="1722" w:type="dxa"/>
          </w:tcPr>
          <w:p w14:paraId="036176B2">
            <w:pPr>
              <w:pStyle w:val="12"/>
            </w:pPr>
          </w:p>
        </w:tc>
        <w:tc>
          <w:tcPr>
            <w:tcW w:w="1191" w:type="dxa"/>
          </w:tcPr>
          <w:p w14:paraId="69BDA775">
            <w:pPr>
              <w:pStyle w:val="12"/>
            </w:pPr>
          </w:p>
        </w:tc>
        <w:tc>
          <w:tcPr>
            <w:tcW w:w="1471" w:type="dxa"/>
            <w:tcBorders>
              <w:right w:val="single" w:color="000000" w:sz="2" w:space="0"/>
            </w:tcBorders>
          </w:tcPr>
          <w:p w14:paraId="74EE419A">
            <w:pPr>
              <w:pStyle w:val="12"/>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2"/>
            </w:pPr>
          </w:p>
        </w:tc>
        <w:tc>
          <w:tcPr>
            <w:tcW w:w="1854" w:type="dxa"/>
            <w:tcBorders>
              <w:bottom w:val="single" w:color="000000" w:sz="2" w:space="0"/>
            </w:tcBorders>
          </w:tcPr>
          <w:p w14:paraId="40B04108">
            <w:pPr>
              <w:pStyle w:val="12"/>
            </w:pPr>
          </w:p>
        </w:tc>
        <w:tc>
          <w:tcPr>
            <w:tcW w:w="1986" w:type="dxa"/>
            <w:tcBorders>
              <w:bottom w:val="single" w:color="000000" w:sz="2" w:space="0"/>
            </w:tcBorders>
          </w:tcPr>
          <w:p w14:paraId="4C40CFD8">
            <w:pPr>
              <w:pStyle w:val="12"/>
            </w:pPr>
          </w:p>
        </w:tc>
        <w:tc>
          <w:tcPr>
            <w:tcW w:w="1722" w:type="dxa"/>
            <w:tcBorders>
              <w:bottom w:val="single" w:color="000000" w:sz="2" w:space="0"/>
            </w:tcBorders>
          </w:tcPr>
          <w:p w14:paraId="4F595AE5">
            <w:pPr>
              <w:pStyle w:val="12"/>
            </w:pPr>
          </w:p>
        </w:tc>
        <w:tc>
          <w:tcPr>
            <w:tcW w:w="1191" w:type="dxa"/>
            <w:tcBorders>
              <w:bottom w:val="single" w:color="000000" w:sz="2" w:space="0"/>
            </w:tcBorders>
          </w:tcPr>
          <w:p w14:paraId="7692FA63">
            <w:pPr>
              <w:pStyle w:val="12"/>
            </w:pPr>
          </w:p>
        </w:tc>
        <w:tc>
          <w:tcPr>
            <w:tcW w:w="1471" w:type="dxa"/>
            <w:tcBorders>
              <w:bottom w:val="single" w:color="000000" w:sz="2" w:space="0"/>
              <w:right w:val="single" w:color="000000" w:sz="2" w:space="0"/>
            </w:tcBorders>
          </w:tcPr>
          <w:p w14:paraId="48AC055B">
            <w:pPr>
              <w:pStyle w:val="12"/>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21C9D04">
      <w:pPr>
        <w:spacing w:before="41" w:line="227" w:lineRule="auto"/>
        <w:rPr>
          <w:rFonts w:hint="eastAsia" w:ascii="宋体" w:hAnsi="宋体" w:eastAsia="宋体" w:cs="宋体"/>
          <w:b/>
          <w:bCs/>
          <w:spacing w:val="7"/>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承诺函（格式自拟，加盖公章），包括但不限于：①承诺在中标后，自中标公告发布之日起五个工作日内，提交由设备制造厂商开具并加盖公章的合法有效经营资质、授权函原件（加盖公章）及售后服务承诺函原件；②须承诺提供设备原厂质保（设备原厂质量保修范围和保修期）：手动双摇病床和床垫至少3年。</w:t>
      </w:r>
    </w:p>
    <w:p w14:paraId="71DCF03A">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包括但不限于：项目服务方案、技术服务方案、售后服务方案等。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6D0D903D">
      <w:pPr>
        <w:rPr>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sectPr>
      <w:pgSz w:w="11900" w:h="16840"/>
      <w:pgMar w:top="907" w:right="1247" w:bottom="907" w:left="124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0E95EB0"/>
    <w:rsid w:val="01E26336"/>
    <w:rsid w:val="05D250F6"/>
    <w:rsid w:val="06503EB0"/>
    <w:rsid w:val="06984FFC"/>
    <w:rsid w:val="07D772C8"/>
    <w:rsid w:val="07DE22A7"/>
    <w:rsid w:val="087E15BA"/>
    <w:rsid w:val="091F34DF"/>
    <w:rsid w:val="0A1B60BD"/>
    <w:rsid w:val="0A382368"/>
    <w:rsid w:val="0E881903"/>
    <w:rsid w:val="0E9C78E3"/>
    <w:rsid w:val="10526AE6"/>
    <w:rsid w:val="126C008B"/>
    <w:rsid w:val="13666B31"/>
    <w:rsid w:val="16DD5993"/>
    <w:rsid w:val="18C80C4B"/>
    <w:rsid w:val="19F43F2B"/>
    <w:rsid w:val="1E371C23"/>
    <w:rsid w:val="1E9D0594"/>
    <w:rsid w:val="1EA21FDF"/>
    <w:rsid w:val="1EDF5020"/>
    <w:rsid w:val="20607AD1"/>
    <w:rsid w:val="20BE2A44"/>
    <w:rsid w:val="22732647"/>
    <w:rsid w:val="22E457E0"/>
    <w:rsid w:val="231E7145"/>
    <w:rsid w:val="23487B36"/>
    <w:rsid w:val="2695736E"/>
    <w:rsid w:val="26B446CD"/>
    <w:rsid w:val="277D730D"/>
    <w:rsid w:val="281105FD"/>
    <w:rsid w:val="28580DF7"/>
    <w:rsid w:val="2DC70669"/>
    <w:rsid w:val="2F234D03"/>
    <w:rsid w:val="36073C0B"/>
    <w:rsid w:val="3B082DE1"/>
    <w:rsid w:val="3EB26D88"/>
    <w:rsid w:val="40671DCB"/>
    <w:rsid w:val="40C03509"/>
    <w:rsid w:val="433379C8"/>
    <w:rsid w:val="44365E73"/>
    <w:rsid w:val="45D45685"/>
    <w:rsid w:val="45DB6060"/>
    <w:rsid w:val="4A4831FA"/>
    <w:rsid w:val="4B5C6521"/>
    <w:rsid w:val="4C030C69"/>
    <w:rsid w:val="4CCB580D"/>
    <w:rsid w:val="50573AD2"/>
    <w:rsid w:val="5178029F"/>
    <w:rsid w:val="54B97F1A"/>
    <w:rsid w:val="556A1102"/>
    <w:rsid w:val="56D71548"/>
    <w:rsid w:val="5774562F"/>
    <w:rsid w:val="58514D81"/>
    <w:rsid w:val="58EC63BF"/>
    <w:rsid w:val="5E5E5F4E"/>
    <w:rsid w:val="71414F67"/>
    <w:rsid w:val="72507210"/>
    <w:rsid w:val="73052C46"/>
    <w:rsid w:val="73252077"/>
    <w:rsid w:val="7372318C"/>
    <w:rsid w:val="75E87F4B"/>
    <w:rsid w:val="790F76AC"/>
    <w:rsid w:val="7B1212E0"/>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3"/>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style>
  <w:style w:type="character" w:customStyle="1" w:styleId="13">
    <w:name w:val="正文文本缩进 2 Char"/>
    <w:link w:val="5"/>
    <w:autoRedefine/>
    <w:qFormat/>
    <w:uiPriority w:val="0"/>
    <w:rPr>
      <w:szCs w:val="20"/>
    </w:rPr>
  </w:style>
  <w:style w:type="character" w:customStyle="1" w:styleId="14">
    <w:name w:val="font11"/>
    <w:basedOn w:val="9"/>
    <w:autoRedefine/>
    <w:qFormat/>
    <w:uiPriority w:val="0"/>
    <w:rPr>
      <w:rFonts w:hint="eastAsia" w:ascii="宋体" w:hAnsi="宋体" w:eastAsia="宋体" w:cs="宋体"/>
      <w:color w:val="000000"/>
      <w:sz w:val="22"/>
      <w:szCs w:val="22"/>
      <w:u w:val="single"/>
    </w:rPr>
  </w:style>
  <w:style w:type="character" w:customStyle="1" w:styleId="15">
    <w:name w:val="font31"/>
    <w:basedOn w:val="9"/>
    <w:qFormat/>
    <w:uiPriority w:val="0"/>
    <w:rPr>
      <w:rFonts w:hint="eastAsia" w:ascii="宋体" w:hAnsi="宋体" w:eastAsia="宋体" w:cs="宋体"/>
      <w:color w:val="000000"/>
      <w:sz w:val="21"/>
      <w:szCs w:val="21"/>
      <w:u w:val="none"/>
    </w:rPr>
  </w:style>
  <w:style w:type="paragraph" w:styleId="16">
    <w:name w:val="List Paragraph"/>
    <w:basedOn w:val="1"/>
    <w:qFormat/>
    <w:uiPriority w:val="34"/>
    <w:pPr>
      <w:widowControl/>
      <w:ind w:firstLine="420" w:firstLineChars="200"/>
      <w:jc w:val="left"/>
    </w:pPr>
    <w:rPr>
      <w:kern w:val="0"/>
      <w:szCs w:val="20"/>
    </w:rPr>
  </w:style>
  <w:style w:type="paragraph" w:customStyle="1" w:styleId="17">
    <w:name w:val="图"/>
    <w:basedOn w:val="1"/>
    <w:qFormat/>
    <w:uiPriority w:val="0"/>
    <w:pPr>
      <w:keepNext/>
      <w:adjustRightInd w:val="0"/>
      <w:spacing w:before="60" w:after="60" w:line="300" w:lineRule="auto"/>
      <w:jc w:val="center"/>
      <w:textAlignment w:val="center"/>
    </w:pPr>
    <w:rPr>
      <w:snapToGrid w:val="0"/>
      <w:spacing w:val="2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7052</Words>
  <Characters>7480</Characters>
  <Lines>55</Lines>
  <Paragraphs>15</Paragraphs>
  <TotalTime>0</TotalTime>
  <ScaleCrop>false</ScaleCrop>
  <LinksUpToDate>false</LinksUpToDate>
  <CharactersWithSpaces>7931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2026-06-30T03:44:58Z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