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中山市东升医院2026-2028年度食堂经营和改造项目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3CA08C93">
      <w:pPr>
        <w:pStyle w:val="9"/>
      </w:pPr>
    </w:p>
    <w:tbl>
      <w:tblPr>
        <w:tblStyle w:val="10"/>
        <w:tblW w:w="99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2479"/>
        <w:gridCol w:w="2479"/>
        <w:gridCol w:w="2480"/>
        <w:gridCol w:w="2480"/>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24" w:hRule="atLeast"/>
          <w:jc w:val="center"/>
        </w:trPr>
        <w:tc>
          <w:tcPr>
            <w:tcW w:w="247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479" w:type="dxa"/>
            <w:vAlign w:val="center"/>
          </w:tcPr>
          <w:p w14:paraId="612F4846">
            <w:pPr>
              <w:spacing w:before="40" w:line="219" w:lineRule="auto"/>
              <w:jc w:val="center"/>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480" w:type="dxa"/>
            <w:vAlign w:val="center"/>
          </w:tcPr>
          <w:p w14:paraId="5C079DC0">
            <w:pPr>
              <w:spacing w:before="40" w:line="219" w:lineRule="auto"/>
              <w:jc w:val="center"/>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投资额报价</w:t>
            </w:r>
          </w:p>
          <w:p w14:paraId="587FE0B8">
            <w:pPr>
              <w:spacing w:before="40" w:line="219" w:lineRule="auto"/>
              <w:jc w:val="center"/>
              <w:rPr>
                <w:rFonts w:hint="default"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（元）</w:t>
            </w:r>
          </w:p>
        </w:tc>
        <w:tc>
          <w:tcPr>
            <w:tcW w:w="2480"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253" w:hRule="atLeast"/>
          <w:jc w:val="center"/>
        </w:trPr>
        <w:tc>
          <w:tcPr>
            <w:tcW w:w="247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中山市东升医院2026-2028年度食堂经营和改造项目</w:t>
            </w:r>
          </w:p>
        </w:tc>
        <w:tc>
          <w:tcPr>
            <w:tcW w:w="2479"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480" w:type="dxa"/>
            <w:vAlign w:val="center"/>
          </w:tcPr>
          <w:p w14:paraId="56CA75D5">
            <w:pPr>
              <w:tabs>
                <w:tab w:val="left" w:pos="1770"/>
              </w:tabs>
              <w:jc w:val="center"/>
              <w:outlineLvl w:val="0"/>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tc>
        <w:tc>
          <w:tcPr>
            <w:tcW w:w="2480" w:type="dxa"/>
            <w:vAlign w:val="center"/>
          </w:tcPr>
          <w:p w14:paraId="2AC83A9A">
            <w:pPr>
              <w:pStyle w:val="3"/>
              <w:jc w:val="center"/>
              <w:rPr>
                <w:rFonts w:hint="eastAsia"/>
                <w:b/>
                <w:bCs/>
                <w:lang w:val="en-US" w:eastAsia="zh-CN"/>
              </w:rPr>
            </w:pPr>
            <w:r>
              <w:rPr>
                <w:rFonts w:hint="eastAsia"/>
                <w:b/>
                <w:bCs/>
                <w:lang w:val="en-US" w:eastAsia="zh-CN"/>
              </w:rPr>
              <w:t>附投资额</w:t>
            </w:r>
          </w:p>
          <w:p w14:paraId="1F9EC99D">
            <w:pPr>
              <w:pStyle w:val="3"/>
              <w:jc w:val="center"/>
              <w:rPr>
                <w:rFonts w:hint="default"/>
                <w:lang w:val="en-US" w:eastAsia="zh-CN"/>
              </w:rPr>
            </w:pPr>
            <w:r>
              <w:rPr>
                <w:rFonts w:hint="eastAsia"/>
                <w:b/>
                <w:bCs/>
                <w:lang w:val="en-US" w:eastAsia="zh-CN"/>
              </w:rPr>
              <w:t>分项清单明细表</w:t>
            </w:r>
          </w:p>
        </w:tc>
      </w:tr>
    </w:tbl>
    <w:p w14:paraId="1CE97BEE">
      <w:pPr>
        <w:pStyle w:val="3"/>
        <w:spacing w:line="371" w:lineRule="auto"/>
      </w:pPr>
    </w:p>
    <w:p w14:paraId="1EFC8127">
      <w:pPr>
        <w:pStyle w:val="3"/>
        <w:keepNext w:val="0"/>
        <w:keepLines w:val="0"/>
        <w:pageBreakBefore w:val="0"/>
        <w:wordWrap/>
        <w:overflowPunct/>
        <w:topLinePunct w:val="0"/>
        <w:autoSpaceDE w:val="0"/>
        <w:autoSpaceDN w:val="0"/>
        <w:bidi w:val="0"/>
        <w:adjustRightInd w:val="0"/>
        <w:spacing w:before="0" w:beforeLines="30" w:line="260" w:lineRule="exact"/>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732D2139">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60" w:lineRule="exact"/>
        <w:textAlignment w:val="baseline"/>
        <w:rPr>
          <w:rFonts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val="en-US" w:eastAsia="zh-CN"/>
        </w:rPr>
        <w:t>本次项目采用全包干的方式承包，由中选服务商负责遴选文件对中选服务商要求的一切事宜，自负盈亏，采购人不支付任何费用或补贴。中选服务商及其工作人员所产生的一切费用及责任由中选服务商负责，与采购人无关。</w:t>
      </w:r>
      <w:bookmarkStart w:id="0" w:name="_GoBack"/>
      <w:bookmarkEnd w:id="0"/>
    </w:p>
    <w:p w14:paraId="13EB7BBC">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60" w:lineRule="exact"/>
        <w:textAlignment w:val="baseline"/>
        <w:rPr>
          <w:rFonts w:ascii="宋体" w:hAnsi="宋体" w:eastAsia="宋体" w:cs="宋体"/>
          <w:b/>
          <w:bCs/>
          <w:spacing w:val="7"/>
          <w:sz w:val="20"/>
          <w:szCs w:val="20"/>
          <w:highlight w:val="none"/>
          <w:lang w:eastAsia="zh-CN"/>
        </w:rPr>
      </w:pPr>
      <w:r>
        <w:rPr>
          <w:rFonts w:hint="default" w:ascii="宋体" w:hAnsi="宋体" w:eastAsia="宋体" w:cs="宋体"/>
          <w:b/>
          <w:bCs/>
          <w:spacing w:val="7"/>
          <w:sz w:val="20"/>
          <w:szCs w:val="20"/>
          <w:highlight w:val="none"/>
          <w:lang w:val="en-US" w:eastAsia="zh-CN"/>
        </w:rPr>
        <w:t>响应服务商承诺为本项目食堂投入金额不低于40万元，投入资金须专项用于食堂拆除施工、扩建装修、消防升级改造、管线整改、后厨配套设备添置、排烟及隔油环保设施建设、各类设施设备采购、智慧食堂系统搭建、安防监控系统布设等相关工作；前述全部投入资金均由响应服务商自行全额承担，采购人无需支付任何相关费用。</w:t>
      </w:r>
      <w:r>
        <w:rPr>
          <w:rFonts w:hint="eastAsia" w:ascii="宋体" w:hAnsi="宋体" w:eastAsia="宋体" w:cs="宋体"/>
          <w:b/>
          <w:bCs/>
          <w:spacing w:val="7"/>
          <w:sz w:val="20"/>
          <w:szCs w:val="20"/>
          <w:highlight w:val="none"/>
          <w:lang w:val="en-US" w:eastAsia="zh-CN"/>
        </w:rPr>
        <w:t>（附投资额分项清单明细表）</w:t>
      </w:r>
    </w:p>
    <w:p w14:paraId="63A8406B">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60" w:lineRule="exact"/>
        <w:textAlignment w:val="baseline"/>
        <w:rPr>
          <w:rFonts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val="en-US" w:eastAsia="zh-CN"/>
        </w:rPr>
        <w:t>响应服务商须以现有菜品单价作为最高限价（菜品清单于现场踏勘时现场查询），在此基础上进行下浮。下浮率有效范围为5%至20%，数值最多精确至小数点后两位，且须为固定值，不得设置为区间值。响应服务商应就本项目统一报出一个下浮率，不接受选择性报价。</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6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highlight w:val="none"/>
          <w:lang w:val="en-US" w:eastAsia="zh-CN"/>
        </w:rPr>
        <w:t>本项目评审采用综合评分法，评分标准详见附件二 《项目评分表》。评审顺序为先开展资格符合性评审，再进行商务、技术及价格的详细评审。分值分配为：技术评审40分，商务评审30分，价格评审10分，投资金额评审20分，满分100分。如出现评审总分相同时，按技术评审得分由高到低排序；若技术评审得分仍相同，则按商务评审得分由高到低排序；若仍无法确定，由评审小组投票决定。</w:t>
      </w:r>
    </w:p>
    <w:p w14:paraId="33A26FE9">
      <w:pPr>
        <w:pStyle w:val="9"/>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eastAsia" w:hAnsi="宋体" w:cs="宋体"/>
          <w:b/>
          <w:bCs/>
          <w:sz w:val="20"/>
          <w:szCs w:val="20"/>
          <w:lang w:val="en-US" w:eastAsia="zh-CN"/>
        </w:rPr>
      </w:pPr>
      <w:r>
        <w:rPr>
          <w:rFonts w:hint="eastAsia" w:hAnsi="宋体" w:cs="宋体"/>
          <w:b/>
          <w:bCs/>
          <w:sz w:val="20"/>
          <w:szCs w:val="20"/>
          <w:lang w:val="en-US" w:eastAsia="zh-CN"/>
        </w:rPr>
        <w:t>5. 报价次数：1次。</w:t>
      </w:r>
    </w:p>
    <w:p w14:paraId="5CA9783B">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lang w:val="en-US" w:eastAsia="zh-CN"/>
        </w:rPr>
      </w:pPr>
    </w:p>
    <w:p w14:paraId="135A0D05">
      <w:pPr>
        <w:pStyle w:val="9"/>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服务商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7E1D8FC3">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28" w:lineRule="auto"/>
        <w:ind w:left="28"/>
        <w:textAlignment w:val="baseline"/>
        <w:outlineLvl w:val="0"/>
        <w:rPr>
          <w:rFonts w:hint="eastAsia" w:ascii="宋体" w:hAnsi="宋体" w:eastAsia="宋体" w:cs="宋体"/>
          <w:b/>
          <w:bCs/>
          <w:spacing w:val="5"/>
          <w:sz w:val="24"/>
          <w:szCs w:val="24"/>
          <w:lang w:val="en-US" w:eastAsia="zh-CN"/>
        </w:rPr>
      </w:pPr>
      <w:r>
        <w:rPr>
          <w:rFonts w:hint="eastAsia" w:ascii="宋体" w:hAnsi="宋体" w:eastAsia="宋体" w:cs="宋体"/>
          <w:b/>
          <w:bCs/>
          <w:spacing w:val="5"/>
          <w:sz w:val="24"/>
          <w:szCs w:val="24"/>
          <w:lang w:val="en-US" w:eastAsia="zh-CN"/>
        </w:rPr>
        <w:t>投资额分项清单明细表（格式自拟）：</w:t>
      </w:r>
    </w:p>
    <w:p w14:paraId="6855DB7D">
      <w:pPr>
        <w:spacing w:before="41" w:line="228" w:lineRule="auto"/>
        <w:outlineLvl w:val="0"/>
        <w:rPr>
          <w:rFonts w:hint="eastAsia" w:ascii="宋体" w:hAnsi="宋体" w:eastAsia="宋体" w:cs="宋体"/>
          <w:b/>
          <w:bCs/>
          <w:spacing w:val="5"/>
          <w:sz w:val="20"/>
          <w:szCs w:val="20"/>
          <w:lang w:val="en-US" w:eastAsia="zh-CN"/>
        </w:rPr>
      </w:pPr>
    </w:p>
    <w:p w14:paraId="74EA77E1">
      <w:pPr>
        <w:spacing w:before="41" w:line="228" w:lineRule="auto"/>
        <w:outlineLvl w:val="0"/>
        <w:rPr>
          <w:rFonts w:hint="eastAsia" w:ascii="宋体" w:hAnsi="宋体" w:eastAsia="宋体" w:cs="宋体"/>
          <w:b/>
          <w:bCs/>
          <w:spacing w:val="5"/>
          <w:sz w:val="20"/>
          <w:szCs w:val="20"/>
          <w:lang w:val="en-US" w:eastAsia="zh-CN"/>
        </w:rPr>
      </w:pPr>
    </w:p>
    <w:p w14:paraId="48DD2F50">
      <w:pPr>
        <w:spacing w:before="41" w:line="228" w:lineRule="auto"/>
        <w:outlineLvl w:val="0"/>
        <w:rPr>
          <w:rFonts w:hint="eastAsia" w:ascii="宋体" w:hAnsi="宋体" w:eastAsia="宋体" w:cs="宋体"/>
          <w:b/>
          <w:bCs/>
          <w:spacing w:val="5"/>
          <w:sz w:val="20"/>
          <w:szCs w:val="20"/>
          <w:lang w:val="en-US" w:eastAsia="zh-CN"/>
        </w:rPr>
      </w:pPr>
    </w:p>
    <w:p w14:paraId="6B51B090">
      <w:pPr>
        <w:spacing w:before="41" w:line="228" w:lineRule="auto"/>
        <w:outlineLvl w:val="0"/>
        <w:rPr>
          <w:rFonts w:hint="default" w:ascii="宋体" w:hAnsi="宋体" w:eastAsia="宋体" w:cs="宋体"/>
          <w:b/>
          <w:bCs/>
          <w:spacing w:val="5"/>
          <w:sz w:val="20"/>
          <w:szCs w:val="20"/>
          <w:lang w:val="en-US" w:eastAsia="zh-CN"/>
        </w:rPr>
      </w:pPr>
    </w:p>
    <w:p w14:paraId="33CF4D44">
      <w:pPr>
        <w:spacing w:before="41" w:line="228" w:lineRule="auto"/>
        <w:ind w:left="26"/>
        <w:outlineLvl w:val="0"/>
        <w:rPr>
          <w:rFonts w:hint="eastAsia" w:ascii="宋体" w:hAnsi="宋体" w:eastAsia="宋体" w:cs="宋体"/>
          <w:b/>
          <w:bCs/>
          <w:spacing w:val="5"/>
          <w:sz w:val="20"/>
          <w:szCs w:val="20"/>
          <w:lang w:val="en-US" w:eastAsia="zh-CN"/>
        </w:rPr>
      </w:pPr>
    </w:p>
    <w:p w14:paraId="07D1C9C7">
      <w:pPr>
        <w:spacing w:before="41" w:line="228" w:lineRule="auto"/>
        <w:ind w:left="26"/>
        <w:outlineLvl w:val="0"/>
        <w:rPr>
          <w:rFonts w:hint="eastAsia" w:ascii="宋体" w:hAnsi="宋体" w:eastAsia="宋体" w:cs="宋体"/>
          <w:b/>
          <w:bCs/>
          <w:spacing w:val="5"/>
          <w:sz w:val="20"/>
          <w:szCs w:val="20"/>
          <w:lang w:val="en-US" w:eastAsia="zh-CN"/>
        </w:rPr>
      </w:pPr>
    </w:p>
    <w:p w14:paraId="5915EDF5">
      <w:pPr>
        <w:spacing w:before="41" w:line="228" w:lineRule="auto"/>
        <w:ind w:left="26"/>
        <w:outlineLvl w:val="0"/>
        <w:rPr>
          <w:rFonts w:hint="eastAsia" w:ascii="宋体" w:hAnsi="宋体" w:eastAsia="宋体" w:cs="宋体"/>
          <w:b/>
          <w:bCs/>
          <w:spacing w:val="5"/>
          <w:sz w:val="20"/>
          <w:szCs w:val="20"/>
          <w:lang w:val="en-US" w:eastAsia="zh-CN"/>
        </w:rPr>
      </w:pPr>
    </w:p>
    <w:p w14:paraId="3FA667D3">
      <w:pPr>
        <w:spacing w:before="41" w:line="228" w:lineRule="auto"/>
        <w:ind w:left="26"/>
        <w:outlineLvl w:val="0"/>
        <w:rPr>
          <w:rFonts w:hint="eastAsia" w:ascii="宋体" w:hAnsi="宋体" w:eastAsia="宋体" w:cs="宋体"/>
          <w:b/>
          <w:bCs/>
          <w:spacing w:val="5"/>
          <w:sz w:val="20"/>
          <w:szCs w:val="20"/>
          <w:lang w:val="en-US" w:eastAsia="zh-CN"/>
        </w:rPr>
      </w:pPr>
    </w:p>
    <w:p w14:paraId="079B8055">
      <w:pPr>
        <w:spacing w:before="41" w:line="228" w:lineRule="auto"/>
        <w:ind w:left="26"/>
        <w:outlineLvl w:val="0"/>
        <w:rPr>
          <w:rFonts w:hint="eastAsia" w:ascii="宋体" w:hAnsi="宋体" w:eastAsia="宋体" w:cs="宋体"/>
          <w:b/>
          <w:bCs/>
          <w:spacing w:val="5"/>
          <w:sz w:val="20"/>
          <w:szCs w:val="20"/>
          <w:lang w:val="en-US" w:eastAsia="zh-CN"/>
        </w:rPr>
      </w:pPr>
    </w:p>
    <w:p w14:paraId="6F566585">
      <w:pPr>
        <w:spacing w:before="41" w:line="228" w:lineRule="auto"/>
        <w:ind w:left="26"/>
        <w:outlineLvl w:val="0"/>
        <w:rPr>
          <w:rFonts w:hint="eastAsia" w:ascii="宋体" w:hAnsi="宋体" w:eastAsia="宋体" w:cs="宋体"/>
          <w:b/>
          <w:bCs/>
          <w:spacing w:val="5"/>
          <w:sz w:val="20"/>
          <w:szCs w:val="20"/>
          <w:lang w:val="en-US" w:eastAsia="zh-CN"/>
        </w:rPr>
      </w:pPr>
    </w:p>
    <w:p w14:paraId="27B76734">
      <w:pPr>
        <w:spacing w:before="41" w:line="228" w:lineRule="auto"/>
        <w:ind w:left="26"/>
        <w:outlineLvl w:val="0"/>
        <w:rPr>
          <w:rFonts w:hint="eastAsia" w:ascii="宋体" w:hAnsi="宋体" w:eastAsia="宋体" w:cs="宋体"/>
          <w:b/>
          <w:bCs/>
          <w:spacing w:val="5"/>
          <w:sz w:val="20"/>
          <w:szCs w:val="20"/>
          <w:lang w:val="en-US" w:eastAsia="zh-CN"/>
        </w:rPr>
      </w:pPr>
    </w:p>
    <w:p w14:paraId="1E1E3772">
      <w:pPr>
        <w:spacing w:before="41" w:line="228" w:lineRule="auto"/>
        <w:ind w:left="26"/>
        <w:outlineLvl w:val="0"/>
        <w:rPr>
          <w:rFonts w:hint="eastAsia" w:ascii="宋体" w:hAnsi="宋体" w:eastAsia="宋体" w:cs="宋体"/>
          <w:b/>
          <w:bCs/>
          <w:spacing w:val="5"/>
          <w:sz w:val="20"/>
          <w:szCs w:val="20"/>
          <w:lang w:val="en-US" w:eastAsia="zh-CN"/>
        </w:rPr>
      </w:pPr>
    </w:p>
    <w:p w14:paraId="39D5F71E">
      <w:pPr>
        <w:spacing w:before="41" w:line="228" w:lineRule="auto"/>
        <w:ind w:left="26"/>
        <w:outlineLvl w:val="0"/>
        <w:rPr>
          <w:rFonts w:hint="eastAsia" w:ascii="宋体" w:hAnsi="宋体" w:eastAsia="宋体" w:cs="宋体"/>
          <w:b/>
          <w:bCs/>
          <w:spacing w:val="5"/>
          <w:sz w:val="20"/>
          <w:szCs w:val="20"/>
          <w:lang w:val="en-US" w:eastAsia="zh-CN"/>
        </w:rPr>
      </w:pPr>
    </w:p>
    <w:p w14:paraId="6063CF4B">
      <w:pPr>
        <w:spacing w:before="41" w:line="228" w:lineRule="auto"/>
        <w:ind w:left="26"/>
        <w:outlineLvl w:val="0"/>
        <w:rPr>
          <w:rFonts w:hint="eastAsia" w:ascii="宋体" w:hAnsi="宋体" w:eastAsia="宋体" w:cs="宋体"/>
          <w:b/>
          <w:bCs/>
          <w:spacing w:val="5"/>
          <w:sz w:val="20"/>
          <w:szCs w:val="20"/>
          <w:lang w:val="en-US" w:eastAsia="zh-CN"/>
        </w:rPr>
      </w:pPr>
    </w:p>
    <w:p w14:paraId="20970039">
      <w:pPr>
        <w:spacing w:before="41" w:line="228" w:lineRule="auto"/>
        <w:ind w:left="26"/>
        <w:outlineLvl w:val="0"/>
        <w:rPr>
          <w:rFonts w:hint="eastAsia" w:ascii="宋体" w:hAnsi="宋体" w:eastAsia="宋体" w:cs="宋体"/>
          <w:b/>
          <w:bCs/>
          <w:spacing w:val="5"/>
          <w:sz w:val="20"/>
          <w:szCs w:val="20"/>
          <w:lang w:val="en-US" w:eastAsia="zh-CN"/>
        </w:rPr>
      </w:pPr>
    </w:p>
    <w:p w14:paraId="5C61ED26">
      <w:pPr>
        <w:spacing w:before="41" w:line="228" w:lineRule="auto"/>
        <w:ind w:left="26"/>
        <w:outlineLvl w:val="0"/>
        <w:rPr>
          <w:rFonts w:hint="eastAsia" w:ascii="宋体" w:hAnsi="宋体" w:eastAsia="宋体" w:cs="宋体"/>
          <w:b/>
          <w:bCs/>
          <w:spacing w:val="5"/>
          <w:sz w:val="20"/>
          <w:szCs w:val="20"/>
          <w:lang w:val="en-US" w:eastAsia="zh-CN"/>
        </w:rPr>
      </w:pPr>
    </w:p>
    <w:p w14:paraId="6185D4A1">
      <w:pPr>
        <w:spacing w:before="41" w:line="228" w:lineRule="auto"/>
        <w:ind w:left="26"/>
        <w:outlineLvl w:val="0"/>
        <w:rPr>
          <w:rFonts w:hint="eastAsia" w:ascii="宋体" w:hAnsi="宋体" w:eastAsia="宋体" w:cs="宋体"/>
          <w:b/>
          <w:bCs/>
          <w:spacing w:val="5"/>
          <w:sz w:val="20"/>
          <w:szCs w:val="20"/>
          <w:lang w:val="en-US" w:eastAsia="zh-CN"/>
        </w:rPr>
      </w:pPr>
    </w:p>
    <w:p w14:paraId="1664290E">
      <w:pPr>
        <w:spacing w:before="41" w:line="228" w:lineRule="auto"/>
        <w:ind w:left="26"/>
        <w:outlineLvl w:val="0"/>
        <w:rPr>
          <w:rFonts w:hint="eastAsia" w:ascii="宋体" w:hAnsi="宋体" w:eastAsia="宋体" w:cs="宋体"/>
          <w:b/>
          <w:bCs/>
          <w:spacing w:val="5"/>
          <w:sz w:val="20"/>
          <w:szCs w:val="20"/>
          <w:lang w:val="en-US" w:eastAsia="zh-CN"/>
        </w:rPr>
      </w:pPr>
    </w:p>
    <w:p w14:paraId="5AA36BC9">
      <w:pPr>
        <w:spacing w:before="41" w:line="228" w:lineRule="auto"/>
        <w:ind w:left="26"/>
        <w:outlineLvl w:val="0"/>
        <w:rPr>
          <w:rFonts w:hint="eastAsia" w:ascii="宋体" w:hAnsi="宋体" w:eastAsia="宋体" w:cs="宋体"/>
          <w:b/>
          <w:bCs/>
          <w:spacing w:val="5"/>
          <w:sz w:val="20"/>
          <w:szCs w:val="20"/>
          <w:lang w:val="en-US" w:eastAsia="zh-CN"/>
        </w:rPr>
      </w:pPr>
    </w:p>
    <w:p w14:paraId="6542B05F">
      <w:pPr>
        <w:spacing w:before="41" w:line="228" w:lineRule="auto"/>
        <w:ind w:left="26"/>
        <w:outlineLvl w:val="0"/>
        <w:rPr>
          <w:rFonts w:hint="eastAsia" w:ascii="宋体" w:hAnsi="宋体" w:eastAsia="宋体" w:cs="宋体"/>
          <w:b/>
          <w:bCs/>
          <w:spacing w:val="5"/>
          <w:sz w:val="20"/>
          <w:szCs w:val="20"/>
          <w:lang w:val="en-US" w:eastAsia="zh-CN"/>
        </w:rPr>
      </w:pPr>
    </w:p>
    <w:p w14:paraId="7CB018B2">
      <w:pPr>
        <w:spacing w:before="41" w:line="228" w:lineRule="auto"/>
        <w:ind w:left="26"/>
        <w:outlineLvl w:val="0"/>
        <w:rPr>
          <w:rFonts w:hint="eastAsia" w:ascii="宋体" w:hAnsi="宋体" w:eastAsia="宋体" w:cs="宋体"/>
          <w:b/>
          <w:bCs/>
          <w:spacing w:val="5"/>
          <w:sz w:val="20"/>
          <w:szCs w:val="20"/>
          <w:lang w:val="en-US" w:eastAsia="zh-CN"/>
        </w:rPr>
      </w:pPr>
    </w:p>
    <w:p w14:paraId="274505C6">
      <w:pPr>
        <w:spacing w:before="41" w:line="228" w:lineRule="auto"/>
        <w:ind w:left="26"/>
        <w:outlineLvl w:val="0"/>
        <w:rPr>
          <w:rFonts w:hint="eastAsia" w:ascii="宋体" w:hAnsi="宋体" w:eastAsia="宋体" w:cs="宋体"/>
          <w:b/>
          <w:bCs/>
          <w:spacing w:val="5"/>
          <w:sz w:val="20"/>
          <w:szCs w:val="20"/>
          <w:lang w:val="en-US" w:eastAsia="zh-CN"/>
        </w:rPr>
      </w:pPr>
    </w:p>
    <w:p w14:paraId="15C5F770">
      <w:pPr>
        <w:spacing w:before="41" w:line="228" w:lineRule="auto"/>
        <w:ind w:left="26"/>
        <w:outlineLvl w:val="0"/>
        <w:rPr>
          <w:rFonts w:hint="eastAsia" w:ascii="宋体" w:hAnsi="宋体" w:eastAsia="宋体" w:cs="宋体"/>
          <w:b/>
          <w:bCs/>
          <w:spacing w:val="5"/>
          <w:sz w:val="20"/>
          <w:szCs w:val="20"/>
          <w:lang w:val="en-US" w:eastAsia="zh-CN"/>
        </w:rPr>
      </w:pPr>
    </w:p>
    <w:p w14:paraId="592704B2">
      <w:pPr>
        <w:spacing w:before="41" w:line="228" w:lineRule="auto"/>
        <w:ind w:left="26"/>
        <w:outlineLvl w:val="0"/>
        <w:rPr>
          <w:rFonts w:hint="eastAsia" w:ascii="宋体" w:hAnsi="宋体" w:eastAsia="宋体" w:cs="宋体"/>
          <w:b/>
          <w:bCs/>
          <w:spacing w:val="5"/>
          <w:sz w:val="20"/>
          <w:szCs w:val="20"/>
          <w:lang w:val="en-US" w:eastAsia="zh-CN"/>
        </w:rPr>
      </w:pPr>
    </w:p>
    <w:p w14:paraId="476FD1CA">
      <w:pPr>
        <w:spacing w:before="41" w:line="228" w:lineRule="auto"/>
        <w:ind w:left="26"/>
        <w:outlineLvl w:val="0"/>
        <w:rPr>
          <w:rFonts w:hint="eastAsia" w:ascii="宋体" w:hAnsi="宋体" w:eastAsia="宋体" w:cs="宋体"/>
          <w:b/>
          <w:bCs/>
          <w:spacing w:val="5"/>
          <w:sz w:val="20"/>
          <w:szCs w:val="20"/>
          <w:lang w:val="en-US" w:eastAsia="zh-CN"/>
        </w:rPr>
      </w:pPr>
    </w:p>
    <w:p w14:paraId="167F0655">
      <w:pPr>
        <w:spacing w:before="41" w:line="228" w:lineRule="auto"/>
        <w:ind w:left="26"/>
        <w:outlineLvl w:val="0"/>
        <w:rPr>
          <w:rFonts w:hint="eastAsia" w:ascii="宋体" w:hAnsi="宋体" w:eastAsia="宋体" w:cs="宋体"/>
          <w:b/>
          <w:bCs/>
          <w:spacing w:val="5"/>
          <w:sz w:val="20"/>
          <w:szCs w:val="20"/>
          <w:lang w:val="en-US" w:eastAsia="zh-CN"/>
        </w:rPr>
      </w:pPr>
    </w:p>
    <w:p w14:paraId="1127CAC2">
      <w:pPr>
        <w:spacing w:before="41" w:line="228" w:lineRule="auto"/>
        <w:ind w:left="26"/>
        <w:outlineLvl w:val="0"/>
        <w:rPr>
          <w:rFonts w:hint="eastAsia" w:ascii="宋体" w:hAnsi="宋体" w:eastAsia="宋体" w:cs="宋体"/>
          <w:b/>
          <w:bCs/>
          <w:spacing w:val="5"/>
          <w:sz w:val="20"/>
          <w:szCs w:val="20"/>
          <w:lang w:val="en-US" w:eastAsia="zh-CN"/>
        </w:rPr>
      </w:pPr>
    </w:p>
    <w:p w14:paraId="4E78D3C2">
      <w:pPr>
        <w:spacing w:before="41" w:line="228" w:lineRule="auto"/>
        <w:ind w:left="26"/>
        <w:outlineLvl w:val="0"/>
        <w:rPr>
          <w:rFonts w:hint="eastAsia" w:ascii="宋体" w:hAnsi="宋体" w:eastAsia="宋体" w:cs="宋体"/>
          <w:b/>
          <w:bCs/>
          <w:spacing w:val="5"/>
          <w:sz w:val="20"/>
          <w:szCs w:val="20"/>
          <w:lang w:val="en-US" w:eastAsia="zh-CN"/>
        </w:rPr>
      </w:pPr>
    </w:p>
    <w:p w14:paraId="75270BBF">
      <w:pPr>
        <w:spacing w:before="41" w:line="228" w:lineRule="auto"/>
        <w:ind w:left="26"/>
        <w:outlineLvl w:val="0"/>
        <w:rPr>
          <w:rFonts w:hint="eastAsia" w:ascii="宋体" w:hAnsi="宋体" w:eastAsia="宋体" w:cs="宋体"/>
          <w:b/>
          <w:bCs/>
          <w:spacing w:val="5"/>
          <w:sz w:val="20"/>
          <w:szCs w:val="20"/>
          <w:lang w:val="en-US" w:eastAsia="zh-CN"/>
        </w:rPr>
      </w:pPr>
    </w:p>
    <w:p w14:paraId="51EC0BD5">
      <w:pPr>
        <w:spacing w:before="41" w:line="228" w:lineRule="auto"/>
        <w:ind w:left="26"/>
        <w:outlineLvl w:val="0"/>
        <w:rPr>
          <w:rFonts w:hint="eastAsia" w:ascii="宋体" w:hAnsi="宋体" w:eastAsia="宋体" w:cs="宋体"/>
          <w:b/>
          <w:bCs/>
          <w:spacing w:val="5"/>
          <w:sz w:val="20"/>
          <w:szCs w:val="20"/>
          <w:lang w:val="en-US" w:eastAsia="zh-CN"/>
        </w:rPr>
      </w:pPr>
    </w:p>
    <w:p w14:paraId="6BAA8151">
      <w:pPr>
        <w:spacing w:before="41" w:line="228" w:lineRule="auto"/>
        <w:ind w:left="26"/>
        <w:outlineLvl w:val="0"/>
        <w:rPr>
          <w:rFonts w:hint="eastAsia" w:ascii="宋体" w:hAnsi="宋体" w:eastAsia="宋体" w:cs="宋体"/>
          <w:b/>
          <w:bCs/>
          <w:spacing w:val="5"/>
          <w:sz w:val="20"/>
          <w:szCs w:val="20"/>
          <w:lang w:val="en-US" w:eastAsia="zh-CN"/>
        </w:rPr>
      </w:pPr>
    </w:p>
    <w:p w14:paraId="375A4503">
      <w:pPr>
        <w:spacing w:before="41" w:line="228" w:lineRule="auto"/>
        <w:ind w:left="26"/>
        <w:outlineLvl w:val="0"/>
        <w:rPr>
          <w:rFonts w:hint="eastAsia" w:ascii="宋体" w:hAnsi="宋体" w:eastAsia="宋体" w:cs="宋体"/>
          <w:b/>
          <w:bCs/>
          <w:spacing w:val="5"/>
          <w:sz w:val="20"/>
          <w:szCs w:val="20"/>
          <w:lang w:val="en-US" w:eastAsia="zh-CN"/>
        </w:rPr>
      </w:pPr>
    </w:p>
    <w:p w14:paraId="4F9D888C">
      <w:pPr>
        <w:spacing w:before="41" w:line="228" w:lineRule="auto"/>
        <w:ind w:left="26"/>
        <w:outlineLvl w:val="0"/>
        <w:rPr>
          <w:rFonts w:hint="eastAsia" w:ascii="宋体" w:hAnsi="宋体" w:eastAsia="宋体" w:cs="宋体"/>
          <w:b/>
          <w:bCs/>
          <w:spacing w:val="5"/>
          <w:sz w:val="20"/>
          <w:szCs w:val="20"/>
          <w:lang w:val="en-US" w:eastAsia="zh-CN"/>
        </w:rPr>
      </w:pPr>
    </w:p>
    <w:p w14:paraId="61F9F3C7">
      <w:pPr>
        <w:spacing w:before="41" w:line="228" w:lineRule="auto"/>
        <w:ind w:left="26"/>
        <w:outlineLvl w:val="0"/>
        <w:rPr>
          <w:rFonts w:hint="eastAsia" w:ascii="宋体" w:hAnsi="宋体" w:eastAsia="宋体" w:cs="宋体"/>
          <w:b/>
          <w:bCs/>
          <w:spacing w:val="5"/>
          <w:sz w:val="20"/>
          <w:szCs w:val="20"/>
          <w:lang w:val="en-US" w:eastAsia="zh-CN"/>
        </w:rPr>
      </w:pPr>
    </w:p>
    <w:p w14:paraId="4E4D2BD2">
      <w:pPr>
        <w:spacing w:before="41" w:line="228" w:lineRule="auto"/>
        <w:ind w:left="26"/>
        <w:outlineLvl w:val="0"/>
        <w:rPr>
          <w:rFonts w:hint="eastAsia" w:ascii="宋体" w:hAnsi="宋体" w:eastAsia="宋体" w:cs="宋体"/>
          <w:b/>
          <w:bCs/>
          <w:spacing w:val="5"/>
          <w:sz w:val="20"/>
          <w:szCs w:val="20"/>
          <w:lang w:val="en-US" w:eastAsia="zh-CN"/>
        </w:rPr>
      </w:pPr>
    </w:p>
    <w:p w14:paraId="3EA05EE4">
      <w:pPr>
        <w:spacing w:before="41" w:line="228" w:lineRule="auto"/>
        <w:ind w:left="26"/>
        <w:outlineLvl w:val="0"/>
        <w:rPr>
          <w:rFonts w:hint="eastAsia" w:ascii="宋体" w:hAnsi="宋体" w:eastAsia="宋体" w:cs="宋体"/>
          <w:b/>
          <w:bCs/>
          <w:spacing w:val="5"/>
          <w:sz w:val="20"/>
          <w:szCs w:val="20"/>
          <w:lang w:val="en-US" w:eastAsia="zh-CN"/>
        </w:rPr>
      </w:pPr>
    </w:p>
    <w:p w14:paraId="26BB1563">
      <w:pPr>
        <w:spacing w:before="41" w:line="228" w:lineRule="auto"/>
        <w:ind w:left="26"/>
        <w:outlineLvl w:val="0"/>
        <w:rPr>
          <w:rFonts w:hint="eastAsia" w:ascii="宋体" w:hAnsi="宋体" w:eastAsia="宋体" w:cs="宋体"/>
          <w:b/>
          <w:bCs/>
          <w:spacing w:val="5"/>
          <w:sz w:val="20"/>
          <w:szCs w:val="20"/>
          <w:lang w:val="en-US" w:eastAsia="zh-CN"/>
        </w:rPr>
      </w:pPr>
    </w:p>
    <w:p w14:paraId="7A5B2CE5">
      <w:pPr>
        <w:spacing w:before="41" w:line="228" w:lineRule="auto"/>
        <w:ind w:left="26"/>
        <w:outlineLvl w:val="0"/>
        <w:rPr>
          <w:rFonts w:hint="eastAsia" w:ascii="宋体" w:hAnsi="宋体" w:eastAsia="宋体" w:cs="宋体"/>
          <w:b/>
          <w:bCs/>
          <w:spacing w:val="5"/>
          <w:sz w:val="20"/>
          <w:szCs w:val="20"/>
          <w:lang w:val="en-US" w:eastAsia="zh-CN"/>
        </w:rPr>
      </w:pPr>
    </w:p>
    <w:p w14:paraId="0EFD6DD7">
      <w:pPr>
        <w:spacing w:before="41" w:line="228" w:lineRule="auto"/>
        <w:ind w:left="26"/>
        <w:outlineLvl w:val="0"/>
        <w:rPr>
          <w:rFonts w:hint="eastAsia" w:ascii="宋体" w:hAnsi="宋体" w:eastAsia="宋体" w:cs="宋体"/>
          <w:b/>
          <w:bCs/>
          <w:spacing w:val="5"/>
          <w:sz w:val="20"/>
          <w:szCs w:val="20"/>
          <w:lang w:val="en-US" w:eastAsia="zh-CN"/>
        </w:rPr>
      </w:pPr>
    </w:p>
    <w:p w14:paraId="2FC29864">
      <w:pPr>
        <w:spacing w:before="41" w:line="228" w:lineRule="auto"/>
        <w:ind w:left="26"/>
        <w:outlineLvl w:val="0"/>
        <w:rPr>
          <w:rFonts w:hint="eastAsia" w:ascii="宋体" w:hAnsi="宋体" w:eastAsia="宋体" w:cs="宋体"/>
          <w:b/>
          <w:bCs/>
          <w:spacing w:val="5"/>
          <w:sz w:val="20"/>
          <w:szCs w:val="20"/>
          <w:lang w:val="en-US" w:eastAsia="zh-CN"/>
        </w:rPr>
      </w:pPr>
    </w:p>
    <w:p w14:paraId="2970FB0A">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服务商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11F17339">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41682060">
      <w:pPr>
        <w:spacing w:before="41" w:line="228" w:lineRule="auto"/>
        <w:ind w:left="26"/>
        <w:outlineLvl w:val="0"/>
        <w:rPr>
          <w:rFonts w:hint="eastAsia" w:ascii="宋体" w:hAnsi="宋体" w:eastAsia="宋体" w:cs="宋体"/>
          <w:b/>
          <w:bCs/>
          <w:spacing w:val="5"/>
          <w:sz w:val="20"/>
          <w:szCs w:val="20"/>
          <w:lang w:val="en-US"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1BA50064">
      <w:pP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br w:type="page"/>
      </w: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中山市东升医院2026-2028年度食堂经营和改造项目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服务商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具有独立承担民事责任的能力：提供在中华人民共和国境内注册的法人或其他组织的</w:t>
      </w:r>
      <w:r>
        <w:rPr>
          <w:rFonts w:hint="eastAsia" w:ascii="宋体" w:hAnsi="宋体" w:eastAsia="宋体" w:cs="宋体"/>
          <w:b/>
          <w:bCs/>
          <w:spacing w:val="7"/>
          <w:sz w:val="20"/>
          <w:szCs w:val="20"/>
          <w:u w:val="single"/>
          <w:lang w:eastAsia="zh-CN"/>
        </w:rPr>
        <w:t>营业执照</w:t>
      </w:r>
      <w:r>
        <w:rPr>
          <w:rFonts w:hint="eastAsia" w:ascii="宋体" w:hAnsi="宋体" w:eastAsia="宋体" w:cs="宋体"/>
          <w:b/>
          <w:bCs/>
          <w:spacing w:val="7"/>
          <w:sz w:val="20"/>
          <w:szCs w:val="20"/>
          <w:lang w:eastAsia="zh-CN"/>
        </w:rPr>
        <w:t>或事业单位法人证书或社会团体法人登记证书扫描件及</w:t>
      </w:r>
      <w:r>
        <w:rPr>
          <w:rFonts w:hint="eastAsia" w:ascii="宋体" w:hAnsi="宋体" w:eastAsia="宋体" w:cs="宋体"/>
          <w:b/>
          <w:bCs/>
          <w:spacing w:val="7"/>
          <w:sz w:val="20"/>
          <w:szCs w:val="20"/>
          <w:u w:val="single"/>
          <w:lang w:eastAsia="zh-CN"/>
        </w:rPr>
        <w:t>食品经营许可证</w:t>
      </w:r>
      <w:r>
        <w:rPr>
          <w:rFonts w:hint="eastAsia" w:ascii="宋体" w:hAnsi="宋体" w:eastAsia="宋体" w:cs="宋体"/>
          <w:b/>
          <w:bCs/>
          <w:spacing w:val="7"/>
          <w:sz w:val="20"/>
          <w:szCs w:val="20"/>
          <w:lang w:eastAsia="zh-CN"/>
        </w:rPr>
        <w:t>扫描件；如国家另有规定的，则从其规定。经营范围应包括餐饮管理或饮食管理或食品经营管理。</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服务商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中山市东升医院2026-2028年度食堂经营和改造项目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服务商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服务商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0" w:gutter="0"/>
          <w:cols w:space="720" w:num="1"/>
        </w:sectPr>
      </w:pPr>
    </w:p>
    <w:p w14:paraId="1DA97DB8">
      <w:pPr>
        <w:spacing w:before="41" w:line="240" w:lineRule="auto"/>
        <w:ind w:left="22" w:right="18"/>
        <w:rPr>
          <w:rFonts w:hint="default" w:ascii="宋体" w:hAnsi="宋体" w:eastAsia="宋体" w:cs="宋体"/>
          <w:sz w:val="20"/>
          <w:szCs w:val="20"/>
          <w:lang w:val="en-US" w:eastAsia="zh-CN"/>
        </w:rPr>
      </w:pPr>
      <w:r>
        <w:rPr>
          <w:rFonts w:ascii="宋体" w:hAnsi="宋体" w:eastAsia="宋体" w:cs="宋体"/>
          <w:b/>
          <w:bCs/>
          <w:spacing w:val="6"/>
          <w:sz w:val="20"/>
          <w:szCs w:val="20"/>
          <w:lang w:eastAsia="zh-CN"/>
        </w:rPr>
        <w:t>七、</w:t>
      </w:r>
      <w:r>
        <w:rPr>
          <w:rFonts w:hint="eastAsia" w:ascii="宋体" w:hAnsi="宋体" w:eastAsia="宋体" w:cs="宋体"/>
          <w:b/>
          <w:bCs/>
          <w:spacing w:val="6"/>
          <w:sz w:val="20"/>
          <w:szCs w:val="20"/>
          <w:lang w:eastAsia="zh-CN"/>
        </w:rPr>
        <w:t>提供202</w:t>
      </w:r>
      <w:r>
        <w:rPr>
          <w:rFonts w:hint="eastAsia" w:ascii="宋体" w:hAnsi="宋体" w:eastAsia="宋体" w:cs="宋体"/>
          <w:b/>
          <w:bCs/>
          <w:spacing w:val="6"/>
          <w:sz w:val="20"/>
          <w:szCs w:val="20"/>
          <w:lang w:val="en-US" w:eastAsia="zh-CN"/>
        </w:rPr>
        <w:t>5</w:t>
      </w:r>
      <w:r>
        <w:rPr>
          <w:rFonts w:hint="eastAsia" w:ascii="宋体" w:hAnsi="宋体" w:eastAsia="宋体" w:cs="宋体"/>
          <w:b/>
          <w:bCs/>
          <w:spacing w:val="6"/>
          <w:sz w:val="20"/>
          <w:szCs w:val="20"/>
          <w:lang w:eastAsia="zh-CN"/>
        </w:rPr>
        <w:t>年度财务状况报告扫描件，或遴选公告发布之日起前6个月内任意1个月的财务报表扫描件，或基本开户行出具的资信证明扫描件。</w:t>
      </w:r>
      <w:r>
        <w:rPr>
          <w:rFonts w:hint="eastAsia" w:ascii="宋体" w:hAnsi="宋体" w:eastAsia="宋体" w:cs="宋体"/>
          <w:b/>
          <w:bCs/>
          <w:spacing w:val="-1"/>
          <w:sz w:val="20"/>
          <w:szCs w:val="20"/>
          <w:lang w:eastAsia="zh-CN"/>
        </w:rPr>
        <w:t>（</w:t>
      </w:r>
      <w:r>
        <w:rPr>
          <w:rFonts w:hint="eastAsia" w:ascii="宋体" w:hAnsi="宋体" w:eastAsia="宋体" w:cs="宋体"/>
          <w:b/>
          <w:bCs/>
          <w:spacing w:val="-1"/>
          <w:sz w:val="20"/>
          <w:szCs w:val="20"/>
          <w:lang w:val="en-US" w:eastAsia="zh-CN"/>
        </w:rPr>
        <w:t>加盖公章）</w:t>
      </w:r>
    </w:p>
    <w:p w14:paraId="796EEE16">
      <w:pPr>
        <w:spacing w:line="240"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w:t>
      </w:r>
      <w:r>
        <w:rPr>
          <w:rFonts w:hint="eastAsia" w:ascii="宋体" w:hAnsi="宋体" w:eastAsia="宋体" w:cs="宋体"/>
          <w:b/>
          <w:bCs/>
          <w:spacing w:val="8"/>
          <w:sz w:val="20"/>
          <w:szCs w:val="20"/>
          <w:lang w:eastAsia="zh-CN"/>
        </w:rPr>
        <w:t>提供遴选公告发布之日起前6个月内任意1个月（</w:t>
      </w:r>
      <w:r>
        <w:rPr>
          <w:rFonts w:hint="eastAsia" w:ascii="宋体" w:hAnsi="宋体" w:eastAsia="宋体" w:cs="宋体"/>
          <w:b/>
          <w:bCs/>
          <w:spacing w:val="8"/>
          <w:sz w:val="20"/>
          <w:szCs w:val="20"/>
          <w:lang w:val="en-US" w:eastAsia="zh-CN"/>
        </w:rPr>
        <w:t>加盖公章）</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r>
        <w:rPr>
          <w:rFonts w:hint="eastAsia" w:ascii="宋体" w:hAnsi="宋体" w:eastAsia="宋体" w:cs="宋体"/>
          <w:b/>
          <w:bCs/>
          <w:spacing w:val="7"/>
          <w:sz w:val="20"/>
          <w:szCs w:val="20"/>
          <w:lang w:eastAsia="zh-CN"/>
        </w:rPr>
        <w:t>。</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keepNext w:val="0"/>
        <w:keepLines w:val="0"/>
        <w:pageBreakBefore w:val="0"/>
        <w:widowControl/>
        <w:kinsoku w:val="0"/>
        <w:wordWrap/>
        <w:overflowPunct/>
        <w:topLinePunct w:val="0"/>
        <w:autoSpaceDE w:val="0"/>
        <w:autoSpaceDN w:val="0"/>
        <w:bidi w:val="0"/>
        <w:adjustRightInd w:val="0"/>
        <w:snapToGrid w:val="0"/>
        <w:spacing w:before="40" w:line="288" w:lineRule="auto"/>
        <w:ind w:left="23" w:firstLine="5"/>
        <w:textAlignment w:val="baseline"/>
        <w:rPr>
          <w:rFonts w:ascii="宋体" w:hAnsi="宋体" w:eastAsia="宋体" w:cs="宋体"/>
          <w:sz w:val="20"/>
          <w:szCs w:val="20"/>
          <w:lang w:eastAsia="zh-CN"/>
        </w:rPr>
      </w:pPr>
      <w:r>
        <w:rPr>
          <w:rFonts w:ascii="宋体" w:hAnsi="宋体" w:eastAsia="宋体" w:cs="宋体"/>
          <w:b/>
          <w:bCs/>
          <w:spacing w:val="3"/>
          <w:sz w:val="20"/>
          <w:szCs w:val="20"/>
          <w:lang w:eastAsia="zh-CN"/>
        </w:rPr>
        <w:t>九、</w:t>
      </w:r>
      <w:r>
        <w:rPr>
          <w:rFonts w:hint="eastAsia" w:ascii="宋体" w:hAnsi="宋体" w:eastAsia="宋体" w:cs="宋体"/>
          <w:b/>
          <w:bCs/>
          <w:spacing w:val="3"/>
          <w:sz w:val="20"/>
          <w:szCs w:val="20"/>
          <w:lang w:eastAsia="zh-CN"/>
        </w:rPr>
        <w:t>提供遴选公告发布之日起前6个月内任意1个月依法缴纳社会保障资金的相关材料（</w:t>
      </w:r>
      <w:r>
        <w:rPr>
          <w:rFonts w:hint="eastAsia" w:ascii="宋体" w:hAnsi="宋体" w:eastAsia="宋体" w:cs="宋体"/>
          <w:b/>
          <w:bCs/>
          <w:spacing w:val="3"/>
          <w:sz w:val="20"/>
          <w:szCs w:val="20"/>
          <w:lang w:val="en-US" w:eastAsia="zh-CN"/>
        </w:rPr>
        <w:t>加盖公章）</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r>
        <w:rPr>
          <w:rFonts w:hint="eastAsia" w:ascii="宋体" w:hAnsi="宋体" w:eastAsia="宋体" w:cs="宋体"/>
          <w:b/>
          <w:bCs/>
          <w:spacing w:val="7"/>
          <w:sz w:val="20"/>
          <w:szCs w:val="20"/>
          <w:lang w:eastAsia="zh-CN"/>
        </w:rPr>
        <w:t>。</w:t>
      </w:r>
    </w:p>
    <w:p w14:paraId="6E0D33B8">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ascii="宋体" w:hAnsi="宋体" w:eastAsia="宋体" w:cs="宋体"/>
          <w:sz w:val="20"/>
          <w:szCs w:val="20"/>
          <w:lang w:eastAsia="zh-CN"/>
        </w:rPr>
        <w:sectPr>
          <w:pgSz w:w="11900" w:h="16840"/>
          <w:pgMar w:top="907" w:right="1417" w:bottom="907" w:left="1417"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240" w:lineRule="auto"/>
        <w:ind w:left="22" w:right="18" w:firstLine="1"/>
        <w:jc w:val="both"/>
        <w:textAlignment w:val="baseline"/>
        <w:rPr>
          <w:rFonts w:ascii="宋体" w:hAnsi="宋体" w:eastAsia="宋体" w:cs="宋体"/>
          <w:sz w:val="20"/>
          <w:szCs w:val="20"/>
          <w:highlight w:val="none"/>
          <w:lang w:eastAsia="zh-CN"/>
        </w:rPr>
      </w:pPr>
      <w:r>
        <w:rPr>
          <w:rFonts w:ascii="宋体" w:hAnsi="宋体" w:eastAsia="宋体" w:cs="宋体"/>
          <w:b/>
          <w:bCs/>
          <w:spacing w:val="8"/>
          <w:sz w:val="20"/>
          <w:szCs w:val="20"/>
          <w:highlight w:val="none"/>
          <w:lang w:eastAsia="zh-CN"/>
        </w:rPr>
        <w:t>十、</w:t>
      </w:r>
      <w:r>
        <w:rPr>
          <w:rFonts w:hint="eastAsia" w:ascii="宋体" w:hAnsi="宋体" w:eastAsia="宋体" w:cs="宋体"/>
          <w:b/>
          <w:bCs/>
          <w:spacing w:val="8"/>
          <w:sz w:val="20"/>
          <w:szCs w:val="20"/>
          <w:highlight w:val="none"/>
          <w:lang w:val="en-US" w:eastAsia="zh-CN"/>
        </w:rPr>
        <w:t>参选公司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rFonts w:ascii="宋体" w:hAnsi="宋体" w:eastAsia="宋体" w:cs="宋体"/>
          <w:b/>
          <w:bCs/>
          <w:color w:val="FF0000"/>
          <w:spacing w:val="7"/>
          <w:sz w:val="20"/>
          <w:szCs w:val="20"/>
          <w:highlight w:val="none"/>
          <w:lang w:eastAsia="zh-CN"/>
        </w:rPr>
        <w:t>（提供以上截图</w:t>
      </w:r>
      <w:r>
        <w:rPr>
          <w:rFonts w:hint="eastAsia" w:ascii="宋体" w:hAnsi="宋体" w:eastAsia="宋体" w:cs="宋体"/>
          <w:b/>
          <w:bCs/>
          <w:color w:val="FF0000"/>
          <w:spacing w:val="7"/>
          <w:sz w:val="20"/>
          <w:szCs w:val="20"/>
          <w:highlight w:val="none"/>
          <w:lang w:val="en-US" w:eastAsia="zh-CN"/>
        </w:rPr>
        <w:t>并加盖公章</w:t>
      </w:r>
      <w:r>
        <w:rPr>
          <w:rFonts w:ascii="宋体" w:hAnsi="宋体" w:eastAsia="宋体" w:cs="宋体"/>
          <w:b/>
          <w:bCs/>
          <w:color w:val="FF0000"/>
          <w:spacing w:val="7"/>
          <w:sz w:val="20"/>
          <w:szCs w:val="20"/>
          <w:highlight w:val="none"/>
          <w:lang w:eastAsia="zh-CN"/>
        </w:rPr>
        <w:t>）</w:t>
      </w:r>
    </w:p>
    <w:p w14:paraId="46792666">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宋体" w:hAnsi="宋体" w:eastAsia="宋体" w:cs="宋体"/>
          <w:sz w:val="20"/>
          <w:szCs w:val="20"/>
          <w:highlight w:val="none"/>
          <w:lang w:eastAsia="zh-CN"/>
        </w:rPr>
        <w:sectPr>
          <w:pgSz w:w="11900" w:h="16840"/>
          <w:pgMar w:top="907" w:right="1701" w:bottom="907" w:left="1701" w:header="0" w:footer="0" w:gutter="0"/>
          <w:cols w:space="720" w:num="1"/>
        </w:sectPr>
      </w:pPr>
    </w:p>
    <w:p w14:paraId="33901F1B">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生产（供应）企业资质证明（加盖公章），包括但不限于；《企业法人营业执照》、《动物防疫合格证》、《食品生产许可证》或《食品经营许可证》或含同类意思表述证书。如服务商的许可证书与营业执照合并办理的，提供扫描营业执照二维码后的有效备案信息截图。</w:t>
      </w:r>
    </w:p>
    <w:p w14:paraId="2478948A">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1AD104C4">
      <w:pPr>
        <w:spacing w:before="137"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0"/>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583"/>
        <w:gridCol w:w="5715"/>
        <w:gridCol w:w="1410"/>
        <w:gridCol w:w="1080"/>
        <w:gridCol w:w="888"/>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583"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715"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10"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080"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888"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583"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715" w:type="dxa"/>
          </w:tcPr>
          <w:p w14:paraId="148420DA">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一、项目概况</w:t>
            </w:r>
          </w:p>
          <w:p w14:paraId="0A202FE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项目名称：</w:t>
            </w:r>
            <w:r>
              <w:rPr>
                <w:rFonts w:hint="eastAsia" w:ascii="宋体" w:hAnsi="宋体" w:eastAsia="宋体" w:cs="宋体"/>
                <w:sz w:val="20"/>
                <w:szCs w:val="20"/>
                <w:lang w:val="en-US" w:eastAsia="zh-CN"/>
              </w:rPr>
              <w:t>中山市东升医院2026-2028年度食堂经营和改造项目</w:t>
            </w:r>
          </w:p>
          <w:p w14:paraId="385FAF0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项目编号：FW-CW-CW-2026060</w:t>
            </w:r>
          </w:p>
          <w:p w14:paraId="77EB2AF8">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3. 场地范围：现有食堂就餐区建筑面积约253平方米，改造后可容纳约130人同时就餐，并拆除部分旧建筑物。（见附件三《原食堂平面图》）</w:t>
            </w:r>
          </w:p>
          <w:p w14:paraId="2939165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资金来源：</w:t>
            </w:r>
            <w:r>
              <w:rPr>
                <w:rFonts w:hint="eastAsia" w:ascii="宋体" w:hAnsi="宋体" w:eastAsia="宋体" w:cs="宋体"/>
                <w:sz w:val="20"/>
                <w:szCs w:val="20"/>
                <w:lang w:eastAsia="zh-CN"/>
              </w:rPr>
              <w:t>项目采用全包干的方式承包，由中选服务商负责遴选文件对中选服务商要求的一切事宜，自负盈亏，采购人不支付任何费用或补贴。中选服务商及其工作人员所产生的一切费用及责任由中选服务商负责，与采购人无关。</w:t>
            </w:r>
          </w:p>
          <w:p w14:paraId="3F546C4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w:t>
            </w:r>
            <w:r>
              <w:rPr>
                <w:rFonts w:hint="eastAsia" w:ascii="宋体" w:hAnsi="宋体" w:eastAsia="宋体" w:cs="宋体"/>
                <w:sz w:val="20"/>
                <w:szCs w:val="20"/>
                <w:lang w:val="en-US" w:eastAsia="zh-CN"/>
              </w:rPr>
              <w:t>服务期限：</w:t>
            </w:r>
            <w:r>
              <w:rPr>
                <w:rFonts w:hint="eastAsia" w:ascii="宋体" w:hAnsi="宋体" w:eastAsia="宋体" w:cs="宋体"/>
                <w:sz w:val="20"/>
                <w:szCs w:val="20"/>
              </w:rPr>
              <w:t>自合同签订日起</w:t>
            </w:r>
            <w:r>
              <w:rPr>
                <w:rFonts w:hint="eastAsia" w:ascii="宋体" w:hAnsi="宋体" w:eastAsia="宋体" w:cs="宋体"/>
                <w:sz w:val="20"/>
                <w:szCs w:val="20"/>
                <w:lang w:val="en-US" w:eastAsia="zh-CN"/>
              </w:rPr>
              <w:t>三</w:t>
            </w:r>
            <w:r>
              <w:rPr>
                <w:rFonts w:hint="eastAsia" w:ascii="宋体" w:hAnsi="宋体" w:eastAsia="宋体" w:cs="宋体"/>
                <w:sz w:val="20"/>
                <w:szCs w:val="20"/>
              </w:rPr>
              <w:t>年。服务期限采取1+1+1的方式。即先签订一年合同，如采购人对中选服务商的服务满意且考核合格，在第一年合同期满后，经采购人考核合格并同意后，则双方续签下一年度合同。如采购人对中选服务商所提供的服务不满意（即连续两个月考核结果低于80分的），采购人有权单方终止合同，不再续签。</w:t>
            </w:r>
          </w:p>
          <w:p w14:paraId="54AE24EC">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6. 项目内容：食堂经营和改造项目，服务商须按国家、行业标准和遴选文件的要求对项目提供相关服务。具体服务内容包括但不限于食堂经营、食堂改造装修、设备设施投入、食品安全管理、人员管理及信息系统建设等。</w:t>
            </w:r>
          </w:p>
          <w:p w14:paraId="6683879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7</w:t>
            </w:r>
            <w:r>
              <w:rPr>
                <w:rFonts w:hint="eastAsia"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本项目不接受联合体响应。</w:t>
            </w:r>
          </w:p>
          <w:p w14:paraId="656D7C9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8</w:t>
            </w:r>
            <w:r>
              <w:rPr>
                <w:rFonts w:hint="eastAsia"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本项目不得以任何方式转包或分包，否则采购人有权扣除履约保证金并自动终止合同。</w:t>
            </w:r>
          </w:p>
          <w:p w14:paraId="34B24C3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 凡带"★"的条款为该项目的重要技术服务要求，必须完全满足，如有负偏离的遴选文件将被认定为无效投标；凡带"▲"标识的内容为评标的重要参数依据，响应服务商应对该标识项目按照要求进行真实应答描述，但不作为废标的实质性条款。</w:t>
            </w:r>
          </w:p>
          <w:p w14:paraId="74297FF9">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10. 本项目由医院统一安排现场踏勘及现有菜品价格查询，若响应服务商需开展现场踏勘及现有菜品价格查询，须于2026年8月7日12时前将营业执照扫描件与委托人证明发送至邮箱：zssdsyyzwk@126.com进行预约，并于2026年8月7日15时至总务科签到后参加统一现场踏勘。因响应服务商未充分了解项目情况导致方案不合理或不完整的，采购人不承担责任；采购人不接受因响应服务商未充分掌握项目情况而提出的任何异议或索赔。</w:t>
            </w:r>
          </w:p>
        </w:tc>
        <w:tc>
          <w:tcPr>
            <w:tcW w:w="1410" w:type="dxa"/>
          </w:tcPr>
          <w:p w14:paraId="03ED26DE">
            <w:pPr>
              <w:pStyle w:val="11"/>
              <w:rPr>
                <w:rFonts w:ascii="宋体" w:hAnsi="宋体" w:eastAsia="宋体" w:cs="宋体"/>
                <w:lang w:eastAsia="zh-CN"/>
              </w:rPr>
            </w:pPr>
          </w:p>
        </w:tc>
        <w:tc>
          <w:tcPr>
            <w:tcW w:w="1080" w:type="dxa"/>
          </w:tcPr>
          <w:p w14:paraId="314D7EEC">
            <w:pPr>
              <w:pStyle w:val="11"/>
              <w:rPr>
                <w:rFonts w:ascii="宋体" w:hAnsi="宋体" w:eastAsia="宋体" w:cs="宋体"/>
                <w:lang w:eastAsia="zh-CN"/>
              </w:rPr>
            </w:pPr>
          </w:p>
        </w:tc>
        <w:tc>
          <w:tcPr>
            <w:tcW w:w="888" w:type="dxa"/>
          </w:tcPr>
          <w:p w14:paraId="0A9D39B5">
            <w:pPr>
              <w:pStyle w:val="11"/>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583"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715" w:type="dxa"/>
          </w:tcPr>
          <w:p w14:paraId="53BE3DE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响应服务商资格要求</w:t>
            </w:r>
          </w:p>
          <w:p w14:paraId="644D566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具有独立承担民事责任的能力：提供在中华人民共和国境内注册的法人或其他组织的营业执照或事业单位法人证书或社会团体法人登记证书扫描件及食品经营许可证扫描件；如国家另有规定的，则从其规定。经营范围应包括餐饮管理或饮食管理或食品经营管理。</w:t>
            </w:r>
          </w:p>
          <w:p w14:paraId="2493BB9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有依法缴纳税收和社会保障资金的良好记录：提供遴选公告发布之日起前6个月内任意1个月依法缴纳税收和社会保障资金的相关材料。如依法免税或不需要缴纳社会保障资金的，提供相应证明材料。</w:t>
            </w:r>
          </w:p>
          <w:p w14:paraId="78CFA5B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具有良好的商业信誉和健全的财务会计制度：提供202</w:t>
            </w:r>
            <w:r>
              <w:rPr>
                <w:rFonts w:hint="eastAsia" w:ascii="宋体" w:hAnsi="宋体" w:eastAsia="宋体" w:cs="宋体"/>
                <w:sz w:val="20"/>
                <w:szCs w:val="20"/>
                <w:lang w:val="en-US" w:eastAsia="zh-CN"/>
              </w:rPr>
              <w:t>5</w:t>
            </w:r>
            <w:r>
              <w:rPr>
                <w:rFonts w:hint="eastAsia" w:ascii="宋体" w:hAnsi="宋体" w:eastAsia="宋体" w:cs="宋体"/>
                <w:sz w:val="20"/>
                <w:szCs w:val="20"/>
                <w:lang w:eastAsia="zh-CN"/>
              </w:rPr>
              <w:t>年度财务状况报告扫描件，或遴选公告发布之日起前6个月内任意1个月的财务报表扫描件，或基本开户行出具的资信证明扫描件。</w:t>
            </w:r>
          </w:p>
          <w:p w14:paraId="4A88EDD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履行合同所必需的设备和专业技术能力：提供"具有履行合同所必需的设备和专业技术能力"的承诺</w:t>
            </w:r>
            <w:r>
              <w:rPr>
                <w:rFonts w:hint="eastAsia" w:ascii="宋体" w:hAnsi="宋体" w:eastAsia="宋体" w:cs="宋体"/>
                <w:sz w:val="20"/>
                <w:szCs w:val="20"/>
                <w:lang w:val="en-US" w:eastAsia="zh-CN"/>
              </w:rPr>
              <w:t>函</w:t>
            </w:r>
            <w:r>
              <w:rPr>
                <w:rFonts w:hint="eastAsia" w:ascii="宋体" w:hAnsi="宋体" w:eastAsia="宋体" w:cs="宋体"/>
                <w:sz w:val="20"/>
                <w:szCs w:val="20"/>
                <w:lang w:eastAsia="zh-CN"/>
              </w:rPr>
              <w:t>，或提供"具有设备和专业技术能力（人员）"的相关证明资料，或提供《设备和专业技术能力（人员）情况表》（格式自拟）。</w:t>
            </w:r>
          </w:p>
          <w:p w14:paraId="35A1F8A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参加本次遴选活动前三年内，在经营活动中没有重大违法记录，提供承诺函。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55004C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参选公司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14:paraId="6953FCAF">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7.</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单位负责人为同一人或存在直接控股、管理关系的不同供应商，不得同时参与本项目，供应商须提供承诺函。</w:t>
            </w:r>
          </w:p>
        </w:tc>
        <w:tc>
          <w:tcPr>
            <w:tcW w:w="1410" w:type="dxa"/>
          </w:tcPr>
          <w:p w14:paraId="69CF45F5">
            <w:pPr>
              <w:pStyle w:val="11"/>
              <w:rPr>
                <w:rFonts w:ascii="宋体" w:hAnsi="宋体" w:eastAsia="宋体" w:cs="宋体"/>
                <w:lang w:eastAsia="zh-CN"/>
              </w:rPr>
            </w:pPr>
          </w:p>
        </w:tc>
        <w:tc>
          <w:tcPr>
            <w:tcW w:w="1080" w:type="dxa"/>
          </w:tcPr>
          <w:p w14:paraId="4B1E84E1">
            <w:pPr>
              <w:pStyle w:val="11"/>
              <w:rPr>
                <w:rFonts w:ascii="宋体" w:hAnsi="宋体" w:eastAsia="宋体" w:cs="宋体"/>
                <w:lang w:eastAsia="zh-CN"/>
              </w:rPr>
            </w:pPr>
          </w:p>
        </w:tc>
        <w:tc>
          <w:tcPr>
            <w:tcW w:w="888" w:type="dxa"/>
          </w:tcPr>
          <w:p w14:paraId="050D5957">
            <w:pPr>
              <w:pStyle w:val="11"/>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583"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715" w:type="dxa"/>
          </w:tcPr>
          <w:p w14:paraId="77EA578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三、项目需求</w:t>
            </w:r>
          </w:p>
          <w:p w14:paraId="242DED8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一</w:t>
            </w:r>
            <w:r>
              <w:rPr>
                <w:rFonts w:hint="eastAsia" w:ascii="宋体" w:hAnsi="宋体" w:eastAsia="宋体" w:cs="宋体"/>
                <w:sz w:val="20"/>
                <w:szCs w:val="20"/>
                <w:lang w:eastAsia="zh-CN"/>
              </w:rPr>
              <w:t>）经营模式</w:t>
            </w:r>
          </w:p>
          <w:p w14:paraId="124DA61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由采购人向中选服务商提供经营场地，中选服务商应在每月5日前向采购人缴交上一个月的水、电费（按实结算），厨余垃圾由中选服务商自行与具有收运资质的第三方公司签订收运合同，中选服务商负责自主经营、自主管理、独立核算。</w:t>
            </w:r>
          </w:p>
          <w:p w14:paraId="20F1134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应每天（全年不间断）为员工（含进修生、实习生、后勤服务公司员工及其他工作人员）、患者及家属提供早餐、中餐、晚餐，并以成本价提供体检餐、公务餐、专家餐、会议餐、职工包餐、会议盒饭及采购人需要的各类临时性用餐和应急配餐服务。</w:t>
            </w:r>
          </w:p>
          <w:p w14:paraId="018FE05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采用堂食和配送餐服务相结合的模式。中选服务商须有完善的线上订餐系统（含订餐自取），配备足够的送餐服务人员。</w:t>
            </w:r>
          </w:p>
          <w:p w14:paraId="0506E4A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供餐时间：早餐应于早上06:45-08:30出餐，中餐应于中午11:00-13:00出餐，晚餐应于下午16:30-19:00出餐。（中选服务商必须提供环保材料的餐具）</w:t>
            </w:r>
          </w:p>
          <w:p w14:paraId="7025A9F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补助情况：采购人按职工用餐情况对用餐进行补助：早餐3元/人，午、晚餐11元/人，按实际用餐情况计补助。</w:t>
            </w:r>
          </w:p>
          <w:p w14:paraId="50CC00A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中选服务商自觉接受采购人及餐饮主管部门的监督管理。</w:t>
            </w:r>
          </w:p>
          <w:p w14:paraId="369D6A1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）中选服务商应承担费用</w:t>
            </w:r>
          </w:p>
          <w:p w14:paraId="09337D5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★中选服务商负责按食品安全的要求购买食物原材料、加工和水、电、气的费用及其员工的一切工资、福利、保险、健康体检和所产生事故、责任和纠纷的处理。</w:t>
            </w:r>
          </w:p>
          <w:p w14:paraId="018EB52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中选服务商每年须为食堂购买不少于500万保额的食品安全责任险和不少于200万保额的公众责任险。</w:t>
            </w:r>
          </w:p>
          <w:p w14:paraId="17E2549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中选服务商负责办理合法经营所需的各类相关证件资料。</w:t>
            </w:r>
          </w:p>
          <w:p w14:paraId="2DBA4BF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负责对食堂经营场所改造、重新装修（扩建装修面积不低于200平方米）及其基础设备、设施的添置、改造、翻新、维修和保养（包括但不限于食堂扩建、各项厨房设施、桌椅等），所需费用和物品的更新、增设和日常维修保养等一切费用由中选服务商自行承担，具体要求如下：</w:t>
            </w:r>
          </w:p>
          <w:p w14:paraId="3C35D10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中选后1个月内必须按采购人要求，在满足食品安全管理和消防安全管理的相关法律法规要求下，负责原饭堂部分建筑物拆除，对饭堂进行扩建、装修和流程优化，包括但不限于：饭堂钢结构扩建装修、布局调整、地面墙身翻新、管道走向调整、消防设备设施增设等。</w:t>
            </w:r>
          </w:p>
          <w:p w14:paraId="48BFADC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在装修前必须提交书面装修申请和图纸（含平面设计图、装修效果图等）、预算明细表、施工方案等交给采购人审批同意后方可进行，装修所产生的一切费用由中选服务商负责。批准施工之日起，一个月内完成施工，若遇特殊情况需要延期，书面说明延期原因。</w:t>
            </w:r>
          </w:p>
          <w:p w14:paraId="032824C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必须选择具备装修、消防建设资质的公司进行施工，材料、工艺必须符合环保要求及国家相关要求，采购人有权对装修公司及施工材料、工艺、环节进行监督管理，一旦发现不符合要求或以次充好的情形，采购人有权要求中选服务商立即停工整改。因中选服务商原因造成一切装修事故或安全隐患，所有责任及损失由中选服务商自行承担，对采购人造成经济或其他损失的，采购人有权进行索赔。</w:t>
            </w:r>
          </w:p>
          <w:p w14:paraId="5FEBDFC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装修改造不得对原建筑构成损害及造成环境的不协调，合同期满中选服务商可以拆除商标标牌及其他属于中选服务商的可移动的设备设施，但房屋内的固定装卸设施（如隔墙、门窗、天花、地板、消防设施等）归采购人所有，中选服务商不得拆除或破坏。</w:t>
            </w:r>
          </w:p>
          <w:p w14:paraId="0B4198B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★中选服务商应制定装修期间的可行供餐方案，必须确保装修改造期间的正常供餐且应符合食品安全管理要求。</w:t>
            </w:r>
          </w:p>
          <w:p w14:paraId="48915EF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三</w:t>
            </w:r>
            <w:r>
              <w:rPr>
                <w:rFonts w:hint="eastAsia" w:ascii="宋体" w:hAnsi="宋体" w:eastAsia="宋体" w:cs="宋体"/>
                <w:sz w:val="20"/>
                <w:szCs w:val="20"/>
                <w:lang w:eastAsia="zh-CN"/>
              </w:rPr>
              <w:t>）信息系统要求</w:t>
            </w:r>
          </w:p>
          <w:p w14:paraId="0D17C48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应当具备订餐系统、IC卡消费系统功能开发、配置能力，IC卡具有移动刷卡、个人充值、兼容采购人现有门禁等功能，结算报表能区分采购人充值和个人充值。若需接入相关系统，费用由中选服务商承担。食堂信息系统应具备以下功能：</w:t>
            </w:r>
          </w:p>
          <w:p w14:paraId="48DCFAB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具有食堂APP网上订餐系统（提供该即将上线APP的相关材料，例如操作界面截图、运行方案等）。</w:t>
            </w:r>
          </w:p>
          <w:p w14:paraId="630F39D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具备专有订餐APP且可直接网上订餐。员工可通过手机号或员工代码登录APP，患者或家属通过手机号登录。APP网上订餐系统应可以接受患者信息（病区、姓名、住院号、床号）和员工信息（员工姓名、工号或手机号等）进行订餐，并出具菜品单价明细小票。</w:t>
            </w:r>
          </w:p>
          <w:p w14:paraId="03F27AB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从食堂APP网上订餐后，消费者可以查询所订餐食的物流进度，订单完成后还可以在APP网上订餐系统进行消费评价（具有图片上传功能）。</w:t>
            </w:r>
          </w:p>
          <w:p w14:paraId="524D86D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食堂APP网上订餐系统应有预约点餐（例如提前1天下单）、临时取消订单及增加订单的功能，还具有配送餐方式（有堂食、配送、自提或他人代取，如由他人代取，需设置核对确认环节如随机取餐码）等多种配送方式的选择。</w:t>
            </w:r>
          </w:p>
          <w:p w14:paraId="7207B6A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食堂信息化系统应具备员工在食堂消费时，系统应具有："按员工就餐补助规则，在系统中直接扣减补贴金额后，再从员工个人饭卡账号收取差额"的功能，无需再另行统计并集中发放补助。中选服务商应配合用餐补助规则的变化而调整。</w:t>
            </w:r>
          </w:p>
          <w:p w14:paraId="1ECF9B9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食堂信息系统应具备移动刷卡系统或手机网上消费（绑定饭卡）功能，让无法到食堂现场就餐的员工在病房订餐也能享受到员工消费补助。APP可对全院员工进行科室分组。</w:t>
            </w:r>
          </w:p>
          <w:p w14:paraId="15C7CD6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1.7</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食堂信息系统应具备直接通过员工手机或个人账号进行网上充值和无卡手机扫码消费等功能，应具有通过识别员工出示的手机代码直接扣费（员工在食堂消费可享受对应的优惠折扣）的功能。</w:t>
            </w:r>
          </w:p>
          <w:p w14:paraId="145364C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1.8</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如中选服务商消费方式为识别IC卡，所有卡均由中选服务商提供，由采购人录入信息、发放、补办、取消等。并且在合同期内负责饭卡、工牌（IC、ID一体卡）的制作。</w:t>
            </w:r>
          </w:p>
          <w:p w14:paraId="368439B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四</w:t>
            </w:r>
            <w:r>
              <w:rPr>
                <w:rFonts w:hint="eastAsia" w:ascii="宋体" w:hAnsi="宋体" w:eastAsia="宋体" w:cs="宋体"/>
                <w:sz w:val="20"/>
                <w:szCs w:val="20"/>
                <w:lang w:eastAsia="zh-CN"/>
              </w:rPr>
              <w:t>）监控设备要求</w:t>
            </w:r>
          </w:p>
          <w:p w14:paraId="01A57D6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应该在正常营业前在食堂关键操作间及重点区域完成监控设备的安装，达到全方位监控，以确保对规范操作及食品质量安全进行24小时监督管理，存储时间达到30天以上。具体包括且不仅限于以下区域：各操作间（烹饪间、分餐区、洗消间等）、就餐区、收银处、各出入口。</w:t>
            </w:r>
          </w:p>
          <w:p w14:paraId="17A9DAD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中选服务商应按照采购人主管部门的要求，在共同进行现场勘查确定后，按照在合理的位置安装监控设备。如在合同期内根据实际情况需加装监控设备的，中选服务商应按照要求安装，设备及安装等所有费用由中选服务商承担。</w:t>
            </w:r>
          </w:p>
          <w:p w14:paraId="2EEC59A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五</w:t>
            </w:r>
            <w:r>
              <w:rPr>
                <w:rFonts w:hint="eastAsia" w:ascii="宋体" w:hAnsi="宋体" w:eastAsia="宋体" w:cs="宋体"/>
                <w:sz w:val="20"/>
                <w:szCs w:val="20"/>
                <w:lang w:eastAsia="zh-CN"/>
              </w:rPr>
              <w:t>）履约保证金</w:t>
            </w:r>
          </w:p>
          <w:p w14:paraId="4DA6C9D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中选服务商中选后在签订正式合同之日起一个月内，向采购人缴纳5万元履约保证金，作为其全面履行合同义务（包括食品安全、服务质量、设备维护、人员管理等）的担保。若中选服务商发生违约行为，采购人有权扣减履约保证金。待中选服务商合同期满后，无发生突发事件或严重的不良事件的，等双方交接完毕并评价优秀后，采购人将无息退还履约保证金。</w:t>
            </w:r>
          </w:p>
          <w:p w14:paraId="554EE50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六</w:t>
            </w:r>
            <w:r>
              <w:rPr>
                <w:rFonts w:hint="eastAsia" w:ascii="宋体" w:hAnsi="宋体" w:eastAsia="宋体" w:cs="宋体"/>
                <w:sz w:val="20"/>
                <w:szCs w:val="20"/>
                <w:lang w:eastAsia="zh-CN"/>
              </w:rPr>
              <w:t>）智慧餐厅系统</w:t>
            </w:r>
          </w:p>
          <w:p w14:paraId="2DB714F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中选服务商应该在正常营业时投入使用"智慧餐厅"系统，并实现以下功能：</w:t>
            </w:r>
          </w:p>
          <w:p w14:paraId="3207FD1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（1）自助称重，开放式一菜一价自由餐，自由、透明、公道、灵活。</w:t>
            </w:r>
          </w:p>
          <w:p w14:paraId="1CC8800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（2）智慧餐盘结算，高效、便捷的结算方式，减少就餐高峰期的排队情况。</w:t>
            </w:r>
          </w:p>
          <w:p w14:paraId="1D5F3AA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（3）提供便捷操作如下：</w:t>
            </w:r>
          </w:p>
          <w:p w14:paraId="4AAFA8D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①</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关注公众号，自行注册充值；</w:t>
            </w:r>
          </w:p>
          <w:p w14:paraId="7166975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②</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取托盘，到绑卡机处刷脸绑定托盘；</w:t>
            </w:r>
          </w:p>
          <w:p w14:paraId="591D360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③</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绑定成功，拿取托盘到各菜盘处自行取菜；</w:t>
            </w:r>
          </w:p>
          <w:p w14:paraId="1E7C1AB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④</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完成取菜后托盘放在感应盘上面，自动生成订单；</w:t>
            </w:r>
          </w:p>
          <w:p w14:paraId="7D77366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⑤</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自动余额结算。</w:t>
            </w:r>
          </w:p>
          <w:p w14:paraId="03DAD42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七</w:t>
            </w:r>
            <w:r>
              <w:rPr>
                <w:rFonts w:hint="eastAsia" w:ascii="宋体" w:hAnsi="宋体" w:eastAsia="宋体" w:cs="宋体"/>
                <w:sz w:val="20"/>
                <w:szCs w:val="20"/>
                <w:lang w:eastAsia="zh-CN"/>
              </w:rPr>
              <w:t>）折旧要求</w:t>
            </w:r>
          </w:p>
          <w:p w14:paraId="2A3FBCA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lang w:eastAsia="zh-CN"/>
              </w:rPr>
              <w:t>★中选服务商所投入的装修、固定资产类设备设施（不包含餐具用具等低值易耗品）按6年计算折旧，后三年的折旧费用由下一服务期的中选服务商承担。中选服务商需向采购人提供固定资产类设备设施的目录清单、采购发票及其他相关凭证，采购人可委托第三方审计机构进行审计，最终确定拟进行折旧的资产清单和资产总额。合同期内，中选服务商负责折旧设备设施的保管、维修维护、更换，合同到期后，须将折旧目录清单内的所有设备设施移交给下一期服务商，如有缺失的，由中选服务商负责补充，或者将缺失的设备设施移出折旧资产清单。</w:t>
            </w:r>
          </w:p>
          <w:p w14:paraId="1132646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 xml:space="preserve">2. </w:t>
            </w:r>
            <w:r>
              <w:rPr>
                <w:rFonts w:hint="eastAsia" w:ascii="宋体" w:hAnsi="宋体" w:eastAsia="宋体" w:cs="宋体"/>
                <w:sz w:val="20"/>
                <w:szCs w:val="20"/>
                <w:lang w:eastAsia="zh-CN"/>
              </w:rPr>
              <w:t>按加速折旧法中的"年数总和法"进行折旧，每年折旧率约为：第一年28.57%、第二年23.80%、第三年19.05%、第四年14.30%、第五年9.52%、第六年4.76%，从合同起始日开始计算折旧，折旧完后，所有设备设施产权归采购人所有。</w:t>
            </w:r>
          </w:p>
        </w:tc>
        <w:tc>
          <w:tcPr>
            <w:tcW w:w="1410" w:type="dxa"/>
          </w:tcPr>
          <w:p w14:paraId="50520806">
            <w:pPr>
              <w:pStyle w:val="11"/>
              <w:rPr>
                <w:rFonts w:ascii="宋体" w:hAnsi="宋体" w:eastAsia="宋体" w:cs="宋体"/>
                <w:lang w:eastAsia="zh-CN"/>
              </w:rPr>
            </w:pPr>
          </w:p>
        </w:tc>
        <w:tc>
          <w:tcPr>
            <w:tcW w:w="1080" w:type="dxa"/>
          </w:tcPr>
          <w:p w14:paraId="27AC7BB1">
            <w:pPr>
              <w:pStyle w:val="11"/>
              <w:rPr>
                <w:rFonts w:ascii="宋体" w:hAnsi="宋体" w:eastAsia="宋体" w:cs="宋体"/>
                <w:lang w:eastAsia="zh-CN"/>
              </w:rPr>
            </w:pPr>
          </w:p>
        </w:tc>
        <w:tc>
          <w:tcPr>
            <w:tcW w:w="888" w:type="dxa"/>
          </w:tcPr>
          <w:p w14:paraId="714423AC">
            <w:pPr>
              <w:pStyle w:val="11"/>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583"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715" w:type="dxa"/>
          </w:tcPr>
          <w:p w14:paraId="6EAC23D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四、服务要求</w:t>
            </w:r>
          </w:p>
          <w:p w14:paraId="7AE6796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（一）供餐模式</w:t>
            </w:r>
          </w:p>
          <w:p w14:paraId="1A5C7B4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中选服务商供应"由消费者自选菜品"的供餐模式。每餐供应食品的种类应包括（但不限于）：粤菜、湘菜、川菜、粥、粉、面类和各类风味小吃等，并提供各种调味料如：糖、酱油、辣椒圈/酱等；午、晚餐米饭和例汤可无限添加，职工食堂不少于8个菜品。</w:t>
            </w:r>
          </w:p>
          <w:p w14:paraId="068DB68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按照采购人的要求，需要提供不少于以下的餐品类型（必要时主管部门协助制定相关的餐食标准）：</w:t>
            </w:r>
          </w:p>
          <w:p w14:paraId="45BA667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2.1 住院患者基本膳食；</w:t>
            </w:r>
          </w:p>
          <w:p w14:paraId="79DC9A8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2.2 住院患者特殊治疗膳食（低糖餐、减脂餐、流质等）；</w:t>
            </w:r>
          </w:p>
          <w:p w14:paraId="5464BD5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2.3 住院产妇月子餐；</w:t>
            </w:r>
          </w:p>
          <w:p w14:paraId="5A3B14F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2.4 体检餐（采购人指定体检餐标，中选服务商按需进行供应）；</w:t>
            </w:r>
          </w:p>
          <w:p w14:paraId="6145A1D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2.5 专家餐（40元餐标，供AB餐选择）；</w:t>
            </w:r>
          </w:p>
          <w:p w14:paraId="3CF1B43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2.6 职工的基本膳食（早餐、午餐、晚餐）；进修生、实习生、后勤服务公司员工及其他工作人员的餐费按九折计算；</w:t>
            </w:r>
          </w:p>
          <w:p w14:paraId="6471D53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2.7 患者的基本膳食（早餐、午餐、晚餐），不限于快餐、煲仔饭、汤粉面等；</w:t>
            </w:r>
          </w:p>
          <w:p w14:paraId="1CF748C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2.8 特殊地方风味膳食；</w:t>
            </w:r>
          </w:p>
          <w:p w14:paraId="4FCD127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2.9 定型包装食品（牛奶类，销售价格不高于附近连锁商店价格）。</w:t>
            </w:r>
          </w:p>
          <w:p w14:paraId="1A2432F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打包送餐额外加收打包费不得高于1元，早中晚餐外卖配送不设置起送门槛。</w:t>
            </w:r>
          </w:p>
          <w:p w14:paraId="4699FC0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★（二）菜品供应方案</w:t>
            </w:r>
          </w:p>
          <w:p w14:paraId="2C227F3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响应服务商需在供应方案中列明所供应的早餐的每个品种菜式、午晚餐的荤菜、半荤菜以及素菜的菜式、价格以及供应方案，至少包含以下内容：</w:t>
            </w:r>
          </w:p>
          <w:p w14:paraId="1F4364A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① 计划供应的早餐所有品种菜式名录；</w:t>
            </w:r>
          </w:p>
          <w:p w14:paraId="2763353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② 计划供应的所有荤菜菜式名录；</w:t>
            </w:r>
          </w:p>
          <w:p w14:paraId="73F162F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③ 计划供应的所有半荤菜菜式名录；</w:t>
            </w:r>
          </w:p>
          <w:p w14:paraId="54F826A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④ 计划供应的所有素菜菜式名录；</w:t>
            </w:r>
          </w:p>
          <w:p w14:paraId="23CB1FF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⑤ 计划供应的例汤名录；</w:t>
            </w:r>
          </w:p>
          <w:p w14:paraId="17F0155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⑥ 计划供应的煲仔饭名录；</w:t>
            </w:r>
          </w:p>
          <w:p w14:paraId="3EB3F5B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⑦ 计划供应的炖汤名录；</w:t>
            </w:r>
          </w:p>
          <w:p w14:paraId="11E6393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⑧ 计划供应的地方特色风味餐名录（如北方特色面食、水煮鱼/牛肉等）；</w:t>
            </w:r>
          </w:p>
          <w:p w14:paraId="6A131F2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⑨ 每天供应的菜式计划表（按照每周为一个周期进行计划）。</w:t>
            </w:r>
          </w:p>
          <w:p w14:paraId="2B000F5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（三）价格管理</w:t>
            </w:r>
          </w:p>
          <w:p w14:paraId="4DBA84F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为产妇、患者及家属提供的餐饮食品价格不得高于市场同等水平，中选服务商在投标时提供供应患者及家属的菜品定价报价（包含但不限于：点心类、煲仔饭类、粥粉面类、快餐、月子餐套餐、低糖餐等）。具体价格可根据市场的价格浮动，由中选服务商提出书面申请，经双方核定确认后方可浮动，中选服务商不得私自调整价格。</w:t>
            </w:r>
          </w:p>
          <w:p w14:paraId="2BED295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职工餐（含职工、规培、实习人员、进修人员、研究生等）的菜品单价根据市场菜品单价。</w:t>
            </w:r>
          </w:p>
          <w:p w14:paraId="5DE2747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中选服务商需配合和接受采购人对进货价格、成本、会计账单等台账资料的监督和管理，采购人有权指定第三方审计机构对食堂的经营状况进行审计。采购人享有食堂运营系统的数据报表监管权限，中选服务商需开放系统权限给采购人，采购人可随时查阅以下数据：营业收入、经营成本、实时食材溯源情况、库存数量、产品销量、收据等，以上数据不得弄虚作假。如发现有偷水、偷电、偷汽等行为采购人有权按当月应付费的10倍扣罚。</w:t>
            </w:r>
          </w:p>
          <w:p w14:paraId="251D176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 中选服务商每月10号前需向采购人提交食堂上一月份的经营报表。</w:t>
            </w:r>
          </w:p>
          <w:p w14:paraId="26EA649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（四）消费结算方式</w:t>
            </w:r>
          </w:p>
          <w:p w14:paraId="06B4F46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员工（含实习生、进修生、其他工作人员）就餐时以个人饭卡或信息代码进行结算的方式结算，在职员工不得收取现金。其他员工（含实习生、进修生、其他工作人员）在就餐按菜品定价价格结算，包餐费用以签单形式支付，患者、家属及外来人员就餐以现金、微信等方式结算。采购人需要支付的费用，当月的费用在下一个月下旬凭发票支付。</w:t>
            </w:r>
          </w:p>
          <w:p w14:paraId="5FEE942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（五）送餐服务</w:t>
            </w:r>
          </w:p>
          <w:p w14:paraId="5AF91B2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应为患者及家属、值班员工、特殊需求的员工和患者及家属、特殊科室（手术室、ICU、新生儿、产房、介入室、胃肠镜室等）提供电话/微信订餐、上门订餐、APP订餐等多种方式，外卖订餐时间与就餐时间一致，并提供送餐上门服务及各类应急供餐服务，要求送餐时间为45分钟内送达。有专人负责订餐工作，一日三餐上门订餐服务需在规定时间内由专人到科室。</w:t>
            </w:r>
          </w:p>
          <w:p w14:paraId="7C66E7A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（六）供餐质量</w:t>
            </w:r>
          </w:p>
          <w:p w14:paraId="4119591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中选服务商应保证一日三餐正点、足量（每个品种应设定标准份量）、优质、新鲜、品种多样、价格合理，能适应不同口味的职工和患者及家属就餐。</w:t>
            </w:r>
          </w:p>
          <w:p w14:paraId="1CB88A6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中选服务商供应的食物应能满足每天的用餐需求，在供餐时间不得出现食物供应不足的现象；严禁出售变质、变味以及剩饭菜。</w:t>
            </w:r>
          </w:p>
          <w:p w14:paraId="28A3310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经营期间若收到餐品中出现异物或出餐错误的反馈，需退换餐品或补差价处理。</w:t>
            </w:r>
          </w:p>
          <w:p w14:paraId="0A3F2B0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 中选服务商可提供已粗加工的半成品新鲜食材（如：切配好的蔬菜、新鲜腌制的肉片、已发酵好的面包胚等）。</w:t>
            </w:r>
          </w:p>
          <w:p w14:paraId="2DE1668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 ▲除以上要求的内容，响应服务商可在遴选文件中提供额外增值服务。</w:t>
            </w:r>
          </w:p>
        </w:tc>
        <w:tc>
          <w:tcPr>
            <w:tcW w:w="1410" w:type="dxa"/>
          </w:tcPr>
          <w:p w14:paraId="1976FE37">
            <w:pPr>
              <w:pStyle w:val="11"/>
              <w:rPr>
                <w:rFonts w:ascii="宋体" w:hAnsi="宋体" w:eastAsia="宋体" w:cs="宋体"/>
                <w:lang w:eastAsia="zh-CN"/>
              </w:rPr>
            </w:pPr>
          </w:p>
        </w:tc>
        <w:tc>
          <w:tcPr>
            <w:tcW w:w="1080" w:type="dxa"/>
          </w:tcPr>
          <w:p w14:paraId="23D2CAC8">
            <w:pPr>
              <w:pStyle w:val="11"/>
              <w:rPr>
                <w:rFonts w:ascii="宋体" w:hAnsi="宋体" w:eastAsia="宋体" w:cs="宋体"/>
                <w:lang w:eastAsia="zh-CN"/>
              </w:rPr>
            </w:pPr>
          </w:p>
        </w:tc>
        <w:tc>
          <w:tcPr>
            <w:tcW w:w="888" w:type="dxa"/>
          </w:tcPr>
          <w:p w14:paraId="6941F157">
            <w:pPr>
              <w:pStyle w:val="11"/>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583"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715" w:type="dxa"/>
          </w:tcPr>
          <w:p w14:paraId="0654C4B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五、饮食质量要求</w:t>
            </w:r>
          </w:p>
          <w:p w14:paraId="1F5D21A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（一）食材采购基本要求</w:t>
            </w:r>
          </w:p>
          <w:p w14:paraId="54D86F3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所有的食品、副食品及配料等必须由正常渠道购进，确保食材安全、无农药、无添加、确保最佳产地、确保非转基因，中选服务商在采购粮油、肉蛋类、禽类、鱼类、蔬菜类、副食品类、调味类、食品添加剂等原料和物品必须符合《中华人民共和国食品安全法》、《中华人民共和国动物防疫法》等相关规定，符合卫生标准和营养要求。</w:t>
            </w:r>
          </w:p>
          <w:p w14:paraId="3D8B19F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设有专职采购员，每次采购严格做好进货验收和索票索证工作，建立采购台账（必须专人规范填写）、索证验收台账、供应商资质证明台账等，索取供应商有效的资质、检验检测合格证明等文件，包括但不仅限于《营业执照》、《食品卫生许可证》、《产品质量检验报告》、《出厂检验报告》、《动物检疫合格证明》、《肉品品质检验合格证》、《送货清单》、《购货凭据》；饮料、乳制品、调味品等食品每批次的检验合格证或检验单；蔬菜等散装农副食品及鱼类等鲜活产品检验合格证明；一次性餐具检验合格证；清洁剂检验合格证明等。随时接受采购人及上级部门的检查。</w:t>
            </w:r>
          </w:p>
          <w:p w14:paraId="7AE5A9E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保证每天每餐的饮食质量、份量、菜式，做到食材新鲜、饭熟菜香，营养搭配科学合理，调配比例均匀，味道可口，保证营养。</w:t>
            </w:r>
          </w:p>
          <w:p w14:paraId="0341676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设专门人员负责留样，每餐食品按相关规定的份量、时间、保存条件等做好留样工作。至少保存48小时，留样份量每样至少100克，在5摄氏度以下冷藏专柜专放并按要求做好食品留样管理工作等，具体根据相关规定实施。</w:t>
            </w:r>
          </w:p>
          <w:p w14:paraId="76D31F9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从食品原材料入手，建立食品安全追溯体系。所有肉类、蔬菜类、粮油类等由具备供应资格、信誉良好的供应商提供可追溯食品，不能采用散装原料，实行集中统一采购或分大类集中采购，采用无公害食品。中选服务商应建立食品安全追溯体系，确保食品原材料进货渠道正规，供应商证件齐全，并纳入国家食品安全追溯体系管理。</w:t>
            </w:r>
          </w:p>
          <w:p w14:paraId="329A36B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所有食品供应商须经采购人审核同意，并接受采购人监管，对服务、供货质量等不能达到采购人要求的供应商，采购人有权提出更换，中选服务商必须配合执行。</w:t>
            </w:r>
          </w:p>
          <w:p w14:paraId="2A8C4A8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设置食品安全信息公示栏，公示食品安全信息，员工健康信息（健康证等）、经营主体责任人、监管部门责任人及电话、微信服务综合满意度调查或意见箱等，接受员工监督。</w:t>
            </w:r>
          </w:p>
          <w:p w14:paraId="79B862D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（二）重点食品质量要求</w:t>
            </w:r>
          </w:p>
          <w:p w14:paraId="0D46AC5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采购人有权指定食品品牌、质量，中选服务商须无条件配合，部分重点食品要求如下：</w:t>
            </w:r>
          </w:p>
          <w:p w14:paraId="3BB59B1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大米、面粉质量标准：</w:t>
            </w:r>
          </w:p>
          <w:p w14:paraId="0DF7E86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须采购具有新食品生产编号的产品。标明加工厂名称、品名、生产日期、保质期或保存期，供货时的剩余保质期不少于三分之二，质量等级、产品标准号、产品合格证，质量符合大米国家标准与国家粮食卫生标准。</w:t>
            </w:r>
          </w:p>
          <w:p w14:paraId="12BDBA0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具有固有色泽和香味，无污染、无虫害，色泽、气味、口味正常，无异味或霉味，无虫蛀结块挂丝或杂质异物等。面粉类要新鲜、色泽呈现乳白色或微黄色、手感细腻、颗粒均匀，自然浓厚的麦香味，手抓后自然流出，松开手不成团，用它制成的成品和馒头有麦香味、香甜入口不粘牙，符合国家食品卫生标准。</w:t>
            </w:r>
          </w:p>
          <w:p w14:paraId="1D1B6F5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（3）▲粮食品牌参照标准：须选用获得食品生产许可证的正规厂家生产的产品，产品等级达到一级或以上标准，品牌须为市场上具有良好口碑和品质保证的知名品牌，提供产品合格证和检验报告。</w:t>
            </w:r>
          </w:p>
          <w:p w14:paraId="4B74AAE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食用油、酱油：</w:t>
            </w:r>
          </w:p>
          <w:p w14:paraId="46376F8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（1）须采购具有新食品生产编号的产品。外包装完好，标明品名、厂名、重量、生产日期、保质期或保存期、执行标准等，剩余保质期不少于三分之二，具有产品合格证。</w:t>
            </w:r>
          </w:p>
          <w:p w14:paraId="1985757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（2）必须提供进货渠道及提供当地食品卫生监督部门抽样检测报告。</w:t>
            </w:r>
          </w:p>
          <w:p w14:paraId="35281CB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食油品牌参照标准：须选用获得食品生产许可证的正规厂家生产的产品，产品须符合国家食用油标准，品牌须为市场上具有良好口碑和品质保证的知名品牌。调味类品牌参照标准：须选用获得食品生产许可证的正规厂家生产的产品，品牌须为市场上具有良好口碑和品质保证的知名品牌。</w:t>
            </w:r>
          </w:p>
          <w:p w14:paraId="7642A53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▲调味料：味精、鸡精、鸡粉等建议不用或尽量少用。</w:t>
            </w:r>
          </w:p>
          <w:p w14:paraId="22D7373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食盐：符合食品安全卫生标准及营养要求。</w:t>
            </w:r>
          </w:p>
          <w:p w14:paraId="7B3E330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肉类：生鲜肉类经过屠宰卫生检疫，符合国家食品部门的有关标准，肉类保证来源于正规肉联厂，供货时提交肉联厂的验收单及当批次有效的动物检疫合格证复印件（原件备查）和分割肉凭证，鲜肉确保每日新鲜、无异味及变质。肉色根据种类的不同而呈现其特有的颜色，如猪肉鲜红色、牛羊肉深红色、鸡肉淡红色、鸭肉深红色等，且都有光泽、富有弹性，闻起来没有异味者（不得采购冷冻生肉僵尸肉）。肉制品包装完整，有完整标识，标明品名、内容物名称、重量或数量、食品添加物、制造厂商名称、地址、保存期限或保存条件等信息。保证鱼肉类每天新鲜购入及配送。</w:t>
            </w:r>
          </w:p>
          <w:p w14:paraId="2D6368A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蔬菜：蔬菜形态饱满、色泽新鲜、无腐烂变质、无泥沙、无老梗、无老叶及无农药超标等情况。</w:t>
            </w:r>
          </w:p>
          <w:p w14:paraId="79ADB52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干货：保持其固有的鲜美味道，有干货的本味。动物类、植物类、菌类、藻类，能从味觉上分辨新鲜及优品；干爽没有霉迹；色泽鲜明，没有虫蛀与杂质。</w:t>
            </w:r>
          </w:p>
          <w:p w14:paraId="4C192E3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猪、牛肉类、家禽类，肉制品，水产品须按照《中华人民共和国食品安全法》的要求提供食品生产许可证、检疫合格证明、产品合格证等资料。蔬菜类需要根据《中华人民共和国农产品质量安全法》等相关法律法规，产品必须符合安全卫生标准，蔬菜中污染物残留量、农药的最大残留限量以及其他有害物质含量都必须控制在国家规定的范围内。</w:t>
            </w:r>
          </w:p>
          <w:p w14:paraId="468D884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（三）供应商资质证明要求</w:t>
            </w:r>
          </w:p>
          <w:p w14:paraId="7EBA9A9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生产（供应）企业资质证明（首次供应时提供）：</w:t>
            </w:r>
          </w:p>
          <w:tbl>
            <w:tblPr>
              <w:tblStyle w:val="6"/>
              <w:tblW w:w="55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2468"/>
              <w:gridCol w:w="3071"/>
            </w:tblGrid>
            <w:tr w14:paraId="0868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blHeader/>
              </w:trPr>
              <w:tc>
                <w:tcPr>
                  <w:tcW w:w="246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DE15A4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类别</w:t>
                  </w:r>
                </w:p>
              </w:tc>
              <w:tc>
                <w:tcPr>
                  <w:tcW w:w="3071"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1D494D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资质证明</w:t>
                  </w:r>
                </w:p>
              </w:tc>
            </w:tr>
            <w:tr w14:paraId="3903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246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8E1038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畜禽冻肉类</w:t>
                  </w:r>
                </w:p>
              </w:tc>
              <w:tc>
                <w:tcPr>
                  <w:tcW w:w="3071"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BF732E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《企业法人营业执照》、《动物防疫合格证》、《食品生产许可证》或《食品经营许可证》或含同类意思表述证书。如供应商的许可证书与营业执照合并办理的，提供扫描营业执照二维码后的有效备案信息截图。</w:t>
                  </w:r>
                </w:p>
              </w:tc>
            </w:tr>
            <w:tr w14:paraId="01B2E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246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706506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肉制品</w:t>
                  </w:r>
                </w:p>
              </w:tc>
              <w:tc>
                <w:tcPr>
                  <w:tcW w:w="3071"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0AE607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《企业法人营业执照》、《食品生产许可证》或《食品经营许可证》或含同类意思表述证书。如供应商的许可证书与营业执照合并办理的，提供扫描营业执照二维码后的有效备案信息截图。</w:t>
                  </w:r>
                </w:p>
              </w:tc>
            </w:tr>
            <w:tr w14:paraId="2719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246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15DC66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水产品</w:t>
                  </w:r>
                </w:p>
              </w:tc>
              <w:tc>
                <w:tcPr>
                  <w:tcW w:w="3071"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7149F6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《企业法人营业执照》</w:t>
                  </w:r>
                </w:p>
              </w:tc>
            </w:tr>
          </w:tbl>
          <w:p w14:paraId="140B20B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（四）新鲜肉类票证要求</w:t>
            </w:r>
          </w:p>
          <w:tbl>
            <w:tblPr>
              <w:tblStyle w:val="6"/>
              <w:tblW w:w="5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1646"/>
              <w:gridCol w:w="1646"/>
              <w:gridCol w:w="2267"/>
            </w:tblGrid>
            <w:tr w14:paraId="7207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blHeader/>
              </w:trPr>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EED5DA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货物类别</w:t>
                  </w:r>
                </w:p>
              </w:tc>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E52F11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产品票证名称</w:t>
                  </w:r>
                </w:p>
              </w:tc>
              <w:tc>
                <w:tcPr>
                  <w:tcW w:w="2267"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4888579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验收索证要求</w:t>
                  </w:r>
                </w:p>
              </w:tc>
            </w:tr>
            <w:tr w14:paraId="298A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146994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猪肉类</w:t>
                  </w:r>
                </w:p>
              </w:tc>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8434A0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《动物产品检疫合格证》</w:t>
                  </w:r>
                </w:p>
              </w:tc>
              <w:tc>
                <w:tcPr>
                  <w:tcW w:w="2267"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1A12C4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要求有生产名称、地址、产品名称、产地和目的地，官方兽医签字、盖检验检疫专用章。</w:t>
                  </w:r>
                </w:p>
              </w:tc>
            </w:tr>
            <w:tr w14:paraId="32F9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64B48D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猪肉类</w:t>
                  </w:r>
                </w:p>
              </w:tc>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902A98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《畜产品检验合格证》</w:t>
                  </w:r>
                </w:p>
              </w:tc>
              <w:tc>
                <w:tcPr>
                  <w:tcW w:w="2267"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106E94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有委托方、送往单位、屠宰场检验专用章、出厂时间和单号。</w:t>
                  </w:r>
                </w:p>
              </w:tc>
            </w:tr>
            <w:tr w14:paraId="1BC9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0F161C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三鸟类</w:t>
                  </w:r>
                </w:p>
              </w:tc>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FECDFE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《动物产品检疫合格证》</w:t>
                  </w:r>
                </w:p>
              </w:tc>
              <w:tc>
                <w:tcPr>
                  <w:tcW w:w="2267"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14D106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要求有生产名称、地址、产品名称、产地和目的地，官方兽医签字、盖检验检疫专用章。</w:t>
                  </w:r>
                </w:p>
              </w:tc>
            </w:tr>
            <w:tr w14:paraId="71911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440C32F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牛肉、羊肉</w:t>
                  </w:r>
                </w:p>
              </w:tc>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9CF03A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《动物产品检疫合格证》</w:t>
                  </w:r>
                </w:p>
              </w:tc>
              <w:tc>
                <w:tcPr>
                  <w:tcW w:w="2267"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F703E0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要求有生产名称、地址、产品名称、产地和目的地，官方兽医签字、盖检验检疫专用章。</w:t>
                  </w:r>
                </w:p>
              </w:tc>
            </w:tr>
            <w:tr w14:paraId="5A7C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7B305E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水产品</w:t>
                  </w:r>
                </w:p>
              </w:tc>
              <w:tc>
                <w:tcPr>
                  <w:tcW w:w="1646"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09FE46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贮存地的出入库检疫证明</w:t>
                  </w:r>
                </w:p>
              </w:tc>
              <w:tc>
                <w:tcPr>
                  <w:tcW w:w="2267"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F09B74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水产品成型标准为个体单独冷冻成型，交货时提供本批次产品的出厂（库）检验合格证，随车同行。</w:t>
                  </w:r>
                </w:p>
              </w:tc>
            </w:tr>
          </w:tbl>
          <w:p w14:paraId="4720929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（五）蔬菜卫生质量要求</w:t>
            </w:r>
          </w:p>
          <w:tbl>
            <w:tblPr>
              <w:tblStyle w:val="6"/>
              <w:tblW w:w="5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2469"/>
              <w:gridCol w:w="3090"/>
            </w:tblGrid>
            <w:tr w14:paraId="0BFA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blHeader/>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6C78F5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项目</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CB5938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指标（mg/kg）</w:t>
                  </w:r>
                </w:p>
              </w:tc>
            </w:tr>
            <w:tr w14:paraId="65C96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6F1DCD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甲胺磷</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7D9743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不得检出</w:t>
                  </w:r>
                </w:p>
              </w:tc>
            </w:tr>
            <w:tr w14:paraId="2FB8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754CAF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甲拌磷</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8DA37D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不得检出</w:t>
                  </w:r>
                </w:p>
              </w:tc>
            </w:tr>
            <w:tr w14:paraId="7FC1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046F2A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氧化乐果</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05DF6E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不得检出</w:t>
                  </w:r>
                </w:p>
              </w:tc>
            </w:tr>
            <w:tr w14:paraId="31E5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2086E8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甲基对硫磷</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D0DB8E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不得检出</w:t>
                  </w:r>
                </w:p>
              </w:tc>
            </w:tr>
            <w:tr w14:paraId="4550A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4D0B9F1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呋喃丹</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16C3BB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不得检出</w:t>
                  </w:r>
                </w:p>
              </w:tc>
            </w:tr>
            <w:tr w14:paraId="46E5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DBF022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百菌清</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C1BEC7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w:t>
                  </w:r>
                </w:p>
              </w:tc>
            </w:tr>
            <w:tr w14:paraId="1791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8514B3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多菌灵</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FE59E0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≤0.5</w:t>
                  </w:r>
                </w:p>
              </w:tc>
            </w:tr>
            <w:tr w14:paraId="3774F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42CB94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汞（以Hg计）</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24CDE2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≤0.01</w:t>
                  </w:r>
                </w:p>
              </w:tc>
            </w:tr>
            <w:tr w14:paraId="766A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EC8716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铅（以Pb计）</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47963F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≤0.2</w:t>
                  </w:r>
                </w:p>
              </w:tc>
            </w:tr>
            <w:tr w14:paraId="5B6D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AB2137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砷（以As计）</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896BFB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≤0.5</w:t>
                  </w:r>
                </w:p>
              </w:tc>
            </w:tr>
            <w:tr w14:paraId="460F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927CDA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氟（以F计）</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A411C4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≤0.5</w:t>
                  </w:r>
                </w:p>
              </w:tc>
            </w:tr>
            <w:tr w14:paraId="0211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66CC85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硝酸盐（以NaNO3计）</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68A1F1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瓜果类≤600；叶菜根茎类≤1200</w:t>
                  </w:r>
                </w:p>
              </w:tc>
            </w:tr>
            <w:tr w14:paraId="40CE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trPr>
              <w:tc>
                <w:tcPr>
                  <w:tcW w:w="2469"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43ADD12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亚硝酸盐（以NaNO2计）</w:t>
                  </w:r>
                </w:p>
              </w:tc>
              <w:tc>
                <w:tcPr>
                  <w:tcW w:w="309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14A349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p>
              </w:tc>
            </w:tr>
          </w:tbl>
          <w:p w14:paraId="5D855844">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卫生质量指标，应符合我国无公害蔬菜的卫生指标规定。</w:t>
            </w:r>
          </w:p>
        </w:tc>
        <w:tc>
          <w:tcPr>
            <w:tcW w:w="1410" w:type="dxa"/>
          </w:tcPr>
          <w:p w14:paraId="556D3F97">
            <w:pPr>
              <w:pStyle w:val="11"/>
              <w:rPr>
                <w:rFonts w:ascii="宋体" w:hAnsi="宋体" w:eastAsia="宋体" w:cs="宋体"/>
                <w:lang w:eastAsia="zh-CN"/>
              </w:rPr>
            </w:pPr>
          </w:p>
        </w:tc>
        <w:tc>
          <w:tcPr>
            <w:tcW w:w="1080" w:type="dxa"/>
          </w:tcPr>
          <w:p w14:paraId="59D2077F">
            <w:pPr>
              <w:pStyle w:val="11"/>
              <w:rPr>
                <w:rFonts w:ascii="宋体" w:hAnsi="宋体" w:eastAsia="宋体" w:cs="宋体"/>
                <w:lang w:eastAsia="zh-CN"/>
              </w:rPr>
            </w:pPr>
          </w:p>
        </w:tc>
        <w:tc>
          <w:tcPr>
            <w:tcW w:w="888" w:type="dxa"/>
          </w:tcPr>
          <w:p w14:paraId="788F44CC">
            <w:pPr>
              <w:pStyle w:val="11"/>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583"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715" w:type="dxa"/>
          </w:tcPr>
          <w:p w14:paraId="74E90C8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六、餐具及相关设备要求</w:t>
            </w:r>
          </w:p>
          <w:p w14:paraId="362D289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★院内仅允许使用电作为相关生产能源，若中选服务商未按照规定使用其他能源（如：煤气、天然气等）作为相关生产能源的，因此造成的安全隐患或引发的安全事故，由中选服务商负全责。</w:t>
            </w:r>
          </w:p>
          <w:p w14:paraId="7DF7F21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操作台面、货物架、调料台、蒸烤箱等使用无毒无害材质制作，并符合国家食(饮)具卫生标准等相关规定。</w:t>
            </w:r>
          </w:p>
          <w:p w14:paraId="6643E96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生产、运输及院内食品分送场所的设施与卫生条件符合国家食品卫生法规要求；餐具符合国家食品卫生标准，使用不锈钢筷子、餐盘、蒸笼等，所有不锈钢筷子、餐盘等餐具必须经高温消毒柜消毒后才能使用。</w:t>
            </w:r>
          </w:p>
          <w:p w14:paraId="55422A8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冰箱、冰柜所有食物须分开分类放置，熟食品须专用冰箱放置，其他的严格按食品种类分隔的标准独立存放（生食品、半成品、干货类独立），所有存储容器外均贴上食物资料标签。</w:t>
            </w:r>
          </w:p>
          <w:p w14:paraId="0FA49EA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严格区别使用生食、熟食的刀具、砧板，必须分开专用专位放置，并有一定距离。</w:t>
            </w:r>
          </w:p>
          <w:p w14:paraId="39D6B83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餐具、设施做好标识，并分类规范存放。</w:t>
            </w:r>
          </w:p>
          <w:p w14:paraId="3F19A79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洗洁精使用要求用原瓶装包装，无毒、安全，符合国家卫生安全要求。</w:t>
            </w:r>
          </w:p>
          <w:p w14:paraId="201AB53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★中选服务商在正常营业时配备充足的消毒碗柜，以保证各类餐具的清洁消毒效果。</w:t>
            </w:r>
          </w:p>
          <w:p w14:paraId="3CDA93B8">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中选服务商在正常营业前应配备饭菜保温设备，以保证饭菜的保温效果。</w:t>
            </w:r>
          </w:p>
        </w:tc>
        <w:tc>
          <w:tcPr>
            <w:tcW w:w="1410" w:type="dxa"/>
          </w:tcPr>
          <w:p w14:paraId="309C6D61">
            <w:pPr>
              <w:pStyle w:val="11"/>
              <w:rPr>
                <w:rFonts w:ascii="宋体" w:hAnsi="宋体" w:eastAsia="宋体" w:cs="宋体"/>
                <w:lang w:eastAsia="zh-CN"/>
              </w:rPr>
            </w:pPr>
          </w:p>
        </w:tc>
        <w:tc>
          <w:tcPr>
            <w:tcW w:w="1080" w:type="dxa"/>
          </w:tcPr>
          <w:p w14:paraId="3DA9A9F7">
            <w:pPr>
              <w:pStyle w:val="11"/>
              <w:rPr>
                <w:rFonts w:ascii="宋体" w:hAnsi="宋体" w:eastAsia="宋体" w:cs="宋体"/>
                <w:lang w:eastAsia="zh-CN"/>
              </w:rPr>
            </w:pPr>
          </w:p>
        </w:tc>
        <w:tc>
          <w:tcPr>
            <w:tcW w:w="888" w:type="dxa"/>
          </w:tcPr>
          <w:p w14:paraId="3217B854">
            <w:pPr>
              <w:pStyle w:val="11"/>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583"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715" w:type="dxa"/>
          </w:tcPr>
          <w:p w14:paraId="5017B54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七、卫生安全要求</w:t>
            </w:r>
          </w:p>
          <w:p w14:paraId="21640C1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食堂的卫生防疫、就餐环境和制作的食品及送餐等服务必须符合《中华人民共和国食品安全法》、国家相关的食品卫生标准及本院食堂管理制度要求。</w:t>
            </w:r>
          </w:p>
          <w:p w14:paraId="582FFF1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严格做好环境卫生工作（包括厨房、仓库、配餐间、就餐区域等），搞好室内外环境清洁和消毒工作，清除卫生死角，保持墙壁、墙裙、天花板、地面、炉灶、油烟罩/滤网、容器用具、案板工具等整洁、光亮、干燥、整齐、卫生、无油迹，通风、排烟、排水良好，有清洗记录。</w:t>
            </w:r>
          </w:p>
          <w:p w14:paraId="1BEB851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一餐一打扫，一周一大扫，平面天天扫，立面周周搞，保持食堂卫生、整洁。中选服务商自行负责承包区域（含过道、楼梯、厕所、下水道、绿化带等）的环境卫生。</w:t>
            </w:r>
          </w:p>
          <w:p w14:paraId="27400E3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操作台面、货物架、调料台、蒸烤箱等设备，做到整洁无杂物，无污渍、无灰尘，玻璃罩具光洁明亮。</w:t>
            </w:r>
          </w:p>
          <w:p w14:paraId="3954C7E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擦碗盘与清洁抹布专用，并做好区分，保持干净。</w:t>
            </w:r>
          </w:p>
          <w:p w14:paraId="0A01271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每次餐前、餐中、餐后应及时擦洗饭桌上的残渣、剩饭、油污。餐厨产生垃圾由中选服务商按环保要求每天自行处理。</w:t>
            </w:r>
          </w:p>
          <w:p w14:paraId="7DE7823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专人负责餐具的清洗和消毒，餐具使用前必须经过彻底清洁消毒，并符合国家食(饮)具消毒卫生标准等相关规定。</w:t>
            </w:r>
          </w:p>
          <w:p w14:paraId="6041DE7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及时疏通和清理油烟系统、隔油池、下水道确保畅通干净，加强灭蝇、灭蟑螂、灭鼠等措施，定期灭杀四害，防蝇、防鼠、防尘设备齐全、有效，环境符合采购人及上级管理部门的要求，合同签订后10天内列出具体实施方案给采购人，所有卫生防疫费用由中选服务商自行承担。如检查发现厨房有活动性苍蝇、蟑螂、老鼠，视情况轻重扣罚，并限期当天整改，如多次发现，采购人有权终止合同处理。</w:t>
            </w:r>
          </w:p>
          <w:p w14:paraId="2A5450C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排烟设施每周至少一次表面清洗，每年至少两次内部清洗，确保无油渍，避免安全隐患。做好清洗记录、拍照，资料存档，并接受采购人检查。</w:t>
            </w:r>
          </w:p>
          <w:p w14:paraId="6BA98A3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10.</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上岗员工应保持良好的个人卫生习惯，按规定规范穿戴清洁的工服、工牌、帽子、口罩等。</w:t>
            </w:r>
          </w:p>
        </w:tc>
        <w:tc>
          <w:tcPr>
            <w:tcW w:w="1410" w:type="dxa"/>
          </w:tcPr>
          <w:p w14:paraId="63477C59">
            <w:pPr>
              <w:pStyle w:val="11"/>
              <w:rPr>
                <w:rFonts w:ascii="宋体" w:hAnsi="宋体" w:eastAsia="宋体" w:cs="宋体"/>
                <w:lang w:eastAsia="zh-CN"/>
              </w:rPr>
            </w:pPr>
          </w:p>
        </w:tc>
        <w:tc>
          <w:tcPr>
            <w:tcW w:w="1080" w:type="dxa"/>
          </w:tcPr>
          <w:p w14:paraId="17855BC8">
            <w:pPr>
              <w:pStyle w:val="11"/>
              <w:rPr>
                <w:rFonts w:ascii="宋体" w:hAnsi="宋体" w:eastAsia="宋体" w:cs="宋体"/>
                <w:lang w:eastAsia="zh-CN"/>
              </w:rPr>
            </w:pPr>
          </w:p>
        </w:tc>
        <w:tc>
          <w:tcPr>
            <w:tcW w:w="888" w:type="dxa"/>
          </w:tcPr>
          <w:p w14:paraId="6A11C7ED">
            <w:pPr>
              <w:pStyle w:val="11"/>
              <w:rPr>
                <w:rFonts w:ascii="宋体" w:hAnsi="宋体" w:eastAsia="宋体" w:cs="宋体"/>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583"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715" w:type="dxa"/>
          </w:tcPr>
          <w:p w14:paraId="547BD26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八、经营管理要求</w:t>
            </w:r>
          </w:p>
          <w:p w14:paraId="3F547D3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（一）经营资质</w:t>
            </w:r>
          </w:p>
          <w:p w14:paraId="0060AA0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中选服务商必须持有效的《营业执照》、《食品经营许可证》等一切必须具有的证件方可开业，且经营范围包括餐饮管理或饮食管理或食品经营管理。</w:t>
            </w:r>
          </w:p>
          <w:p w14:paraId="42F709F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拟委派在本项目的负责人应为具有丰富从事集体食堂管理经验者。（提供相关证明材料）。</w:t>
            </w:r>
          </w:p>
          <w:p w14:paraId="7DDF0B8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（二）项目人员管理要求</w:t>
            </w:r>
          </w:p>
          <w:p w14:paraId="2FAE3DE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对食堂工作人员的要求：保证投入不少于6名的专业工作人员，其中不少于2名具有食堂烹饪经验的厨师，不少于3名其他服务人员，设置1名项目负责人，负责人需有3年以上食堂经营管理经验，负责食堂食材监督及卫生管理，以及食堂全天候日常管理，制定落实各项管理制度，明确落实各项操作流程，负责食堂全面管理，对卫生、品质、出品、厨房工作人员的管理，具有该餐饮行业经验，负责用餐人员的售前售后沟通相关事宜。</w:t>
            </w:r>
          </w:p>
          <w:p w14:paraId="1CB5F4E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确保餐饮服务项目员工的稳定性以保证项目的服务质量。未经采购人同意，中选服务商不得随意更换本项目负责人。因故需要更换时，中选服务商应至少提前一周向采购人主管部门提出书面申请，并经采购人主管部门同意后方可更换。</w:t>
            </w:r>
          </w:p>
          <w:p w14:paraId="2C5C9EE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项目负责人应坚守岗位，每年在正常工作时间离开单位累积不得超过10天。如因故需临时离开单位或休息1天以内的（含1天），中选服务商应以电话、微信等方式向采购人主管部门请假，离开单位1天以上的（不含1天），应向采购人主管部门提交书面请假单，请假获批离开单位前应提前安排好现场工作。</w:t>
            </w:r>
          </w:p>
          <w:p w14:paraId="4810213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如中选服务商委派的项目负责人不符合要求的（有事实依据证明不能胜任管理岗位），采购人有权要求中选服务商更换该项目管理人员至合格为止。中选服务商接到采购人书面换人通知后，应在15天内更换合格的项目管理人员到位，逾期不更换或更换的项目管理人员仍不符合要求的，采购人有权单方终止合同。</w:t>
            </w:r>
          </w:p>
          <w:p w14:paraId="246748B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项目负责人应每天到现场跟进每个岗位员工的工作情况，及时解决员工在工作中遇到的困难或问题，并与所在科室沟通协调和及时反馈。每周、每月进行食堂卫生管理、服务质量自查，并记录在案，做好资料归档整理，服务质量不符合要求的实行持续改进和限期整改。</w:t>
            </w:r>
          </w:p>
          <w:p w14:paraId="5532B13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确保各岗位员工的相对固定，以保证现场服务质量。如有员工离职、休息或生病等原因导致现场员工变动的，项目负责人应提前安排好岗位工作。所有新上岗人员至少进行2天培训并通过考核后方可上岗，新上岗员工的工作，特别是涉及对外窗口的（如收银），项目负责人应加强指导和监督。因新上岗人员服务质量不合格，采购人有权视问题的严重情况，对中选服务商进行1000-2000元的扣罚。</w:t>
            </w:r>
          </w:p>
          <w:p w14:paraId="1A5F94F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中选服务商应保证员工每月正常休息时间，确保员工的身心健康。</w:t>
            </w:r>
          </w:p>
          <w:p w14:paraId="7CA9F38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的员工应严格遵守各项规章制度、疫情管控措施及操作规程，员工上班期间穿着统一的工作服、规范佩戴帽子、口罩，佩戴工牌，仪表、仪容整洁。上班时间不得穿短裤、背心、睡衣、拖鞋、高跟鞋等。</w:t>
            </w:r>
          </w:p>
          <w:p w14:paraId="4E941FB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中选服务商的员工应接受采购人的监督和管理，必须使用文明用语，做到文明服务，礼貌待人。工作认真、责任心强，尊重顾客，中选服务商的员工严禁将本人持有的门禁卡、工牌、饭卡借给他人使用。</w:t>
            </w:r>
          </w:p>
          <w:p w14:paraId="5E48C04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10.</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中选服务商的员工严禁聚众聊天、吵闹、打架、拉帮结派、聚集赌博、喝酒、煽动闹事等不良行为，此等行为产生的一切后果及责任由中选服务商承担。</w:t>
            </w:r>
          </w:p>
          <w:p w14:paraId="7B04244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不在岗员工不得在单位内逗留、留宿和招揽私活等行为，严禁将家属、朋友等无关人员带到工作场所。</w:t>
            </w:r>
          </w:p>
          <w:p w14:paraId="0D01508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的员工应自觉维护单位信誉，爱护公物，节约用水、用电；不得私自使用各类设备设施，不得将财物（包括开水、纸皮、胶瓶等废品）带离单位，严禁擅自偷窃、倒卖财物、废品和饭菜等，严禁违规收集和买卖医疗废物，否则将视为盗窃交由公安部门处置。</w:t>
            </w:r>
          </w:p>
          <w:p w14:paraId="1A56DA4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的员工上班期间应坚守岗位，不得迟到、早退，不得脱岗、串岗，不得擅自离开岗位（如因临时有事离开需要向项目负责人请假，并安排有人顶岗后方可离开，未经项目负责人批准私自离岗的按缺岗处理）。</w:t>
            </w:r>
          </w:p>
          <w:p w14:paraId="2E5F678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制订员工的培训计划并实施。内容包括但不限于操作流程、食品安全、消防安全、卫生知识、疫情防控相关知识等，每月对全体员工培训不少于两次，使员工熟练掌握各项专业技能和提高个人素养等。中选服务商应建立员工培训档案并做好记录，培训照片存档备查。</w:t>
            </w:r>
          </w:p>
          <w:p w14:paraId="4184C8D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（三）员工健康管理</w:t>
            </w:r>
          </w:p>
          <w:p w14:paraId="14348AD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所有员工应服务态度好，品行良好。身体健康并能胜任岗位的工作，无传染性疾病（必须进行入职体检）、无违法犯罪记录（员工入职前中选服务商应将人员名单提交给当地派出所核查，核查无犯罪记录后才可入职，否则所造成的一切后果及责任由中选服务商承担）。所有人员名单应提交给采购人主管部门备案。（提供承诺函）</w:t>
            </w:r>
          </w:p>
          <w:p w14:paraId="68BD0D6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的员工应遵守餐饮操作规范、法律法规及单位的规章制度要求。员工应注意个人卫生，勤洗手，每天勤换衣着整齐干净，接触食品的员工在工作时戴帽子（头发不得外露）、口罩等，不得佩戴戒指、手镯等饰品。所有员工必须通过培训后，持有健康证方可上岗，患有国家规定的传染病者严禁上岗，患有发热、腹泻、手部皮肤有伤口或感染等情况的员工应立即脱离工作岗位，并在治疗至痊愈或污染食品的可能被排除后，方可恢复上岗。员工必须每年体检一次，体检等费用由承包者负责。</w:t>
            </w:r>
          </w:p>
          <w:p w14:paraId="2087424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（四）安全与合规经营</w:t>
            </w:r>
          </w:p>
          <w:p w14:paraId="14ED6D7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必须遵守国家相关法律法规，遵守单位的规章制度，合法经营，按章纳税，中选服务商入场前必须为该项目购买相应的食品、财产和人身安全保险，并将该保险复印件提交给采购人备案。中选服务商对经营过程所发生的一切安全责任、债务、劳资纠纷和各种意外事件及其造成的后果负责。</w:t>
            </w:r>
          </w:p>
          <w:p w14:paraId="2C434C9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的法人为食堂消防、治安、食品卫生及安全生产的第一责任人，做好食堂的消防安全工作，按照国家消防安全标准安装和配置必要的性能完好的消防设施设备，并定期接受采购人及相关机构的监督检查。食堂内发生的消防安全及设备、燃气、油烟系统、电源（炉灶、各种炊事设备）等事故，由中选服务商承担一切责任。</w:t>
            </w:r>
          </w:p>
          <w:p w14:paraId="17BC98C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中选服务商不得将食堂私自转让或委托他人经营，更不能利用采购人资源进行非法经营，一经发现，采购人有权取消其承包资格，并给予经济处罚或追究法律责任。</w:t>
            </w:r>
          </w:p>
          <w:p w14:paraId="04B6F43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所采购、制作、销售的食品质量要求必须符合国家的卫生、安全标准，并对其食品负责，并承担其造成的一切后果。因承包者责任造成食物中毒、消防安全或其他安全责任事故等造成严重事故的，采购人有权单方终止合同并保留追究责任的权利。如对采购人造成财产或声誉损害的，中选服务商应承担赔偿责任。</w:t>
            </w:r>
          </w:p>
          <w:p w14:paraId="0486811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中选服务商必须在指定场地和区域内进行生产和经营，严禁在医疗区域兜售食物。</w:t>
            </w:r>
          </w:p>
          <w:p w14:paraId="0C306F1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中选服务商所从事的任何业务不能以单位名义对外发布，禁止张贴出现有法律规定在医疗单位不得出现的标志、标识等（如香烟广告等）。</w:t>
            </w:r>
          </w:p>
          <w:p w14:paraId="1E4E5C4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中选服务商不得在经营区域内储存任何易燃、易爆、腐蚀性物品及其他危险物品，严禁销售奶瓶、奶嘴、烟草、酒品及国家禁止的药品、伪劣产品及超出经营范围的商品。</w:t>
            </w:r>
          </w:p>
          <w:p w14:paraId="49E2B7F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采购人提供的基础设备、设施等，由中选服务商负责维护和保养，如有损坏或需要维修，由中选服务商负责。</w:t>
            </w:r>
          </w:p>
          <w:p w14:paraId="3BC18ED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★中选服务商必须加强对雇用员工的教育与管理，严禁在单位进行非法活动，中选服务商员工所发生的一切纠纷或意外事故由中选服务商负责。</w:t>
            </w:r>
          </w:p>
          <w:p w14:paraId="0059FFF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10.</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中选服务商必须文明守法，按章纳税，随时接受采购人及政府行政管理部门、治安、消防管理部门的监督和检查。</w:t>
            </w:r>
          </w:p>
          <w:p w14:paraId="67BCE2E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必须按照《中华人民共和国劳动合同法》等国家法律法规为所有员工缴纳各种社会保险（包括养老、医疗、工伤、生育保险、失业保险等），中选服务商与其员工发生的劳资纠纷、疾病、工伤等一切纠纷、责任事件由中选服务商负责。因中选服务商过失造成严重事故的，采购人有权单方终止合同并保留追究责任的权利。</w:t>
            </w:r>
          </w:p>
          <w:p w14:paraId="40BB4AB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根据相关评审的服务要求，制定并不断完善食品操作（准备、处理、贮存、运送、留样等）标准与程序、员工岗位职责及食品安全相关管理制度，在适当位置加设公示牌，列明工作要求以及管理方法。积极配合采购人或公安、消防、安监、食品安全、卫生防疫等部门做好卫生、食品安全、消防安全的宣传及管理工作。中选服务商生产、运输及机构内分送场所的设施与卫生条件符合国家食品卫生法规要求，有突发食品安全事件、消防等应急预案。</w:t>
            </w:r>
          </w:p>
          <w:p w14:paraId="225DC00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建立完善的投诉事件处理制度与流程，工作人员应有良好的服务态度，及时解决职工或患者及家属反映的问题，确保职工满意度、患者满意度达到80%以上。禁止与员工、患者及家属发生争吵或冲突。凡是经核实的投诉，按500元/次进行处罚。</w:t>
            </w:r>
          </w:p>
          <w:p w14:paraId="5E32337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不断完善各项管理规章制度、人力资源管理方案、具体的日常岗位工作安排、应急管理方案、员工管理制度和奖惩等职责制度并提交给采购人备案，采购人有权要求修订相关制度并监督执行，有权查阅中选服务商的财务状况及财务报表。</w:t>
            </w:r>
          </w:p>
          <w:p w14:paraId="7CD5950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做好台账记录，包括餐具消毒记录、供应商资质台账、餐厨垃圾收运记录等，按要求定时整理和归档资料，妥善保存，以备检查。</w:t>
            </w:r>
          </w:p>
          <w:p w14:paraId="03911C3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按照相关管理要求，开展持续改进。包括对反馈问题整改落实措施、效果，定期总结并书面向采购人汇报。</w:t>
            </w:r>
          </w:p>
          <w:p w14:paraId="7E942CF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（五）节能环保要求</w:t>
            </w:r>
          </w:p>
          <w:p w14:paraId="6E4A30B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协助采购人创建国家型节约能源公共机构的相关工作，积极开展节能工作，做到节能减排、绿色环保。</w:t>
            </w:r>
          </w:p>
          <w:p w14:paraId="787E705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实行绿色采购，严格执行国家有关强制采购或优先采购节能产品和技术的规定，采购列入《节能产品政府采购清单》、《环境标志产品政府采购清单》的产品和能效"领跑者"产品。</w:t>
            </w:r>
          </w:p>
          <w:p w14:paraId="52072C8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采取减少一次性餐具使用的措施。禁止、限制使用不可降解塑料袋、一次性塑料餐具，积极推广使用符合性能和食品安全要求的生物基产品、可降解塑料袋等替代产品，不向顾客主动提供一次性餐具用品，中选服务商的环保节能工作纳入日常考核，一次性餐具须使用环保符合卫生且可回收的餐具（具有环保符号），不得使用发泡产品，须提供样品样本供采购人确认后方可使用。</w:t>
            </w:r>
          </w:p>
          <w:p w14:paraId="75AB1AA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的服务及所使用的物品、用具、材料不得违反国家有关环卫、环保相关制度和管理规定，不得对环境造成二次污染；采购人有权对相关事宜进行检查和评估，有权拒绝使用不符合标准的材料，并进行一定金额处罚。</w:t>
            </w:r>
          </w:p>
          <w:p w14:paraId="241F2A0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（六）设备设施管理</w:t>
            </w:r>
          </w:p>
          <w:p w14:paraId="152D9B5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采购人提供现有的设备、设施给中选服务商使用，中选服务商必须爱护采购人提供的各项设备、设施。经采购人盘点后开列清单提供给中选服务商使用，维护费用由中选服务商承担；合同期满后，中选服务商应按清单记载内容将相关设施设备完好交回于采购人，并在双方参加下做好交接手续。中选服务商需要对承包区域进行装修、改造等改动时，必须书面征得采购人同意后方可实施，所产生的费用由中选服务商负责。添置或更新设施由中选服务商负责，费用自理。中选服务商经营期间必须保证房屋、基础建设及设备设施的完好性，如有损坏由中选服务商负责相应的费用。承包期满中选服务商撤场后10个工作日内，中选服务商可以拆除属于中选服务商的可移动的设备、设施，但处置后不得遗留安全隐患，逾期不处理的，归采购人所有。固定的、不能拆卸的设备设施不得拆除、破坏，采购人不承担其转让工作。</w:t>
            </w:r>
          </w:p>
          <w:p w14:paraId="53EE90C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中选服务商必须密切配合采购人的工作需要，对临时交付的任务能按要求完成并配合接受上级部门的检查。</w:t>
            </w:r>
          </w:p>
          <w:p w14:paraId="13FED1F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中选服务商不得将餐厅私自转让（含窗口分包）或委托他人经营，不得在公司内搞不法经营，不得对外经营。</w:t>
            </w:r>
          </w:p>
          <w:p w14:paraId="30C054A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中选服务商负责承包区域治安保卫、安全防火、防盗等工作，服从采购人的统一管理，确保安全无事故。</w:t>
            </w:r>
          </w:p>
          <w:p w14:paraId="3F106F4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响应服务商应提供舒适的就餐环境，当温度≥28摄氏度时应保证空调的正常开启，并定期检查空调、风扇等降温设备的完好性。</w:t>
            </w:r>
          </w:p>
          <w:p w14:paraId="0D31F28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中选服务商应落实采购人、政府机关、其他上级管理部门下达的关于安全生产、食品安全、节能降耗等方面文件要求，如有改革应积极执行，相关费用由中选服务商自行承担。</w:t>
            </w:r>
          </w:p>
          <w:p w14:paraId="6766C61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采购人有特殊任务或应急事件等情况需要紧急提供餐饮服务时，如突发事件、上级检查、采购人重要的大型活动、采购人认为重要的其他事件等，中选服务商及其员工应积极配合和服从采购人的调遣、指挥并参与应急或加班工作，费用不另外追加。</w:t>
            </w:r>
          </w:p>
          <w:p w14:paraId="4D2B3EB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▲合同终止时，中选服务商应将采购人所需保存的所有培训资料（签到表、培训内容、培训总结、培训照片等）及经营、管理原始资料移交给采购人，并完成所有交接手续后方可撤场。</w:t>
            </w:r>
          </w:p>
        </w:tc>
        <w:tc>
          <w:tcPr>
            <w:tcW w:w="1410" w:type="dxa"/>
          </w:tcPr>
          <w:p w14:paraId="4EB37635">
            <w:pPr>
              <w:pStyle w:val="11"/>
              <w:rPr>
                <w:rFonts w:ascii="宋体" w:hAnsi="宋体" w:eastAsia="宋体" w:cs="宋体"/>
                <w:lang w:eastAsia="zh-CN"/>
              </w:rPr>
            </w:pPr>
          </w:p>
        </w:tc>
        <w:tc>
          <w:tcPr>
            <w:tcW w:w="1080" w:type="dxa"/>
          </w:tcPr>
          <w:p w14:paraId="42F4AC19">
            <w:pPr>
              <w:pStyle w:val="11"/>
              <w:rPr>
                <w:rFonts w:ascii="宋体" w:hAnsi="宋体" w:eastAsia="宋体" w:cs="宋体"/>
                <w:lang w:eastAsia="zh-CN"/>
              </w:rPr>
            </w:pPr>
          </w:p>
        </w:tc>
        <w:tc>
          <w:tcPr>
            <w:tcW w:w="888" w:type="dxa"/>
          </w:tcPr>
          <w:p w14:paraId="7C2EA142">
            <w:pPr>
              <w:pStyle w:val="11"/>
              <w:rPr>
                <w:rFonts w:ascii="宋体" w:hAnsi="宋体" w:eastAsia="宋体" w:cs="宋体"/>
                <w:lang w:eastAsia="zh-CN"/>
              </w:rPr>
            </w:pPr>
          </w:p>
        </w:tc>
      </w:tr>
      <w:tr w14:paraId="17564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60" w:hRule="atLeast"/>
        </w:trPr>
        <w:tc>
          <w:tcPr>
            <w:tcW w:w="583" w:type="dxa"/>
            <w:vAlign w:val="center"/>
          </w:tcPr>
          <w:p w14:paraId="6C3B1B7D">
            <w:pPr>
              <w:spacing w:before="65" w:line="270" w:lineRule="exact"/>
              <w:jc w:val="center"/>
              <w:rPr>
                <w:rFonts w:hint="eastAsia" w:ascii="宋体" w:hAnsi="宋体" w:eastAsia="宋体" w:cs="宋体"/>
                <w:position w:val="1"/>
                <w:lang w:val="en-US" w:eastAsia="zh-CN"/>
              </w:rPr>
            </w:pPr>
          </w:p>
        </w:tc>
        <w:tc>
          <w:tcPr>
            <w:tcW w:w="5715" w:type="dxa"/>
          </w:tcPr>
          <w:p w14:paraId="79D6358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九、监督管理要求</w:t>
            </w:r>
          </w:p>
          <w:p w14:paraId="0B6F804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中选服务商及员工必须配合采购人主管部门的监督与考核（考核方案详见附件），不得以任何理由拒绝或阻挠，并应根据考核提出的合理建议和要求进行改进，如果有异议的可以在两天内向采购人主管部门提出。</w:t>
            </w:r>
          </w:p>
          <w:p w14:paraId="6FD13BD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配合采购人的价格监督。中选服务商做好原材料的采购票据及凭证、成本明细报表（不得弄虚作假）、售价（定价方案等）等档案，采购人不定期进行检查，一旦发现有私自提价或乱收费的现象，扣罚2000元/次。一旦发现中选服务商的利润高于规定的利润者，视情况予以扣罚5000元/次并立即调价至要求的范围内。</w:t>
            </w:r>
          </w:p>
          <w:p w14:paraId="36A2FE3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将公司管理人员信息及员工名单、健康证复印件提交给采购人主管部门备案。中选服务商不得因人员配备不足而影响服务质量，采购人主管部门发现每次扣罚1000元。监管过程中发现有未办健康证就入职的员工或健康证过期未及时更换，扣罚500元/人/次。</w:t>
            </w:r>
          </w:p>
          <w:p w14:paraId="7F91F18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制定应对投诉、食品质量、食物中毒等不良事件的处理流程，员工应掌握不良事件上报流程及处理方法，中选服务商接到投诉或有争议的不良事件时，管理人员应1小时内赶到现场进行调查和处理（应急事件在2小时内，一般事件1天内完成处理措施，将损害减到最小），不良事件处理结束后，应填写《不良事件追踪调查表》，对事件进行原因分析及持续改进，以免类似情况再次发生，并在3天内将《不良事件追踪调查表》交给采购人主管部门。一旦出现严重的服务缺陷投诉、食品、安全质量事故，中选服务商还须承担相应的责任外，扣罚2000-3000元/次。</w:t>
            </w:r>
          </w:p>
          <w:p w14:paraId="4C5E182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中选服务商应管理好所属员工，必须遵守国家有关法律法规和采购人的劳动纪律，所属员工发生的一切投诉、纠纷和法律事件，一概由中选服务商承担。若因中选服务商管理不善、控制不力而发生中选服务商员工群体游行、示威、罢工等重大事件且造成严重影响的，每次扣罚20000元。在合同期内累计发生两次重大事件，采购人有权根据具体情况决定单方解除合同，并没收履约保证金。</w:t>
            </w:r>
          </w:p>
          <w:p w14:paraId="2117C28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服务质量考评：采购人每季度根据《食堂服务质量监督检查记录表》（详见附件</w:t>
            </w:r>
            <w:r>
              <w:rPr>
                <w:rFonts w:hint="eastAsia" w:ascii="宋体" w:hAnsi="宋体" w:eastAsia="宋体" w:cs="宋体"/>
                <w:color w:val="auto"/>
                <w:sz w:val="20"/>
                <w:szCs w:val="20"/>
                <w:shd w:val="clear" w:color="auto" w:fill="FFFFFF"/>
                <w:lang w:val="en-US" w:eastAsia="zh-CN" w:bidi="ar"/>
              </w:rPr>
              <w:t>四《中山市东升医院餐饮服务质量监督考评表》</w:t>
            </w:r>
            <w:r>
              <w:rPr>
                <w:rFonts w:hint="eastAsia" w:ascii="宋体" w:hAnsi="宋体" w:eastAsia="宋体" w:cs="宋体"/>
                <w:color w:val="auto"/>
                <w:sz w:val="20"/>
                <w:szCs w:val="20"/>
                <w:shd w:val="clear" w:color="auto" w:fill="FFFFFF"/>
                <w:lang w:eastAsia="zh-CN" w:bidi="ar"/>
              </w:rPr>
              <w:t>）对中选服务商的服务质量进行考评，考评总分为100分，当季考评总分在80分及以上为合格。考核分在80至100分（含80分）之间，不予扣罚，但中选服务商需要对存在问题予以立即改进，如因中选服务商责任所致的同一问题第二次出现的，扣罚500元/次；考核分在75至79分（含79分）之间，每少一分扣1000元/分；考核分在70至74分（含74分）之间，每少一分扣1500元/分；考核分低于70分以下的，每少一分，扣2000元/分；连续两个月考核结果低于70分的，采购人有权单方解除合同重新招标。</w:t>
            </w:r>
          </w:p>
        </w:tc>
        <w:tc>
          <w:tcPr>
            <w:tcW w:w="1410" w:type="dxa"/>
          </w:tcPr>
          <w:p w14:paraId="75EC8902">
            <w:pPr>
              <w:pStyle w:val="11"/>
              <w:rPr>
                <w:rFonts w:ascii="宋体" w:hAnsi="宋体" w:eastAsia="宋体" w:cs="宋体"/>
                <w:lang w:eastAsia="zh-CN"/>
              </w:rPr>
            </w:pPr>
          </w:p>
        </w:tc>
        <w:tc>
          <w:tcPr>
            <w:tcW w:w="1080" w:type="dxa"/>
          </w:tcPr>
          <w:p w14:paraId="1A80A401">
            <w:pPr>
              <w:pStyle w:val="11"/>
              <w:rPr>
                <w:rFonts w:ascii="宋体" w:hAnsi="宋体" w:eastAsia="宋体" w:cs="宋体"/>
                <w:lang w:eastAsia="zh-CN"/>
              </w:rPr>
            </w:pPr>
          </w:p>
        </w:tc>
        <w:tc>
          <w:tcPr>
            <w:tcW w:w="888" w:type="dxa"/>
          </w:tcPr>
          <w:p w14:paraId="116C8B5A">
            <w:pPr>
              <w:pStyle w:val="11"/>
              <w:rPr>
                <w:rFonts w:ascii="宋体" w:hAnsi="宋体" w:eastAsia="宋体" w:cs="宋体"/>
                <w:lang w:eastAsia="zh-CN"/>
              </w:rPr>
            </w:pPr>
          </w:p>
        </w:tc>
      </w:tr>
      <w:tr w14:paraId="1AD38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583" w:type="dxa"/>
            <w:vAlign w:val="center"/>
          </w:tcPr>
          <w:p w14:paraId="6B56CEB7">
            <w:pPr>
              <w:spacing w:before="65" w:line="270" w:lineRule="exact"/>
              <w:jc w:val="center"/>
              <w:rPr>
                <w:rFonts w:hint="eastAsia" w:ascii="宋体" w:hAnsi="宋体" w:eastAsia="宋体" w:cs="宋体"/>
                <w:position w:val="1"/>
                <w:lang w:val="en-US" w:eastAsia="zh-CN"/>
              </w:rPr>
            </w:pPr>
          </w:p>
        </w:tc>
        <w:tc>
          <w:tcPr>
            <w:tcW w:w="5715" w:type="dxa"/>
          </w:tcPr>
          <w:p w14:paraId="6C5AC75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十、报价方式</w:t>
            </w:r>
          </w:p>
          <w:p w14:paraId="7431D60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响应服务商须以现有菜品单价作为最高限价（菜品清单于现场踏勘时现场查询），在此基础上进行下浮。下浮率有效范围为5%至20%，数值最多精确至小数点后两位，且须为固定值，不得设置为区间值。响应服务商应就本项目统一报出一个下浮率，不接受选择性报价。</w:t>
            </w:r>
          </w:p>
          <w:p w14:paraId="4FD6006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 响应服务商须填报一个投资金额，该金额不得低于40万元，数值最多精确至小数点后两位，不得设置为区间值，同时须提供投资额分项清单明细表。</w:t>
            </w:r>
          </w:p>
        </w:tc>
        <w:tc>
          <w:tcPr>
            <w:tcW w:w="1410" w:type="dxa"/>
          </w:tcPr>
          <w:p w14:paraId="741680EB">
            <w:pPr>
              <w:pStyle w:val="11"/>
              <w:rPr>
                <w:rFonts w:ascii="宋体" w:hAnsi="宋体" w:eastAsia="宋体" w:cs="宋体"/>
                <w:lang w:eastAsia="zh-CN"/>
              </w:rPr>
            </w:pPr>
          </w:p>
        </w:tc>
        <w:tc>
          <w:tcPr>
            <w:tcW w:w="1080" w:type="dxa"/>
          </w:tcPr>
          <w:p w14:paraId="4CA5603C">
            <w:pPr>
              <w:pStyle w:val="11"/>
              <w:rPr>
                <w:rFonts w:ascii="宋体" w:hAnsi="宋体" w:eastAsia="宋体" w:cs="宋体"/>
                <w:lang w:eastAsia="zh-CN"/>
              </w:rPr>
            </w:pPr>
          </w:p>
        </w:tc>
        <w:tc>
          <w:tcPr>
            <w:tcW w:w="888" w:type="dxa"/>
          </w:tcPr>
          <w:p w14:paraId="7B337D10">
            <w:pPr>
              <w:pStyle w:val="11"/>
              <w:rPr>
                <w:rFonts w:ascii="宋体" w:hAnsi="宋体" w:eastAsia="宋体" w:cs="宋体"/>
                <w:lang w:eastAsia="zh-CN"/>
              </w:rPr>
            </w:pPr>
          </w:p>
        </w:tc>
      </w:tr>
      <w:tr w14:paraId="235AF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583" w:type="dxa"/>
            <w:vAlign w:val="center"/>
          </w:tcPr>
          <w:p w14:paraId="30B67B55">
            <w:pPr>
              <w:spacing w:before="65" w:line="270" w:lineRule="exact"/>
              <w:jc w:val="center"/>
              <w:rPr>
                <w:rFonts w:hint="eastAsia" w:ascii="宋体" w:hAnsi="宋体" w:eastAsia="宋体" w:cs="宋体"/>
                <w:position w:val="1"/>
                <w:lang w:val="en-US" w:eastAsia="zh-CN"/>
              </w:rPr>
            </w:pPr>
          </w:p>
        </w:tc>
        <w:tc>
          <w:tcPr>
            <w:tcW w:w="5715" w:type="dxa"/>
          </w:tcPr>
          <w:p w14:paraId="6C15119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十一、评审方式</w:t>
            </w:r>
          </w:p>
          <w:p w14:paraId="2A26084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本项目评审采用综合评分法，评分标准详见附件二 《项目评分表》。评审顺序为先开展资格符合性评审，再进行商务、技术及价格的详细评审。分值分配为：技术评审40分，商务评审30分，价格评审10分，投资金额评审20分，满分100分。如出现评审总分相同时，按技术评审得分由高到低排序；若技术评审得分仍相同，则按商务评审得分由高到低排序；若仍无法确定，由评审小组投票决定。</w:t>
            </w:r>
          </w:p>
          <w:p w14:paraId="2C1D502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本次价格评审分值设置为10分，以满足遴选文件各项实质性要求、评审判定为有效投标的全部下浮率报价里的最高下浮率，确定为本次价格评审评标基准价。评标基准价取值为全部有效响应文件中的最高投标下浮率。各有效响应服务商价格得分计算公式如下：价格得分＝（服务商投标下浮率 / 评标基准价）×10 ，计算结果采用四舍五入方式保留两位小数。</w:t>
            </w:r>
          </w:p>
          <w:p w14:paraId="4C9E962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投资金额评审项分值设置为20分。各响应服务商承诺为本项目食堂投入资金不得低于40万元，投入资金须专项用于食堂拆除施工、扩建装修、消防升级改造、管线整改、后厨配套设备添置、排烟及隔油环保设施建设、各类设施设备采购、智慧食堂系统搭建、安防监控系统布设等相关工作；前述全部投入资金均由响应服务商自行全额承担，采购人无需支付任何相关费用。选取通过资格及符合性审查的有效响应文件中承诺投资额的最高值作为投资额评审基准价，各有效响应服务商该项得分计算公式如下：投资金额得分＝（响应服务商投标承诺投资额 / 投资额基准价）×20，计算结果采用四舍五入方式保留两位小数。</w:t>
            </w:r>
          </w:p>
          <w:p w14:paraId="344C4FB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注：须提供承诺函及投资额分项清单明细表，未提供该表的，投资金额评审项不得分。</w:t>
            </w:r>
          </w:p>
        </w:tc>
        <w:tc>
          <w:tcPr>
            <w:tcW w:w="1410" w:type="dxa"/>
          </w:tcPr>
          <w:p w14:paraId="2C6A444B">
            <w:pPr>
              <w:pStyle w:val="11"/>
              <w:rPr>
                <w:rFonts w:ascii="宋体" w:hAnsi="宋体" w:eastAsia="宋体" w:cs="宋体"/>
                <w:lang w:eastAsia="zh-CN"/>
              </w:rPr>
            </w:pPr>
          </w:p>
        </w:tc>
        <w:tc>
          <w:tcPr>
            <w:tcW w:w="1080" w:type="dxa"/>
          </w:tcPr>
          <w:p w14:paraId="1340843B">
            <w:pPr>
              <w:pStyle w:val="11"/>
              <w:rPr>
                <w:rFonts w:ascii="宋体" w:hAnsi="宋体" w:eastAsia="宋体" w:cs="宋体"/>
                <w:lang w:eastAsia="zh-CN"/>
              </w:rPr>
            </w:pPr>
          </w:p>
        </w:tc>
        <w:tc>
          <w:tcPr>
            <w:tcW w:w="888" w:type="dxa"/>
          </w:tcPr>
          <w:p w14:paraId="004BEDB6">
            <w:pPr>
              <w:pStyle w:val="11"/>
              <w:rPr>
                <w:rFonts w:ascii="宋体" w:hAnsi="宋体" w:eastAsia="宋体" w:cs="宋体"/>
                <w:lang w:eastAsia="zh-CN"/>
              </w:rPr>
            </w:pPr>
          </w:p>
        </w:tc>
      </w:tr>
    </w:tbl>
    <w:p w14:paraId="44BFB2AF">
      <w:pPr>
        <w:rPr>
          <w:lang w:eastAsia="zh-CN"/>
        </w:rPr>
      </w:pPr>
    </w:p>
    <w:p w14:paraId="3447D6D1">
      <w:pPr>
        <w:rPr>
          <w:lang w:eastAsia="zh-CN"/>
        </w:rPr>
      </w:pPr>
      <w:r>
        <w:rPr>
          <w:lang w:eastAsia="zh-CN"/>
        </w:rPr>
        <w:br w:type="page"/>
      </w:r>
    </w:p>
    <w:p w14:paraId="0B84180D">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十三、拟投入人员配置清单（加盖公章）：</w:t>
      </w:r>
    </w:p>
    <w:p w14:paraId="348DF894">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拟投入项目负责人:1名，须具有3年以上食堂经营管理经验（提供相关证明材料）</w:t>
      </w:r>
    </w:p>
    <w:p w14:paraId="68CADD2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 拟投入专业工作人员：不少于5名。其中不少于2名具有食堂烹饪经验的厨师，不少于3名其他服务人员。</w:t>
      </w:r>
    </w:p>
    <w:p w14:paraId="1E9395A2">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 拟投入所有员工应服务态度好，品行良好。身体健康并能胜任岗位的工作，无传染性疾病（必须进行入职体检）、无违法犯罪记录（员工入职前中选服务商应将人员名单提交给当地派出所核查，核查无犯罪记录后才可入职，否则所造成的一切后果及责任由中选服务商承担）。所有人员名单应提交给采购人主管部门备案。（须提供承诺函，格式自拟）</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服务商员工，服务商需要提供为其购买社保证明（开标当天前6个月内的任意一个月）复印件，若服务商成立时间不足1个月的应提供《社保声明函》代替社保证明（成立时间以营业执照注册时间为准），人员入职不足1个月须提供人员入职证明或用工证明资料。（格式自拟并加盖公章）】</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10"/>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项目负责人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41" w:line="227" w:lineRule="auto"/>
        <w:jc w:val="both"/>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注：服务商必须如实填写此表格。（此表可延长）</w:t>
      </w:r>
    </w:p>
    <w:p w14:paraId="29D420FE">
      <w:pPr>
        <w:rPr>
          <w:rFonts w:ascii="宋体" w:hAnsi="宋体" w:eastAsia="宋体" w:cs="宋体"/>
          <w:b/>
          <w:bCs/>
          <w:spacing w:val="5"/>
          <w:sz w:val="20"/>
          <w:szCs w:val="20"/>
          <w:lang w:eastAsia="zh-CN"/>
        </w:rPr>
      </w:pPr>
      <w:r>
        <w:rPr>
          <w:rFonts w:ascii="宋体" w:hAnsi="宋体" w:eastAsia="宋体" w:cs="宋体"/>
          <w:b/>
          <w:bCs/>
          <w:spacing w:val="5"/>
          <w:sz w:val="20"/>
          <w:szCs w:val="20"/>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十四、近5年内（以2021年7月1日开始合同签订时间为准）已完成或正在履行的医院食堂整体承包运营相关项目业绩，须提供合同关键页复印件（加盖公章）。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服务商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服务商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服务商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474" w:bottom="907" w:left="1474" w:header="0" w:footer="0" w:gutter="0"/>
          <w:cols w:space="720" w:num="1"/>
        </w:sectPr>
      </w:pPr>
    </w:p>
    <w:p w14:paraId="73EF0398">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十五、承诺函（格式自拟，加盖公章），包括但不限于：</w:t>
      </w:r>
    </w:p>
    <w:p w14:paraId="68F1FE40">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① 中选服务商所有员工应服务态度好，品行良好。身体健康并能胜任岗位的工作，无传染性疾病（必须进行入职体检）、无违法犯罪记录（员工入职前中选服务商应将人员名单提交给当地派出所核查，核查无犯罪记录后才可入职，否则所造成的一切后果及责任由中选服务商承担）。所有人员名单应提交给采购人主管部门备案。提供"具有履行合同所必需的设备和专业技术能力"的承诺函，或提供"具有设备和专业技术能力（人员）"的相关证明资料，或提供《设备和专业技术能力（人员）情况表》（格式自拟）。</w:t>
      </w:r>
    </w:p>
    <w:p w14:paraId="1E0512C9">
      <w:pPr>
        <w:spacing w:before="41"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② 响应服务商承诺为本项目食堂投入金额不低于40万元，全部投资用于食堂拆除、扩建装修、消防改造、管线改造、新增后厨设备、排烟隔油设施、设备采购、智慧食堂及监控系统等，所有投入均由响应服务商全额承担，不向采购人收取任何费用。</w:t>
      </w:r>
    </w:p>
    <w:p w14:paraId="093ECB0B">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val="en-US" w:eastAsia="zh-CN"/>
        </w:rPr>
        <w:t>并加盖公章</w:t>
      </w:r>
      <w:r>
        <w:rPr>
          <w:rFonts w:ascii="宋体" w:hAnsi="宋体" w:eastAsia="宋体" w:cs="宋体"/>
          <w:b/>
          <w:bCs/>
          <w:spacing w:val="7"/>
          <w:sz w:val="20"/>
          <w:szCs w:val="20"/>
          <w:lang w:eastAsia="zh-CN"/>
        </w:rPr>
        <w:t>）</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服务商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681530"/>
    <w:rsid w:val="00B1270F"/>
    <w:rsid w:val="00DF1B45"/>
    <w:rsid w:val="01E26336"/>
    <w:rsid w:val="03945D38"/>
    <w:rsid w:val="043E7C6A"/>
    <w:rsid w:val="04A577D3"/>
    <w:rsid w:val="04CE0985"/>
    <w:rsid w:val="05D250F6"/>
    <w:rsid w:val="06794550"/>
    <w:rsid w:val="06BE352D"/>
    <w:rsid w:val="07D772C8"/>
    <w:rsid w:val="07DE22A7"/>
    <w:rsid w:val="0851471E"/>
    <w:rsid w:val="08805332"/>
    <w:rsid w:val="0A1B60BD"/>
    <w:rsid w:val="0A382368"/>
    <w:rsid w:val="0D5D5C42"/>
    <w:rsid w:val="0E881903"/>
    <w:rsid w:val="0E9C78E3"/>
    <w:rsid w:val="0F846B80"/>
    <w:rsid w:val="0FC71A98"/>
    <w:rsid w:val="10D939A5"/>
    <w:rsid w:val="126C008B"/>
    <w:rsid w:val="1291195C"/>
    <w:rsid w:val="13666B31"/>
    <w:rsid w:val="15DE349E"/>
    <w:rsid w:val="16CC646C"/>
    <w:rsid w:val="16DD5993"/>
    <w:rsid w:val="17192449"/>
    <w:rsid w:val="18C80C4B"/>
    <w:rsid w:val="1A923556"/>
    <w:rsid w:val="1C616530"/>
    <w:rsid w:val="1E1C5BF1"/>
    <w:rsid w:val="1E9D0594"/>
    <w:rsid w:val="1EA21FDF"/>
    <w:rsid w:val="1EDF5020"/>
    <w:rsid w:val="1F29593C"/>
    <w:rsid w:val="1F51709C"/>
    <w:rsid w:val="1FCB0CC2"/>
    <w:rsid w:val="20607AD1"/>
    <w:rsid w:val="20BE2A44"/>
    <w:rsid w:val="20C94920"/>
    <w:rsid w:val="21467229"/>
    <w:rsid w:val="22732647"/>
    <w:rsid w:val="23197101"/>
    <w:rsid w:val="231E7145"/>
    <w:rsid w:val="23487B36"/>
    <w:rsid w:val="238B6F39"/>
    <w:rsid w:val="2481372D"/>
    <w:rsid w:val="267A1EFC"/>
    <w:rsid w:val="2695736E"/>
    <w:rsid w:val="26B446CD"/>
    <w:rsid w:val="2707463D"/>
    <w:rsid w:val="27867BF7"/>
    <w:rsid w:val="281105FD"/>
    <w:rsid w:val="28580DF7"/>
    <w:rsid w:val="2AB638E3"/>
    <w:rsid w:val="2F5129F3"/>
    <w:rsid w:val="2F7E615E"/>
    <w:rsid w:val="314F5556"/>
    <w:rsid w:val="321F317F"/>
    <w:rsid w:val="336C189B"/>
    <w:rsid w:val="36073C0B"/>
    <w:rsid w:val="38D02CC2"/>
    <w:rsid w:val="3B082DE1"/>
    <w:rsid w:val="3EB26D88"/>
    <w:rsid w:val="3EC85642"/>
    <w:rsid w:val="3F592485"/>
    <w:rsid w:val="3F7A12F5"/>
    <w:rsid w:val="40671DCB"/>
    <w:rsid w:val="40C03509"/>
    <w:rsid w:val="418005E1"/>
    <w:rsid w:val="41C53BAE"/>
    <w:rsid w:val="433379C8"/>
    <w:rsid w:val="440B586E"/>
    <w:rsid w:val="4427517F"/>
    <w:rsid w:val="45D109A0"/>
    <w:rsid w:val="471B2DEA"/>
    <w:rsid w:val="49A32D66"/>
    <w:rsid w:val="4A4831FA"/>
    <w:rsid w:val="4C030C69"/>
    <w:rsid w:val="4C4C729F"/>
    <w:rsid w:val="4FAF7B58"/>
    <w:rsid w:val="50573AD2"/>
    <w:rsid w:val="5178029F"/>
    <w:rsid w:val="51A263D9"/>
    <w:rsid w:val="52163CF5"/>
    <w:rsid w:val="54B97F1A"/>
    <w:rsid w:val="5500455B"/>
    <w:rsid w:val="55550F72"/>
    <w:rsid w:val="556A1102"/>
    <w:rsid w:val="5774562F"/>
    <w:rsid w:val="58514D81"/>
    <w:rsid w:val="58EA5D45"/>
    <w:rsid w:val="590B523B"/>
    <w:rsid w:val="5A276988"/>
    <w:rsid w:val="5C9F4EFC"/>
    <w:rsid w:val="5E5E5F4E"/>
    <w:rsid w:val="5F1A2F60"/>
    <w:rsid w:val="64F80876"/>
    <w:rsid w:val="66477914"/>
    <w:rsid w:val="6AE7340E"/>
    <w:rsid w:val="6B147BF9"/>
    <w:rsid w:val="6C143FC0"/>
    <w:rsid w:val="73252077"/>
    <w:rsid w:val="7372318C"/>
    <w:rsid w:val="75E87F4B"/>
    <w:rsid w:val="790F76AC"/>
    <w:rsid w:val="796901D9"/>
    <w:rsid w:val="7A8B2E94"/>
    <w:rsid w:val="7C2A47DB"/>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2"/>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paragraph" w:customStyle="1" w:styleId="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4"/>
    <w:autoRedefine/>
    <w:qFormat/>
    <w:uiPriority w:val="0"/>
    <w:rPr>
      <w:szCs w:val="20"/>
    </w:rPr>
  </w:style>
  <w:style w:type="character" w:customStyle="1" w:styleId="13">
    <w:name w:val="font11"/>
    <w:basedOn w:val="7"/>
    <w:autoRedefine/>
    <w:qFormat/>
    <w:uiPriority w:val="0"/>
    <w:rPr>
      <w:rFonts w:hint="eastAsia" w:ascii="宋体" w:hAnsi="宋体" w:eastAsia="宋体" w:cs="宋体"/>
      <w:color w:val="000000"/>
      <w:sz w:val="22"/>
      <w:szCs w:val="22"/>
      <w:u w:val="single"/>
    </w:rPr>
  </w:style>
  <w:style w:type="character" w:customStyle="1" w:styleId="14">
    <w:name w:val="font31"/>
    <w:basedOn w:val="7"/>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32</Pages>
  <Words>3445</Words>
  <Characters>3599</Characters>
  <Lines>55</Lines>
  <Paragraphs>15</Paragraphs>
  <TotalTime>6</TotalTime>
  <ScaleCrop>false</ScaleCrop>
  <LinksUpToDate>false</LinksUpToDate>
  <CharactersWithSpaces>3968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2026-08-04T06:40:24Z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