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5"/>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6"/>
          <w:szCs w:val="32"/>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中山市小榄人民医院安检设备采购项目响应文件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3"/>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3"/>
        <w:rPr>
          <w:rStyle w:val="19"/>
          <w:rFonts w:hint="eastAsia" w:ascii="宋体" w:hAnsi="宋体" w:eastAsia="宋体" w:cs="宋体"/>
          <w:b/>
          <w:bCs/>
          <w:sz w:val="32"/>
          <w:szCs w:val="28"/>
        </w:rPr>
      </w:pPr>
    </w:p>
    <w:p w14:paraId="18276DFC">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5"/>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中山市小榄人民医院安检设备采购项目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5"/>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5"/>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22676"/>
      <w:bookmarkStart w:id="2" w:name="_Toc17857"/>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r>
        <w:rPr>
          <w:rFonts w:hint="eastAsia" w:ascii="宋体" w:hAnsi="宋体" w:eastAsia="宋体" w:cs="宋体"/>
          <w:color w:val="auto"/>
          <w:kern w:val="0"/>
          <w:sz w:val="24"/>
          <w:szCs w:val="24"/>
          <w:highlight w:val="none"/>
          <w:lang w:val="en-US" w:eastAsia="zh-CN" w:bidi="ar-SA"/>
        </w:rPr>
        <w:t>（经营范围含安检设备制造/销售等相关内容）</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11351"/>
      <w:bookmarkStart w:id="6" w:name="_Toc25638"/>
      <w:bookmarkStart w:id="7" w:name="_Toc27661"/>
      <w:bookmarkStart w:id="8" w:name="_Toc15526"/>
      <w:bookmarkStart w:id="9" w:name="_Toc20589"/>
      <w:bookmarkStart w:id="10" w:name="_Toc1201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中山市小榄人民医院安检设备采购项目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12967"/>
      <w:bookmarkStart w:id="12" w:name="_Toc26969"/>
      <w:bookmarkStart w:id="13" w:name="_Toc1074"/>
      <w:bookmarkStart w:id="14" w:name="_Toc2041"/>
      <w:bookmarkStart w:id="15" w:name="_Toc16435"/>
      <w:bookmarkStart w:id="16" w:name="_Toc23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厂家资质证件（如有，包括但不限于营业执照等）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相关授权（如有）</w:t>
      </w:r>
    </w:p>
    <w:p w14:paraId="4DFF4849">
      <w:pPr>
        <w:pStyle w:val="10"/>
        <w:widowControl w:val="0"/>
        <w:numPr>
          <w:ilvl w:val="0"/>
          <w:numId w:val="0"/>
        </w:numPr>
        <w:jc w:val="both"/>
        <w:rPr>
          <w:rFonts w:hint="eastAsia"/>
          <w:lang w:val="en-US" w:eastAsia="zh-CN"/>
        </w:rPr>
      </w:pPr>
    </w:p>
    <w:p w14:paraId="0B3A36DE">
      <w:pPr>
        <w:rPr>
          <w:rFonts w:hint="eastAsia"/>
          <w:lang w:val="en-US" w:eastAsia="zh-CN"/>
        </w:rPr>
      </w:pPr>
    </w:p>
    <w:p w14:paraId="688BB6F8">
      <w:pPr>
        <w:pStyle w:val="10"/>
        <w:rPr>
          <w:rFonts w:hint="eastAsia"/>
          <w:lang w:val="en-US" w:eastAsia="zh-CN"/>
        </w:rPr>
      </w:pPr>
    </w:p>
    <w:p w14:paraId="03F8A129">
      <w:pPr>
        <w:rPr>
          <w:rFonts w:hint="eastAsia"/>
          <w:lang w:val="en-US" w:eastAsia="zh-CN"/>
        </w:rPr>
      </w:pPr>
    </w:p>
    <w:p w14:paraId="460F1A3E">
      <w:pPr>
        <w:pStyle w:val="10"/>
        <w:rPr>
          <w:rFonts w:hint="eastAsia"/>
          <w:lang w:val="en-US" w:eastAsia="zh-CN"/>
        </w:rPr>
      </w:pPr>
    </w:p>
    <w:p w14:paraId="6148521E">
      <w:pPr>
        <w:rPr>
          <w:rFonts w:hint="eastAsia"/>
          <w:lang w:val="en-US" w:eastAsia="zh-CN"/>
        </w:rPr>
      </w:pPr>
    </w:p>
    <w:p w14:paraId="23113171">
      <w:pPr>
        <w:pStyle w:val="10"/>
        <w:rPr>
          <w:rFonts w:hint="eastAsia"/>
          <w:lang w:val="en-US" w:eastAsia="zh-CN"/>
        </w:rPr>
      </w:pPr>
    </w:p>
    <w:p w14:paraId="2F6E0FD6">
      <w:pPr>
        <w:rPr>
          <w:rFonts w:hint="eastAsia"/>
          <w:lang w:val="en-US" w:eastAsia="zh-CN"/>
        </w:rPr>
      </w:pPr>
    </w:p>
    <w:p w14:paraId="0AB5C857">
      <w:pPr>
        <w:pStyle w:val="10"/>
        <w:rPr>
          <w:rFonts w:hint="eastAsia"/>
          <w:lang w:val="en-US" w:eastAsia="zh-CN"/>
        </w:rPr>
      </w:pPr>
    </w:p>
    <w:p w14:paraId="64C55050">
      <w:pPr>
        <w:rPr>
          <w:rFonts w:hint="eastAsia"/>
          <w:lang w:val="en-US" w:eastAsia="zh-CN"/>
        </w:rPr>
      </w:pPr>
    </w:p>
    <w:p w14:paraId="2D8A8B55">
      <w:pPr>
        <w:pStyle w:val="10"/>
        <w:rPr>
          <w:rFonts w:hint="eastAsia"/>
          <w:lang w:val="en-US" w:eastAsia="zh-CN"/>
        </w:rPr>
      </w:pPr>
    </w:p>
    <w:p w14:paraId="55AFE6ED">
      <w:pPr>
        <w:rPr>
          <w:rFonts w:hint="eastAsia"/>
          <w:lang w:val="en-US" w:eastAsia="zh-CN"/>
        </w:rPr>
      </w:pPr>
    </w:p>
    <w:p w14:paraId="79EAE22D">
      <w:pPr>
        <w:pStyle w:val="10"/>
        <w:rPr>
          <w:rFonts w:hint="eastAsia"/>
          <w:lang w:val="en-US" w:eastAsia="zh-CN"/>
        </w:rPr>
      </w:pPr>
    </w:p>
    <w:p w14:paraId="3EA54FA0">
      <w:pPr>
        <w:rPr>
          <w:rFonts w:hint="eastAsia"/>
          <w:lang w:val="en-US" w:eastAsia="zh-CN"/>
        </w:rPr>
      </w:pPr>
    </w:p>
    <w:p w14:paraId="7A9BDEE3">
      <w:pPr>
        <w:pStyle w:val="10"/>
        <w:rPr>
          <w:rFonts w:hint="eastAsia"/>
          <w:lang w:val="en-US" w:eastAsia="zh-CN"/>
        </w:rPr>
      </w:pPr>
    </w:p>
    <w:p w14:paraId="38A60CF3">
      <w:pPr>
        <w:rPr>
          <w:rFonts w:hint="eastAsia"/>
          <w:lang w:val="en-US" w:eastAsia="zh-CN"/>
        </w:rPr>
      </w:pPr>
    </w:p>
    <w:p w14:paraId="2A6BB0B8">
      <w:pPr>
        <w:pStyle w:val="10"/>
        <w:rPr>
          <w:rFonts w:hint="eastAsia"/>
          <w:lang w:val="en-US" w:eastAsia="zh-CN"/>
        </w:rPr>
      </w:pPr>
    </w:p>
    <w:p w14:paraId="53372F6B">
      <w:pPr>
        <w:rPr>
          <w:rFonts w:hint="eastAsia"/>
          <w:lang w:val="en-US" w:eastAsia="zh-CN"/>
        </w:rPr>
      </w:pPr>
    </w:p>
    <w:p w14:paraId="117CF72F">
      <w:pPr>
        <w:pStyle w:val="10"/>
        <w:rPr>
          <w:rFonts w:hint="eastAsia"/>
          <w:lang w:val="en-US" w:eastAsia="zh-CN"/>
        </w:rPr>
      </w:pPr>
    </w:p>
    <w:p w14:paraId="53CA767B">
      <w:pPr>
        <w:rPr>
          <w:rFonts w:hint="eastAsia"/>
          <w:lang w:val="en-US" w:eastAsia="zh-CN"/>
        </w:rPr>
      </w:pPr>
    </w:p>
    <w:p w14:paraId="2462DE05">
      <w:pPr>
        <w:pStyle w:val="10"/>
        <w:rPr>
          <w:rFonts w:hint="eastAsia"/>
          <w:lang w:val="en-US" w:eastAsia="zh-CN"/>
        </w:rPr>
      </w:pPr>
    </w:p>
    <w:p w14:paraId="2CD93BB4">
      <w:pPr>
        <w:rPr>
          <w:rFonts w:hint="eastAsia"/>
          <w:lang w:val="en-US" w:eastAsia="zh-CN"/>
        </w:rPr>
      </w:pPr>
    </w:p>
    <w:p w14:paraId="60E6D008">
      <w:pPr>
        <w:pStyle w:val="10"/>
        <w:rPr>
          <w:rFonts w:hint="eastAsia"/>
          <w:lang w:val="en-US" w:eastAsia="zh-CN"/>
        </w:rPr>
      </w:pPr>
    </w:p>
    <w:p w14:paraId="21D2805E">
      <w:pPr>
        <w:rPr>
          <w:rFonts w:hint="eastAsia"/>
          <w:lang w:val="en-US" w:eastAsia="zh-CN"/>
        </w:rPr>
      </w:pPr>
    </w:p>
    <w:p w14:paraId="6AC31795">
      <w:pPr>
        <w:pStyle w:val="10"/>
        <w:rPr>
          <w:rFonts w:hint="eastAsia"/>
          <w:lang w:val="en-US" w:eastAsia="zh-CN"/>
        </w:rPr>
      </w:pPr>
    </w:p>
    <w:p w14:paraId="6988F851">
      <w:pPr>
        <w:rPr>
          <w:rFonts w:hint="eastAsia"/>
          <w:lang w:val="en-US" w:eastAsia="zh-CN"/>
        </w:rPr>
      </w:pPr>
    </w:p>
    <w:p w14:paraId="1D48DF30">
      <w:pPr>
        <w:pStyle w:val="10"/>
        <w:rPr>
          <w:rFonts w:hint="eastAsia"/>
          <w:lang w:val="en-US" w:eastAsia="zh-CN"/>
        </w:rPr>
      </w:pPr>
    </w:p>
    <w:p w14:paraId="7541790D">
      <w:pPr>
        <w:rPr>
          <w:rFonts w:hint="eastAsia"/>
          <w:lang w:val="en-US" w:eastAsia="zh-CN"/>
        </w:rPr>
      </w:pPr>
    </w:p>
    <w:p w14:paraId="373B32CE">
      <w:pPr>
        <w:pStyle w:val="10"/>
        <w:rPr>
          <w:rFonts w:hint="eastAsia"/>
          <w:lang w:val="en-US" w:eastAsia="zh-CN"/>
        </w:rPr>
      </w:pPr>
    </w:p>
    <w:p w14:paraId="0D122BBE">
      <w:pPr>
        <w:rPr>
          <w:rFonts w:hint="eastAsia"/>
          <w:lang w:val="en-US" w:eastAsia="zh-CN"/>
        </w:rPr>
      </w:pPr>
    </w:p>
    <w:p w14:paraId="16EF1594">
      <w:pPr>
        <w:pStyle w:val="10"/>
        <w:rPr>
          <w:rFonts w:hint="eastAsia"/>
          <w:lang w:val="en-US" w:eastAsia="zh-CN"/>
        </w:rPr>
      </w:pPr>
    </w:p>
    <w:p w14:paraId="37ABAA75">
      <w:pPr>
        <w:rPr>
          <w:rFonts w:hint="eastAsia"/>
          <w:lang w:val="en-US" w:eastAsia="zh-CN"/>
        </w:rPr>
      </w:pPr>
    </w:p>
    <w:p w14:paraId="0E8018ED">
      <w:pPr>
        <w:pStyle w:val="10"/>
        <w:rPr>
          <w:rFonts w:hint="eastAsia"/>
          <w:lang w:val="en-US" w:eastAsia="zh-CN"/>
        </w:rPr>
      </w:pPr>
    </w:p>
    <w:p w14:paraId="1A04324E">
      <w:pPr>
        <w:rPr>
          <w:rFonts w:hint="eastAsia"/>
          <w:lang w:val="en-US" w:eastAsia="zh-CN"/>
        </w:rPr>
      </w:pPr>
    </w:p>
    <w:p w14:paraId="72C93B02">
      <w:pPr>
        <w:pStyle w:val="10"/>
        <w:rPr>
          <w:rFonts w:hint="eastAsia"/>
          <w:lang w:val="en-US" w:eastAsia="zh-CN"/>
        </w:rPr>
      </w:pPr>
    </w:p>
    <w:p w14:paraId="708D1A5F">
      <w:pPr>
        <w:rPr>
          <w:rFonts w:hint="eastAsia"/>
          <w:lang w:val="en-US" w:eastAsia="zh-CN"/>
        </w:rPr>
      </w:pPr>
    </w:p>
    <w:p w14:paraId="5F67DD0F">
      <w:pPr>
        <w:pStyle w:val="10"/>
        <w:rPr>
          <w:rFonts w:hint="eastAsia"/>
          <w:lang w:val="en-US" w:eastAsia="zh-CN"/>
        </w:rPr>
      </w:pPr>
    </w:p>
    <w:p w14:paraId="1E891E2B">
      <w:pPr>
        <w:rPr>
          <w:rFonts w:hint="eastAsia"/>
          <w:lang w:val="en-US" w:eastAsia="zh-CN"/>
        </w:rPr>
      </w:pPr>
    </w:p>
    <w:p w14:paraId="070B351F">
      <w:pPr>
        <w:pStyle w:val="10"/>
        <w:rPr>
          <w:rFonts w:hint="eastAsia"/>
          <w:lang w:val="en-US" w:eastAsia="zh-CN"/>
        </w:rPr>
      </w:pPr>
    </w:p>
    <w:p w14:paraId="22E9C324">
      <w:pPr>
        <w:rPr>
          <w:rFonts w:hint="eastAsia"/>
          <w:lang w:val="en-US" w:eastAsia="zh-CN"/>
        </w:rPr>
      </w:pPr>
    </w:p>
    <w:p w14:paraId="4E83AF0B">
      <w:pPr>
        <w:pStyle w:val="10"/>
        <w:rPr>
          <w:rFonts w:hint="eastAsia"/>
          <w:lang w:val="en-US" w:eastAsia="zh-CN"/>
        </w:rPr>
      </w:pPr>
    </w:p>
    <w:p w14:paraId="14FFE56F">
      <w:pPr>
        <w:rPr>
          <w:rFonts w:hint="eastAsia"/>
          <w:lang w:val="en-US" w:eastAsia="zh-CN"/>
        </w:rPr>
      </w:pPr>
    </w:p>
    <w:p w14:paraId="71C51838">
      <w:pPr>
        <w:rPr>
          <w:rFonts w:hint="eastAsia"/>
          <w:lang w:val="en-US" w:eastAsia="zh-CN"/>
        </w:rPr>
      </w:pPr>
    </w:p>
    <w:p w14:paraId="12316B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八、近三年同类业绩相关证明文件</w:t>
      </w:r>
    </w:p>
    <w:p w14:paraId="21B25882">
      <w:pPr>
        <w:pStyle w:val="10"/>
        <w:rPr>
          <w:rFonts w:hint="eastAsia"/>
          <w:lang w:val="en-US" w:eastAsia="zh-CN"/>
        </w:rPr>
      </w:pPr>
    </w:p>
    <w:p w14:paraId="10AD69B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C5A001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037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9286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B9A5A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AD9F87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2BA59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BD1D3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F662E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734BE9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8B48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FA83B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7A51C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D083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1C0DD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1286F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A920F8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4096B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B74B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FBC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E09CF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A18A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CCA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47E34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DB9F95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0CDA93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75984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A6C6F5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九、采购需求偏离表</w:t>
      </w:r>
      <w:bookmarkEnd w:id="11"/>
      <w:bookmarkEnd w:id="12"/>
      <w:bookmarkEnd w:id="13"/>
      <w:bookmarkEnd w:id="14"/>
      <w:bookmarkEnd w:id="15"/>
      <w:bookmarkEnd w:id="16"/>
    </w:p>
    <w:p w14:paraId="44104E7C">
      <w:pPr>
        <w:pStyle w:val="5"/>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63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743"/>
        <w:gridCol w:w="6164"/>
        <w:gridCol w:w="1268"/>
        <w:gridCol w:w="14"/>
        <w:gridCol w:w="1268"/>
        <w:gridCol w:w="13"/>
        <w:gridCol w:w="1161"/>
      </w:tblGrid>
      <w:tr w14:paraId="1A439A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A14C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响应</w:t>
            </w:r>
            <w:r>
              <w:rPr>
                <w:rStyle w:val="19"/>
                <w:rFonts w:hint="eastAsia" w:ascii="宋体" w:hAnsi="宋体" w:eastAsia="宋体" w:cs="宋体"/>
                <w:b w:val="0"/>
                <w:bCs w:val="0"/>
                <w:color w:val="auto"/>
                <w:kern w:val="2"/>
                <w:sz w:val="21"/>
                <w:szCs w:val="21"/>
                <w:lang w:val="zh-TW" w:eastAsia="zh-CN"/>
              </w:rPr>
              <w:t>文件所在位置</w:t>
            </w:r>
          </w:p>
        </w:tc>
      </w:tr>
      <w:tr w14:paraId="6A13ED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44A8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资质要求</w:t>
            </w:r>
          </w:p>
        </w:tc>
      </w:tr>
      <w:tr w14:paraId="7DAF54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EFB197">
            <w:pPr>
              <w:adjustRightInd w:val="0"/>
              <w:snapToGrid w:val="0"/>
              <w:jc w:val="center"/>
              <w:rPr>
                <w:rFonts w:hint="eastAsia" w:ascii="宋体" w:hAnsi="宋体" w:cs="宋体" w:eastAsiaTheme="minorEastAsia"/>
                <w:color w:val="1A1A1A"/>
                <w:shd w:val="clear" w:color="auto" w:fill="FFFFFF"/>
                <w:lang w:val="en-US" w:eastAsia="zh-CN"/>
              </w:rPr>
            </w:pPr>
            <w:r>
              <w:rPr>
                <w:rFonts w:hint="eastAsia" w:ascii="宋体" w:hAnsi="宋体" w:cs="宋体"/>
                <w:color w:val="1A1A1A"/>
                <w:shd w:val="clear" w:color="auto" w:fill="FFFFFF"/>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3DAE9E">
            <w:pPr>
              <w:adjustRightInd w:val="0"/>
              <w:snapToGrid w:val="0"/>
              <w:jc w:val="left"/>
              <w:rPr>
                <w:rFonts w:hint="eastAsia" w:ascii="宋体" w:hAnsi="宋体" w:cs="宋体"/>
                <w:color w:val="1A1A1A"/>
                <w:shd w:val="clear" w:color="auto" w:fill="FFFFFF"/>
              </w:rPr>
            </w:pPr>
            <w:r>
              <w:rPr>
                <w:rFonts w:hint="eastAsia" w:ascii="宋体" w:hAnsi="宋体" w:cs="宋体"/>
                <w:color w:val="1A1A1A"/>
                <w:shd w:val="clear" w:color="auto" w:fill="FFFFFF"/>
              </w:rPr>
              <w:t>响应供应商具有独立承担民事责任能力的在中华人民共和国境内注册的法人或其他组织营业执照，经营范围含安检设备制造/销售等相关内容；</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63A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0E8D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44CB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B9A11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2FFE2">
            <w:pPr>
              <w:adjustRightInd w:val="0"/>
              <w:snapToGrid w:val="0"/>
              <w:jc w:val="center"/>
              <w:rPr>
                <w:rFonts w:hint="eastAsia" w:ascii="宋体" w:hAnsi="宋体" w:cs="宋体" w:eastAsiaTheme="minorEastAsia"/>
                <w:color w:val="1A1A1A"/>
                <w:shd w:val="clear" w:color="auto" w:fill="FFFFFF"/>
                <w:lang w:val="en-US" w:eastAsia="zh-CN"/>
              </w:rPr>
            </w:pPr>
            <w:r>
              <w:rPr>
                <w:rFonts w:hint="eastAsia" w:ascii="宋体" w:hAnsi="宋体" w:cs="宋体"/>
                <w:color w:val="1A1A1A"/>
                <w:shd w:val="clear" w:color="auto" w:fill="FFFFFF"/>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9A3892">
            <w:pPr>
              <w:adjustRightInd w:val="0"/>
              <w:snapToGrid w:val="0"/>
              <w:jc w:val="left"/>
              <w:rPr>
                <w:rFonts w:hint="eastAsia" w:ascii="宋体" w:hAnsi="宋体" w:cs="宋体"/>
                <w:color w:val="1A1A1A"/>
                <w:shd w:val="clear" w:color="auto" w:fill="FFFFFF"/>
              </w:rPr>
            </w:pPr>
            <w:r>
              <w:rPr>
                <w:rFonts w:hint="eastAsia" w:ascii="宋体" w:hAnsi="宋体" w:cs="宋体"/>
                <w:color w:val="1A1A1A"/>
                <w:shd w:val="clear" w:color="auto" w:fill="FFFFFF"/>
              </w:rPr>
              <w:t>响应供应商应具有项目的承接能力、合同的履约能力、售后服务能力和良好的信誉。</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9A02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D68A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6BE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C39C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DC13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采购清单</w:t>
            </w:r>
          </w:p>
        </w:tc>
      </w:tr>
      <w:tr w14:paraId="0D2B05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C54633">
            <w:pPr>
              <w:adjustRightInd w:val="0"/>
              <w:snapToGrid w:val="0"/>
              <w:jc w:val="center"/>
              <w:rPr>
                <w:rFonts w:hint="default" w:ascii="宋体" w:hAnsi="宋体" w:cs="宋体" w:eastAsiaTheme="minorEastAsia"/>
                <w:color w:val="1A1A1A"/>
                <w:shd w:val="clear" w:color="auto" w:fill="FFFFFF"/>
                <w:lang w:val="en-US" w:eastAsia="zh-CN"/>
              </w:rPr>
            </w:pPr>
            <w:r>
              <w:rPr>
                <w:rFonts w:hint="eastAsia" w:ascii="宋体" w:hAnsi="宋体" w:cs="宋体"/>
                <w:color w:val="1A1A1A"/>
                <w:shd w:val="clear" w:color="auto" w:fill="FFFFFF"/>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tbl>
            <w:tblPr>
              <w:tblStyle w:val="14"/>
              <w:tblW w:w="5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947"/>
              <w:gridCol w:w="1841"/>
              <w:gridCol w:w="498"/>
              <w:gridCol w:w="447"/>
              <w:gridCol w:w="1218"/>
            </w:tblGrid>
            <w:tr w14:paraId="004F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blHeader/>
                <w:jc w:val="center"/>
              </w:trPr>
              <w:tc>
                <w:tcPr>
                  <w:tcW w:w="604" w:type="dxa"/>
                  <w:noWrap w:val="0"/>
                  <w:vAlign w:val="center"/>
                </w:tcPr>
                <w:p w14:paraId="4B522D40">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序号</w:t>
                  </w:r>
                </w:p>
              </w:tc>
              <w:tc>
                <w:tcPr>
                  <w:tcW w:w="947" w:type="dxa"/>
                  <w:noWrap w:val="0"/>
                  <w:vAlign w:val="center"/>
                </w:tcPr>
                <w:p w14:paraId="0967E7C5">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w:t>
                  </w:r>
                </w:p>
                <w:p w14:paraId="06ABC75D">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物品</w:t>
                  </w:r>
                </w:p>
              </w:tc>
              <w:tc>
                <w:tcPr>
                  <w:tcW w:w="1841" w:type="dxa"/>
                  <w:noWrap w:val="0"/>
                  <w:vAlign w:val="center"/>
                </w:tcPr>
                <w:p w14:paraId="552DBFDD">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技术参数要求</w:t>
                  </w:r>
                </w:p>
              </w:tc>
              <w:tc>
                <w:tcPr>
                  <w:tcW w:w="498" w:type="dxa"/>
                  <w:noWrap w:val="0"/>
                  <w:vAlign w:val="center"/>
                </w:tcPr>
                <w:p w14:paraId="76DF9E80">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单位</w:t>
                  </w:r>
                </w:p>
              </w:tc>
              <w:tc>
                <w:tcPr>
                  <w:tcW w:w="447" w:type="dxa"/>
                  <w:noWrap w:val="0"/>
                  <w:vAlign w:val="center"/>
                </w:tcPr>
                <w:p w14:paraId="58DD35EB">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数量</w:t>
                  </w:r>
                </w:p>
              </w:tc>
              <w:tc>
                <w:tcPr>
                  <w:tcW w:w="1218" w:type="dxa"/>
                  <w:noWrap w:val="0"/>
                  <w:vAlign w:val="center"/>
                </w:tcPr>
                <w:p w14:paraId="46A28699">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最高单价限价</w:t>
                  </w:r>
                </w:p>
                <w:p w14:paraId="5D62F152">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(元)</w:t>
                  </w:r>
                </w:p>
              </w:tc>
            </w:tr>
            <w:tr w14:paraId="70C5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604" w:type="dxa"/>
                  <w:noWrap w:val="0"/>
                  <w:vAlign w:val="center"/>
                </w:tcPr>
                <w:p w14:paraId="2ED7A511">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947" w:type="dxa"/>
                  <w:noWrap w:val="0"/>
                  <w:vAlign w:val="center"/>
                </w:tcPr>
                <w:p w14:paraId="01773E8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安检门</w:t>
                  </w:r>
                </w:p>
              </w:tc>
              <w:tc>
                <w:tcPr>
                  <w:tcW w:w="1841" w:type="dxa"/>
                  <w:noWrap w:val="0"/>
                  <w:vAlign w:val="center"/>
                </w:tcPr>
                <w:p w14:paraId="09501C9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详见“三、参数要求”</w:t>
                  </w:r>
                </w:p>
              </w:tc>
              <w:tc>
                <w:tcPr>
                  <w:tcW w:w="498" w:type="dxa"/>
                  <w:noWrap w:val="0"/>
                  <w:vAlign w:val="center"/>
                </w:tcPr>
                <w:p w14:paraId="7077C1A5">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台</w:t>
                  </w:r>
                </w:p>
              </w:tc>
              <w:tc>
                <w:tcPr>
                  <w:tcW w:w="447" w:type="dxa"/>
                  <w:noWrap w:val="0"/>
                  <w:vAlign w:val="center"/>
                </w:tcPr>
                <w:p w14:paraId="45DA7626">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1218" w:type="dxa"/>
                  <w:noWrap w:val="0"/>
                  <w:vAlign w:val="center"/>
                </w:tcPr>
                <w:p w14:paraId="20E08296">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28800</w:t>
                  </w:r>
                </w:p>
              </w:tc>
            </w:tr>
            <w:tr w14:paraId="689C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604" w:type="dxa"/>
                  <w:noWrap w:val="0"/>
                  <w:vAlign w:val="center"/>
                </w:tcPr>
                <w:p w14:paraId="79EDE53A">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p>
              </w:tc>
              <w:tc>
                <w:tcPr>
                  <w:tcW w:w="947" w:type="dxa"/>
                  <w:noWrap w:val="0"/>
                  <w:vAlign w:val="center"/>
                </w:tcPr>
                <w:p w14:paraId="61F9AA2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安检机</w:t>
                  </w:r>
                </w:p>
              </w:tc>
              <w:tc>
                <w:tcPr>
                  <w:tcW w:w="1841" w:type="dxa"/>
                  <w:noWrap w:val="0"/>
                  <w:vAlign w:val="center"/>
                </w:tcPr>
                <w:p w14:paraId="02F3F74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详见“三、参数要求”</w:t>
                  </w:r>
                </w:p>
              </w:tc>
              <w:tc>
                <w:tcPr>
                  <w:tcW w:w="498" w:type="dxa"/>
                  <w:noWrap w:val="0"/>
                  <w:vAlign w:val="center"/>
                </w:tcPr>
                <w:p w14:paraId="34B578D1">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台</w:t>
                  </w:r>
                </w:p>
              </w:tc>
              <w:tc>
                <w:tcPr>
                  <w:tcW w:w="447" w:type="dxa"/>
                  <w:noWrap w:val="0"/>
                  <w:vAlign w:val="center"/>
                </w:tcPr>
                <w:p w14:paraId="60F55115">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1218" w:type="dxa"/>
                  <w:noWrap w:val="0"/>
                  <w:vAlign w:val="center"/>
                </w:tcPr>
                <w:p w14:paraId="548EF1DA">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89800</w:t>
                  </w:r>
                </w:p>
              </w:tc>
            </w:tr>
          </w:tbl>
          <w:p w14:paraId="68C62A60">
            <w:pPr>
              <w:adjustRightInd w:val="0"/>
              <w:snapToGrid w:val="0"/>
              <w:jc w:val="left"/>
              <w:rPr>
                <w:rFonts w:hint="eastAsia" w:ascii="宋体" w:hAnsi="宋体" w:cs="宋体"/>
                <w:color w:val="1A1A1A"/>
                <w:shd w:val="clear" w:color="auto" w:fill="FFFFFF"/>
              </w:rPr>
            </w:pP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4419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D78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476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ABCBD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8996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参数要求</w:t>
            </w:r>
          </w:p>
        </w:tc>
      </w:tr>
      <w:tr w14:paraId="33F8D4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07"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BC68E">
            <w:pPr>
              <w:keepNext w:val="0"/>
              <w:keepLines w:val="0"/>
              <w:pageBreakBefore w:val="0"/>
              <w:widowControl w:val="0"/>
              <w:numPr>
                <w:ilvl w:val="0"/>
                <w:numId w:val="4"/>
              </w:numPr>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安检门</w:t>
            </w:r>
          </w:p>
          <w:p w14:paraId="00BC768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rPr>
                <w:rStyle w:val="19"/>
                <w:rFonts w:hint="eastAsia" w:ascii="宋体" w:hAnsi="宋体" w:eastAsia="宋体" w:cs="宋体"/>
                <w:b/>
                <w:bCs/>
                <w:color w:val="auto"/>
                <w:kern w:val="2"/>
                <w:sz w:val="21"/>
                <w:szCs w:val="21"/>
                <w:lang w:val="en-US" w:eastAsia="zh-CN"/>
              </w:rPr>
            </w:pPr>
            <w:r>
              <w:rPr>
                <w:rFonts w:hint="eastAsia" w:ascii="宋体" w:hAnsi="宋体" w:eastAsia="宋体" w:cs="宋体"/>
                <w:color w:val="auto"/>
                <w:kern w:val="0"/>
                <w:sz w:val="24"/>
                <w:szCs w:val="24"/>
                <w:highlight w:val="none"/>
                <w:shd w:val="clear" w:color="auto" w:fill="FFFFFF"/>
                <w:lang w:val="en-US" w:eastAsia="zh-CN" w:bidi="ar-SA"/>
              </w:rPr>
              <w:t>1.基本物理参数</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8D74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20877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0AE5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13D0F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adjustRightInd w:val="0"/>
              <w:snapToGrid w:val="0"/>
              <w:jc w:val="center"/>
              <w:outlineLvl w:val="0"/>
              <w:rPr>
                <w:rStyle w:val="19"/>
                <w:rFonts w:hint="default" w:ascii="宋体" w:hAnsi="宋体" w:eastAsia="宋体" w:cs="宋体"/>
                <w:b w:val="0"/>
                <w:bCs w:val="0"/>
                <w:color w:val="auto"/>
                <w:kern w:val="2"/>
                <w:sz w:val="21"/>
                <w:szCs w:val="21"/>
                <w:lang w:val="en-US" w:eastAsia="zh-CN"/>
              </w:rPr>
            </w:pPr>
            <w:r>
              <w:rPr>
                <w:rFonts w:hint="eastAsia" w:ascii="宋体" w:hAnsi="宋体" w:eastAsia="宋体"/>
                <w:b w:val="0"/>
                <w:bCs w:val="0"/>
                <w:kern w:val="0"/>
                <w:lang w:eastAsia="zh-CN"/>
              </w:rPr>
              <w:t>（</w:t>
            </w:r>
            <w:r>
              <w:rPr>
                <w:rFonts w:hint="eastAsia" w:ascii="宋体" w:hAnsi="宋体" w:eastAsia="宋体"/>
                <w:b w:val="0"/>
                <w:bCs w:val="0"/>
                <w:kern w:val="0"/>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3C691C">
            <w:pPr>
              <w:adjustRightInd w:val="0"/>
              <w:snapToGrid w:val="0"/>
              <w:jc w:val="left"/>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尺寸：门体尺寸需符合医院人流通行需求，通道尺寸宽度≥700mm，高度≥2000mm，深度≥650mm。</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43D1D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D8240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F46000">
            <w:pPr>
              <w:adjustRightInd w:val="0"/>
              <w:snapToGrid w:val="0"/>
              <w:jc w:val="center"/>
              <w:rPr>
                <w:rFonts w:hint="default" w:ascii="宋体" w:hAnsi="宋体" w:eastAsiaTheme="minorEastAsia"/>
                <w:b w:val="0"/>
                <w:bCs w:val="0"/>
                <w:color w:val="auto"/>
                <w:szCs w:val="21"/>
                <w:lang w:val="en-US" w:eastAsia="zh-CN"/>
              </w:rPr>
            </w:pPr>
            <w:r>
              <w:rPr>
                <w:rFonts w:hint="eastAsia" w:ascii="宋体" w:hAnsi="宋体"/>
                <w:b w:val="0"/>
                <w:bCs w:val="0"/>
                <w:kern w:val="0"/>
                <w:lang w:eastAsia="zh-CN"/>
              </w:rPr>
              <w:t>（</w:t>
            </w:r>
            <w:r>
              <w:rPr>
                <w:rFonts w:hint="eastAsia" w:ascii="宋体" w:hAnsi="宋体"/>
                <w:b w:val="0"/>
                <w:bCs w:val="0"/>
                <w:kern w:val="0"/>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FA11B5">
            <w:pPr>
              <w:adjustRightInd w:val="0"/>
              <w:snapToGrid w:val="0"/>
              <w:jc w:val="left"/>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材质：主体结构应采用高强度、阻燃、防潮、防锈、防腐蚀材料，外观整洁，防撞不易变形。</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051D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3CEF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adjustRightInd w:val="0"/>
              <w:snapToGrid w:val="0"/>
              <w:jc w:val="center"/>
              <w:rPr>
                <w:rStyle w:val="19"/>
                <w:rFonts w:hint="default" w:ascii="宋体" w:hAnsi="宋体" w:eastAsia="宋体" w:cs="宋体"/>
                <w:b w:val="0"/>
                <w:bCs w:val="0"/>
                <w:color w:val="auto"/>
                <w:kern w:val="2"/>
                <w:sz w:val="21"/>
                <w:szCs w:val="21"/>
                <w:lang w:val="en-US" w:eastAsia="zh-CN"/>
              </w:rPr>
            </w:pPr>
            <w:r>
              <w:rPr>
                <w:rFonts w:hint="eastAsia" w:ascii="宋体" w:hAnsi="宋体" w:eastAsia="宋体"/>
                <w:b w:val="0"/>
                <w:bCs w:val="0"/>
                <w:kern w:val="0"/>
                <w:lang w:eastAsia="zh-CN"/>
              </w:rPr>
              <w:t>（</w:t>
            </w:r>
            <w:r>
              <w:rPr>
                <w:rFonts w:hint="eastAsia" w:ascii="宋体" w:hAnsi="宋体" w:eastAsia="宋体"/>
                <w:b w:val="0"/>
                <w:bCs w:val="0"/>
                <w:kern w:val="0"/>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165FE6">
            <w:pPr>
              <w:adjustRightInd w:val="0"/>
              <w:snapToGrid w:val="0"/>
              <w:jc w:val="left"/>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工作电压：交流90V~240V， 50/60HZ，具备稳压功能，功耗低（功耗＜22W）。</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9F14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D6E57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adjustRightInd w:val="0"/>
              <w:snapToGrid w:val="0"/>
              <w:jc w:val="center"/>
              <w:rPr>
                <w:rStyle w:val="19"/>
                <w:rFonts w:hint="default" w:ascii="宋体" w:hAnsi="宋体" w:eastAsia="宋体" w:cs="宋体"/>
                <w:b w:val="0"/>
                <w:bCs w:val="0"/>
                <w:color w:val="auto"/>
                <w:kern w:val="2"/>
                <w:sz w:val="21"/>
                <w:szCs w:val="21"/>
                <w:lang w:val="en-US" w:eastAsia="zh-CN"/>
              </w:rPr>
            </w:pPr>
            <w:r>
              <w:rPr>
                <w:rFonts w:hint="eastAsia" w:ascii="宋体" w:hAnsi="宋体"/>
                <w:b w:val="0"/>
                <w:bCs w:val="0"/>
                <w:kern w:val="0"/>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C73D54">
            <w:pPr>
              <w:adjustRightInd w:val="0"/>
              <w:snapToGrid w:val="0"/>
              <w:jc w:val="left"/>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工作环境：适应医院室内环境，对周边医疗设备（如心电监护仪、MRI等）无电磁干扰，工作湿度0~95%无冷凝，环境适应温度-20℃~65℃。</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1A20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2BBA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07"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CC88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rPr>
                <w:rStyle w:val="19"/>
                <w:rFonts w:hint="eastAsia" w:ascii="宋体" w:hAnsi="宋体" w:eastAsia="宋体" w:cs="宋体"/>
                <w:b/>
                <w:bCs/>
                <w:color w:val="auto"/>
                <w:kern w:val="2"/>
                <w:sz w:val="21"/>
                <w:szCs w:val="21"/>
                <w:lang w:val="en-US" w:eastAsia="zh-CN"/>
              </w:rPr>
            </w:pPr>
            <w:r>
              <w:rPr>
                <w:rFonts w:hint="eastAsia" w:ascii="宋体" w:hAnsi="宋体" w:eastAsia="宋体" w:cs="宋体"/>
                <w:color w:val="auto"/>
                <w:kern w:val="0"/>
                <w:sz w:val="24"/>
                <w:szCs w:val="24"/>
                <w:highlight w:val="none"/>
                <w:shd w:val="clear" w:color="auto" w:fill="FFFFFF"/>
                <w:lang w:val="en-US" w:eastAsia="zh-CN" w:bidi="ar-SA"/>
              </w:rPr>
              <w:t>2.核心探测功能</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3A4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1FE3B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2A8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F870E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EEC9B">
            <w:pPr>
              <w:adjustRightInd w:val="0"/>
              <w:snapToGrid w:val="0"/>
              <w:jc w:val="center"/>
              <w:rPr>
                <w:rFonts w:hint="default" w:ascii="宋体" w:hAnsi="宋体" w:eastAsiaTheme="minorEastAsia"/>
                <w:b w:val="0"/>
                <w:bCs w:val="0"/>
                <w:kern w:val="0"/>
                <w:lang w:val="en-US" w:eastAsia="zh-CN"/>
              </w:rPr>
            </w:pPr>
            <w:r>
              <w:rPr>
                <w:rFonts w:hint="eastAsia" w:ascii="宋体" w:hAnsi="宋体"/>
                <w:b w:val="0"/>
                <w:bCs w:val="0"/>
                <w:kern w:val="0"/>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ED96C6">
            <w:pPr>
              <w:adjustRightInd w:val="0"/>
              <w:snapToGrid w:val="0"/>
              <w:ind w:firstLine="210" w:firstLineChars="10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探测模式：具备电子产品探测模式、全金属探测模式、违禁品探测模式、电子产品探测模式违禁品探测模式，能在不同模式之间切换。</w:t>
            </w:r>
          </w:p>
          <w:p w14:paraId="57A65667">
            <w:pPr>
              <w:adjustRightInd w:val="0"/>
              <w:snapToGrid w:val="0"/>
              <w:ind w:firstLine="210" w:firstLineChars="10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电子产品探测模式：可有效地排除硬币、金属文具、眼镜、手表、项链、皮带扣、磁铁、钥匙、香烟、打火机等日常随身携带物品的干扰并准确分辨出是否携带任何状态下手机(开机关机、拔除SIM卡等多种状态均可)，以及笔记本电脑、Ipad、数码相机、摄像机等涉密电子产品并能进行声光报警准确显示报警位置，并且以图文的形式分类显示出来。</w:t>
            </w:r>
          </w:p>
          <w:p w14:paraId="5602E175">
            <w:pPr>
              <w:adjustRightInd w:val="0"/>
              <w:snapToGrid w:val="0"/>
              <w:ind w:firstLine="210" w:firstLineChars="10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全金属探测模式：当携带超过限量的金属通过安检门时，系统将声光报警，有效进行违规物品核验。</w:t>
            </w:r>
          </w:p>
          <w:p w14:paraId="6D2B3603">
            <w:pPr>
              <w:adjustRightInd w:val="0"/>
              <w:snapToGrid w:val="0"/>
              <w:ind w:firstLine="210" w:firstLineChars="10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违禁品探测模式：可有效地排除硬币、眼镜、手表、皮带扣、磁铁、钥匙、香烟、打火机、不锈钢水杯、雨伞等日常随身携带物品的干扰并准确分辨出是否携带违禁品（指砍刀、斧头、枪支、铝制易拉罐体、马口铁罐体、铝管、金属背心炸弹、金属腰带炸弹等违禁品），并且以图文的形式分类显示出来。</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13BA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3BD2B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83F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A28F2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1C454">
            <w:pPr>
              <w:adjustRightInd w:val="0"/>
              <w:snapToGrid w:val="0"/>
              <w:jc w:val="center"/>
              <w:rPr>
                <w:rFonts w:hint="default" w:ascii="宋体" w:hAnsi="宋体" w:eastAsiaTheme="minorEastAsia"/>
                <w:b w:val="0"/>
                <w:bCs w:val="0"/>
                <w:kern w:val="0"/>
                <w:lang w:val="en-US" w:eastAsia="zh-CN"/>
              </w:rPr>
            </w:pPr>
            <w:r>
              <w:rPr>
                <w:rFonts w:hint="eastAsia" w:ascii="宋体" w:hAnsi="宋体"/>
                <w:b w:val="0"/>
                <w:bCs w:val="0"/>
                <w:kern w:val="0"/>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7B7748">
            <w:pPr>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探测准确性</w:t>
            </w:r>
          </w:p>
          <w:p w14:paraId="12961DA4">
            <w:pPr>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误报率低，不受日常携带物品（手机、硬币、钥匙、眼镜等）的干扰；漏报率极低，确保安全无疏漏（检出率应≥95%）。</w:t>
            </w:r>
          </w:p>
          <w:p w14:paraId="00F57EE8">
            <w:pPr>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具备抗电磁干扰能力，多台设备（如X光安检机）并排靠拢工作时不受干扰，对探测性能无明显的影响，可在复杂的电磁环境中使用。</w:t>
            </w:r>
          </w:p>
          <w:p w14:paraId="28C3D322">
            <w:pPr>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探测范围：通道内全方位无死角。</w:t>
            </w:r>
          </w:p>
          <w:p w14:paraId="3D9B29AA">
            <w:pPr>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支持探测灵敏度调节，整体灵敏度及每个探测防区灵敏度支持0-255级调整。</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6485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74E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7430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35858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07"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048C8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rPr>
                <w:rFonts w:hint="eastAsia" w:ascii="宋体" w:hAnsi="宋体" w:cs="微软雅黑"/>
                <w:color w:val="1A1A1A"/>
                <w:shd w:val="clear" w:color="auto" w:fill="FFFFFF"/>
              </w:rPr>
            </w:pPr>
            <w:r>
              <w:rPr>
                <w:rFonts w:hint="eastAsia" w:ascii="宋体" w:hAnsi="宋体" w:eastAsia="宋体" w:cs="宋体"/>
                <w:color w:val="auto"/>
                <w:kern w:val="0"/>
                <w:sz w:val="24"/>
                <w:szCs w:val="24"/>
                <w:highlight w:val="none"/>
                <w:shd w:val="clear" w:color="auto" w:fill="FFFFFF"/>
                <w:lang w:val="en-US" w:eastAsia="zh-CN" w:bidi="ar-SA"/>
              </w:rPr>
              <w:t>3.智能与联网功能</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DE03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5573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8E7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F6D6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38D3EE">
            <w:pPr>
              <w:adjustRightInd w:val="0"/>
              <w:snapToGrid w:val="0"/>
              <w:jc w:val="center"/>
              <w:rPr>
                <w:rFonts w:hint="default" w:ascii="宋体" w:hAnsi="宋体" w:eastAsiaTheme="minorEastAsia"/>
                <w:b w:val="0"/>
                <w:bCs w:val="0"/>
                <w:kern w:val="0"/>
                <w:lang w:val="en-US" w:eastAsia="zh-CN"/>
              </w:rPr>
            </w:pPr>
            <w:r>
              <w:rPr>
                <w:rFonts w:hint="eastAsia" w:ascii="宋体" w:hAnsi="宋体"/>
                <w:b w:val="0"/>
                <w:bCs w:val="0"/>
                <w:kern w:val="0"/>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7D90A">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配备不小于9寸的智能显示屏，操作简单，显示内容丰富，屏幕人偶图动态显示报警部位、报警类别、同时支持报警部位指引、报警时间、通行指示、通过人数、报警人数、系统时间（年、月、日显示）等功能。</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E23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BBA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527F3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C4F29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0D819">
            <w:pPr>
              <w:adjustRightInd w:val="0"/>
              <w:snapToGrid w:val="0"/>
              <w:jc w:val="center"/>
              <w:rPr>
                <w:rFonts w:hint="default" w:ascii="宋体" w:hAnsi="宋体" w:eastAsiaTheme="minorEastAsia"/>
                <w:b w:val="0"/>
                <w:bCs w:val="0"/>
                <w:kern w:val="0"/>
                <w:lang w:val="en-US" w:eastAsia="zh-CN"/>
              </w:rPr>
            </w:pPr>
            <w:r>
              <w:rPr>
                <w:rFonts w:hint="eastAsia" w:ascii="宋体" w:hAnsi="宋体"/>
                <w:b w:val="0"/>
                <w:bCs w:val="0"/>
                <w:kern w:val="0"/>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CFD68F">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支持≥25个身体的探测区位，可疑物体能在身体每个部位准确显示，支持360度高亮度红色LED闪烁报警。</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CB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B86B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4F432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5CC95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5583F">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E86C5">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支持LED绿灯通行指示功能，无人通行时LED绿灯常亮，有人通行时，LED绿灯熄灭，当安检门报警时，有禁止通行等文字提醒，以及红色LED闪烁提醒。</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5664A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4A8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D2B46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CFB7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9E65E">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9C8DE4">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门柱四侧带有高亮LED灯，安检门报警时，能直观的通过定位灯显示违禁物品所在区域，同时屏幕伴随人偶图显示以及报警位置指引。</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B2F1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19BD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BC89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0D960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6FC45">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（5）</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E713C2">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双侧对射红外可以准确检测到通过人数和报警人数，支持双向计数。能存储通过人数、报警次数、报警信息等数据，并能查询历史记录，存储数据≥100000条。</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55F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07F7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78E6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46889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613E49">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（6）</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69E27B">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可支持联动控制、多信道通信、多场景设置及后期扩展、报警声音及音量设置、屏幕亮度设置、互联网管理、密码保护、一键恢复出厂、固件升级等功能。</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1530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F96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CB12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52BBB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B0F77F">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（7）</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4E9D44">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支持节能模式，输入休眠时间，设备无人通过时，自动休眠，有人员通过时自动唤醒，节能环保。</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4A3A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EF3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65D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50267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07"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15681B">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rPr>
                <w:rFonts w:hint="eastAsia" w:ascii="宋体" w:hAnsi="宋体" w:cs="微软雅黑"/>
                <w:color w:val="1A1A1A"/>
                <w:shd w:val="clear" w:color="auto" w:fill="FFFFFF"/>
              </w:rPr>
            </w:pPr>
            <w:r>
              <w:rPr>
                <w:rFonts w:hint="eastAsia" w:ascii="宋体" w:hAnsi="宋体" w:eastAsia="宋体" w:cs="宋体"/>
                <w:color w:val="auto"/>
                <w:kern w:val="0"/>
                <w:sz w:val="24"/>
                <w:szCs w:val="24"/>
                <w:highlight w:val="none"/>
                <w:shd w:val="clear" w:color="auto" w:fill="FFFFFF"/>
                <w:lang w:val="en-US" w:eastAsia="zh-CN" w:bidi="ar-SA"/>
              </w:rPr>
              <w:t>4.用户体验与安全</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1BA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563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879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2A557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5D435A">
            <w:pPr>
              <w:adjustRightInd w:val="0"/>
              <w:snapToGrid w:val="0"/>
              <w:jc w:val="center"/>
              <w:rPr>
                <w:rFonts w:hint="eastAsia" w:ascii="宋体" w:hAnsi="宋体" w:eastAsiaTheme="minorEastAsia" w:cstheme="minorBidi"/>
                <w:b w:val="0"/>
                <w:bCs w:val="0"/>
                <w:kern w:val="0"/>
                <w:sz w:val="21"/>
                <w:szCs w:val="22"/>
                <w:lang w:val="en-US" w:eastAsia="zh-CN" w:bidi="ar-SA"/>
              </w:rPr>
            </w:pPr>
            <w:r>
              <w:rPr>
                <w:rFonts w:hint="eastAsia" w:ascii="宋体" w:hAnsi="宋体"/>
                <w:b w:val="0"/>
                <w:bCs w:val="0"/>
                <w:kern w:val="0"/>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A6085">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通行速度应满足医院高峰期人流需求，检测速度为1-2秒，通行速度不低于30人/分钟。</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197A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7DF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DD5A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FD7A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1527BB">
            <w:pPr>
              <w:adjustRightInd w:val="0"/>
              <w:snapToGrid w:val="0"/>
              <w:jc w:val="center"/>
              <w:rPr>
                <w:rFonts w:hint="eastAsia" w:ascii="宋体" w:hAnsi="宋体" w:eastAsiaTheme="minorEastAsia" w:cstheme="minorBidi"/>
                <w:b w:val="0"/>
                <w:bCs w:val="0"/>
                <w:kern w:val="0"/>
                <w:sz w:val="21"/>
                <w:szCs w:val="22"/>
                <w:lang w:val="en-US" w:eastAsia="zh-CN" w:bidi="ar-SA"/>
              </w:rPr>
            </w:pPr>
            <w:r>
              <w:rPr>
                <w:rFonts w:hint="eastAsia" w:ascii="宋体" w:hAnsi="宋体"/>
                <w:b w:val="0"/>
                <w:bCs w:val="0"/>
                <w:kern w:val="0"/>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58C98">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符合国际安全标准，对孕妇、心脏起搏器佩戴者、体内有金属植入物患者等特殊人群无害，同时对软盘、胶卷、录像带等产品无影响。</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845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DFCB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83A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39792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EBCA9">
            <w:pPr>
              <w:adjustRightInd w:val="0"/>
              <w:snapToGrid w:val="0"/>
              <w:jc w:val="center"/>
              <w:rPr>
                <w:rFonts w:hint="eastAsia" w:ascii="宋体" w:hAnsi="宋体" w:eastAsiaTheme="minorEastAsia" w:cstheme="minorBidi"/>
                <w:b w:val="0"/>
                <w:bCs w:val="0"/>
                <w:kern w:val="0"/>
                <w:sz w:val="21"/>
                <w:szCs w:val="22"/>
                <w:lang w:val="en-US" w:eastAsia="zh-CN" w:bidi="ar-SA"/>
              </w:rPr>
            </w:pPr>
            <w:r>
              <w:rPr>
                <w:rFonts w:hint="eastAsia" w:ascii="宋体" w:hAnsi="宋体"/>
                <w:b w:val="0"/>
                <w:bCs w:val="0"/>
                <w:kern w:val="0"/>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8A1E64">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在保证安全的前提下，尽可能减少对正常通行人员的影响。</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B826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20F9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53D2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FA6B2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07"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0CE19">
            <w:pPr>
              <w:keepNext w:val="0"/>
              <w:keepLines w:val="0"/>
              <w:pageBreakBefore w:val="0"/>
              <w:widowControl w:val="0"/>
              <w:numPr>
                <w:ilvl w:val="0"/>
                <w:numId w:val="4"/>
              </w:numPr>
              <w:shd w:val="clear"/>
              <w:kinsoku/>
              <w:wordWrap/>
              <w:overflowPunct/>
              <w:topLinePunct w:val="0"/>
              <w:autoSpaceDE/>
              <w:autoSpaceDN/>
              <w:bidi w:val="0"/>
              <w:adjustRightInd/>
              <w:snapToGrid/>
              <w:spacing w:line="300" w:lineRule="auto"/>
              <w:ind w:left="0" w:leftChars="0" w:firstLine="0" w:firstLineChars="0"/>
              <w:jc w:val="both"/>
              <w:textAlignment w:val="auto"/>
              <w:rPr>
                <w:rFonts w:hint="eastAsia" w:ascii="宋体" w:hAnsi="宋体" w:cs="微软雅黑"/>
                <w:color w:val="1A1A1A"/>
                <w:shd w:val="clear" w:color="auto" w:fill="FFFFFF"/>
              </w:rPr>
            </w:pPr>
            <w:r>
              <w:rPr>
                <w:rStyle w:val="19"/>
                <w:rFonts w:hint="eastAsia" w:ascii="宋体" w:hAnsi="宋体" w:eastAsia="宋体" w:cs="宋体"/>
                <w:b/>
                <w:bCs/>
                <w:color w:val="auto"/>
                <w:kern w:val="2"/>
                <w:sz w:val="21"/>
                <w:szCs w:val="21"/>
                <w:lang w:val="en-US" w:eastAsia="zh-CN"/>
              </w:rPr>
              <w:t>双视角多能量X光安检设备</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FD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464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D384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82D32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600536">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8F0A59">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设备采用先进的X射线图像检测系统，综合高效半导体探测器、数字图像处理技术和计算机图像显示技术，为用户提供了一个高效可靠和具有服务功能的高质量图像处理系统。此设备硬盘容量能存储多幅高清图像，具有可靠的违禁品智能识别报警功能、人包关联、图像增强、网络扩展互联、自动检测维护功能等，同时还采用简单人性化的操作设计，使用户操作更加方便快捷。</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090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AF7E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5A1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6A18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07"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4A870">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2.功能要求:</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74D3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A9C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99EF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2FC56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D78F2">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BBC29">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通过X射线对经过传送带的包裹物品进行图像渲染显示，查看包裹物品的形状和物质组成。</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382B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6F7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F6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9E124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31983">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ACE185">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支持多种包裹图片的增强效果显示，如高能穿透加强、超级增强、加亮、图像扫描等操作。</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693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164E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CBE0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BFC8C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6316">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995F4F">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支持安检模式、安检界面上叠加监控，及监控模式。</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89A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61E88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94A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C7BC8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FAFD60">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C6327">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对设备扫描的画面进行分析，智能识别刀具、液体（塑料瓶、玻璃瓶）、压力罐、枪支、打火机等违禁品。支持多种物品识别，如枪、烟花爆竹、压力罐、刀、斧头、剪刀、打火机油、指甲油、液体、玻璃瓶、保温杯、塑料瓶、打火机、指虎、警棍、手铐、工具、粉末、电子产品、手机、充电宝、笔记本、伞等违禁物品。</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4A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D57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AF73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04287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19B7F8">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（5）</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DBF5A5">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对违禁品设置危险等级并联动报警，可联动语音提示、声光报警、传送带停止等。</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983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FA31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D07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2A28B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7E54D4">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（6）</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BECA70">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支持实时画面叠加智能识别结果，智能框跟踪物品实时移动。</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025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E5B6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75D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D3987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B2A286">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（7）</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3B6FE4">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支持存储所有检测结果并统计成报表，可通过不同类别及时间段查询并导出报表。</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D099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B3CF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024C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8FF2A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F9114B">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（8）</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2DB6AD">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内置2个摄像机监控入口传送带和出口传送带，监控人员放包、取包全过程。</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B3DD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7746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7DB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FF763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C6204">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（9）</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77359">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通道尺寸≥600mm（宽）×≥500mm（高）</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657A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2CE1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C3077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1EC08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E3D785">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（10）</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7B428">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安全防护X射线防护高于国标要求，泄露剂量低于0.5μGy/h，符合国际国内健康安全标准；</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6ED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7EA9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4FA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B596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C1683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响应报价要求</w:t>
            </w:r>
          </w:p>
        </w:tc>
      </w:tr>
      <w:tr w14:paraId="3E915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4230">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1B1B8F">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响应供应商的最终响应报价为采购人的交货单价。交货单价即是合同期间的最终单价，在合同期内，价格不再随着市场同类商品市场价格的调整而进行调整。</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A3ED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D94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411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4BE2F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D12BD">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E02F">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本次响应报价应为人民币含税全包价，包括货物价格、包装费、运杂费、保险费、卸车费、配合费、检测费、配送费、税金及本项目执行过程中需要的其他费用等。</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BD6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D442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E4F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1C1B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F69387">
            <w:pPr>
              <w:adjustRightInd w:val="0"/>
              <w:snapToGrid w:val="0"/>
              <w:jc w:val="center"/>
              <w:rPr>
                <w:rFonts w:hint="default" w:ascii="宋体" w:hAnsi="宋体"/>
                <w:b w:val="0"/>
                <w:bCs w:val="0"/>
                <w:kern w:val="0"/>
                <w:lang w:val="en-US" w:eastAsia="zh-CN"/>
              </w:rPr>
            </w:pPr>
            <w:r>
              <w:rPr>
                <w:rFonts w:hint="eastAsia" w:ascii="宋体" w:hAnsi="宋体"/>
                <w:b w:val="0"/>
                <w:bCs w:val="0"/>
                <w:kern w:val="0"/>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3F899D">
            <w:pPr>
              <w:widowControl/>
              <w:adjustRightInd w:val="0"/>
              <w:snapToGrid w:val="0"/>
              <w:jc w:val="left"/>
              <w:rPr>
                <w:rFonts w:hint="eastAsia" w:ascii="宋体" w:hAnsi="宋体" w:cs="微软雅黑"/>
                <w:color w:val="1A1A1A"/>
                <w:shd w:val="clear" w:color="auto" w:fill="FFFFFF"/>
              </w:rPr>
            </w:pPr>
            <w:r>
              <w:rPr>
                <w:rFonts w:hint="eastAsia" w:ascii="宋体" w:hAnsi="宋体" w:cs="微软雅黑"/>
                <w:color w:val="1A1A1A"/>
                <w:shd w:val="clear" w:color="auto" w:fill="FFFFFF"/>
              </w:rPr>
              <w:t>响应供应商对以上采购清单的货物进行报价，注明产品品牌，报价不得高于单价的最高限价，且总报价不得高于本项目采购预算价，缺项、漏项的报价为无效报价。</w:t>
            </w:r>
          </w:p>
        </w:tc>
        <w:tc>
          <w:tcPr>
            <w:tcW w:w="12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71B1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595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7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BE1E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E350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1"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207D9">
            <w:pPr>
              <w:pStyle w:val="2"/>
              <w:spacing w:before="0" w:after="0" w:line="360" w:lineRule="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交货期</w:t>
            </w:r>
          </w:p>
        </w:tc>
      </w:tr>
      <w:tr w14:paraId="6F23BA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1"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631DFE">
            <w:pPr>
              <w:pStyle w:val="18"/>
              <w:numPr>
                <w:ilvl w:val="0"/>
                <w:numId w:val="0"/>
              </w:numPr>
              <w:spacing w:line="360" w:lineRule="auto"/>
              <w:ind w:left="0" w:leftChars="0" w:firstLine="0" w:firstLineChars="0"/>
              <w:contextualSpacing w:val="0"/>
              <w:jc w:val="center"/>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C4AEAC">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交货期为从合同签订之日算起15天内，如遇下列情况，交货期可相应顺延，并双方以书面形式确定顺延期限：</w:t>
            </w:r>
          </w:p>
          <w:p w14:paraId="6E13B4E0">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1.采购人在方案上提出重大修改建议的，或因其他原因确实需要顺延的；</w:t>
            </w:r>
          </w:p>
          <w:p w14:paraId="45DFF63E">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2.成交供应商在安装过程中，因停水、停电8小时以上的，且对项目造成实质影响的；</w:t>
            </w:r>
          </w:p>
          <w:p w14:paraId="687B7D77">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3．因遇人力不可抗拒的自然灾害（如台风、水灾，自然原因发生的火灾、地震等）而影响交货进度的。</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CEDB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8A04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D815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6EC7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10"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125D1">
            <w:pPr>
              <w:pStyle w:val="5"/>
              <w:spacing w:line="360" w:lineRule="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技术要求</w:t>
            </w:r>
          </w:p>
        </w:tc>
      </w:tr>
      <w:tr w14:paraId="0423F2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1"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5AA39">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4DFC1B">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成交供应商应提供已注册品牌制造商原装、全新、符合国家及采购人提出的有关质量标准的产品。</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028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DE5F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588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7FA22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3617F">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FF77A">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所有货物在开箱检验时必须完好，无破损，配置与装箱单相符。</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F2A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C4B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3833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1798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47E93">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7633C">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成交供应商所提供产品的性能、配置参数等不能低于采购文件所提出的要求。</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68F8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B97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B1C3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1BE3B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B070E">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43801">
            <w:pPr>
              <w:spacing w:line="360" w:lineRule="auto"/>
              <w:rPr>
                <w:rFonts w:hint="eastAsia" w:ascii="宋体" w:hAnsi="宋体" w:cs="宋体"/>
              </w:rPr>
            </w:pPr>
            <w:r>
              <w:rPr>
                <w:rFonts w:hint="eastAsia" w:ascii="宋体" w:hAnsi="宋体" w:cs="宋体"/>
              </w:rPr>
              <w:t>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00461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45293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2553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41214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4AF09B">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5</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D3C0A">
            <w:pPr>
              <w:spacing w:line="360" w:lineRule="auto"/>
              <w:rPr>
                <w:rFonts w:hint="eastAsia" w:ascii="宋体" w:hAnsi="宋体" w:cs="宋体"/>
              </w:rPr>
            </w:pPr>
            <w:r>
              <w:rPr>
                <w:rFonts w:hint="eastAsia" w:ascii="宋体" w:hAnsi="宋体" w:cs="宋体"/>
              </w:rPr>
              <w:t>成交供应商不得经营未经注册、无合格证明、过期、失效或者淘汰的产品，如因产品质量原因造成的一切损失由成交供应商负全部责任。</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4D97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992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EA3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A4AFD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0B771">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Fonts w:hint="eastAsia" w:ascii="宋体" w:hAnsi="宋体" w:cs="宋体"/>
              </w:rPr>
              <w:t>★</w:t>
            </w:r>
            <w:r>
              <w:rPr>
                <w:rStyle w:val="19"/>
                <w:rFonts w:hint="eastAsia" w:ascii="宋体" w:hAnsi="宋体" w:eastAsia="宋体" w:cs="宋体"/>
                <w:b w:val="0"/>
                <w:bCs w:val="0"/>
                <w:color w:val="auto"/>
                <w:kern w:val="2"/>
                <w:sz w:val="21"/>
                <w:szCs w:val="21"/>
                <w:lang w:val="en-US" w:eastAsia="zh-CN"/>
              </w:rPr>
              <w:t>6</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E8330">
            <w:pPr>
              <w:spacing w:line="360" w:lineRule="auto"/>
              <w:rPr>
                <w:rFonts w:hint="eastAsia" w:ascii="宋体" w:hAnsi="宋体" w:cs="宋体"/>
              </w:rPr>
            </w:pPr>
            <w:r>
              <w:rPr>
                <w:rFonts w:hint="eastAsia" w:ascii="宋体" w:hAnsi="宋体" w:cs="宋体"/>
              </w:rPr>
              <w:t>所有产品必须符合通用技术规范等安全标准。说明：</w:t>
            </w:r>
          </w:p>
          <w:p w14:paraId="1552C494">
            <w:pPr>
              <w:spacing w:line="360" w:lineRule="auto"/>
              <w:rPr>
                <w:rFonts w:hint="eastAsia" w:ascii="宋体" w:hAnsi="宋体" w:cs="宋体"/>
              </w:rPr>
            </w:pPr>
            <w:r>
              <w:rPr>
                <w:rFonts w:hint="eastAsia" w:ascii="宋体" w:hAnsi="宋体" w:cs="宋体"/>
              </w:rPr>
              <w:t>（1）产品需提供满足技术指标的公安部检验报告复印件，并加盖设备厂家公章。</w:t>
            </w:r>
          </w:p>
          <w:p w14:paraId="5EFA120A">
            <w:pPr>
              <w:spacing w:line="360" w:lineRule="auto"/>
              <w:rPr>
                <w:rFonts w:hint="eastAsia" w:ascii="宋体" w:hAnsi="宋体" w:cs="宋体"/>
              </w:rPr>
            </w:pPr>
            <w:r>
              <w:rPr>
                <w:rFonts w:hint="eastAsia" w:ascii="宋体" w:hAnsi="宋体" w:cs="宋体"/>
              </w:rPr>
              <w:t>（2）产品需提供设备厂家售后服务承诺函原件，并加盖设备厂家公章。</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500B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284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A2D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4323E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1615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包装、装卸、运输及保险</w:t>
            </w:r>
          </w:p>
        </w:tc>
      </w:tr>
      <w:tr w14:paraId="11DDCF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FF981E">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CE069B">
            <w:pPr>
              <w:spacing w:line="360" w:lineRule="auto"/>
              <w:rPr>
                <w:rFonts w:hint="eastAsia" w:ascii="宋体" w:hAnsi="宋体" w:cs="宋体"/>
              </w:rPr>
            </w:pPr>
            <w:r>
              <w:rPr>
                <w:rFonts w:hint="eastAsia" w:ascii="宋体" w:hAnsi="宋体" w:cs="宋体"/>
              </w:rPr>
              <w:t>成交供应商所供货物包装质量必须符合国家相关标准，货物的包装均应有良好的防锈、防腐的措施，货物要求有包装保护运至现场。凡由于包装不良造成的损失和由此产生的费用均由成交供应商承担。</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5910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0C25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698C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68572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AEFDA">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002884">
            <w:pPr>
              <w:spacing w:line="360" w:lineRule="auto"/>
              <w:rPr>
                <w:rFonts w:hint="eastAsia" w:ascii="宋体" w:hAnsi="宋体" w:cs="宋体"/>
              </w:rPr>
            </w:pPr>
            <w:r>
              <w:rPr>
                <w:rFonts w:hint="eastAsia" w:ascii="宋体" w:hAnsi="宋体" w:cs="宋体"/>
              </w:rPr>
              <w:t>成交供应商负责根据用户指定的地点，将货物送到现场过程中的全部运输，包括装卸车、货物现场的搬运，由此产生的费用均由成交供应商承担。</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91D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777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519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A45EB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31940">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9F7CF">
            <w:pPr>
              <w:spacing w:line="360" w:lineRule="auto"/>
              <w:rPr>
                <w:rFonts w:hint="eastAsia" w:ascii="宋体" w:hAnsi="宋体" w:cs="宋体"/>
              </w:rPr>
            </w:pPr>
            <w:r>
              <w:rPr>
                <w:rFonts w:hint="eastAsia" w:ascii="宋体" w:hAnsi="宋体" w:cs="宋体"/>
              </w:rPr>
              <w:t>如货物运输过程中因事故造成货物短缺、损坏，成交供应商应及时安排换货，以保证合同货物及时交付，换货的相关费用由成交供应商承担。</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E7D2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7A1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E4CA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5706B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041DE">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06234">
            <w:pPr>
              <w:spacing w:line="360" w:lineRule="auto"/>
              <w:rPr>
                <w:rFonts w:hint="eastAsia" w:ascii="宋体" w:hAnsi="宋体" w:cs="宋体"/>
              </w:rPr>
            </w:pPr>
            <w:r>
              <w:rPr>
                <w:rFonts w:hint="eastAsia" w:ascii="宋体" w:hAnsi="宋体" w:cs="宋体"/>
              </w:rPr>
              <w:t>货物的质量保险由成交供应商负责，成交供应商负责其派出的现场服务人员人身意外保险。</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4F5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2B0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35E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D29B2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440E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安装要求</w:t>
            </w:r>
          </w:p>
        </w:tc>
      </w:tr>
      <w:tr w14:paraId="536209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1E1EC">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BEC3C">
            <w:pPr>
              <w:spacing w:line="360" w:lineRule="auto"/>
              <w:rPr>
                <w:rFonts w:hint="eastAsia" w:ascii="宋体" w:hAnsi="宋体" w:cs="宋体"/>
              </w:rPr>
            </w:pPr>
            <w:r>
              <w:rPr>
                <w:rFonts w:hint="eastAsia" w:ascii="宋体" w:hAnsi="宋体" w:cs="宋体"/>
              </w:rPr>
              <w:t>成交供应商应按照采购人的指定位置进行安装并完成调试，确保运行正常。</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D69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E23E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999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6C585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9AE4A1">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0AA411">
            <w:pPr>
              <w:spacing w:line="360" w:lineRule="auto"/>
              <w:rPr>
                <w:rFonts w:hint="eastAsia" w:ascii="宋体" w:hAnsi="宋体" w:cs="宋体"/>
              </w:rPr>
            </w:pPr>
            <w:r>
              <w:rPr>
                <w:rFonts w:hint="eastAsia" w:ascii="宋体" w:hAnsi="宋体" w:cs="宋体"/>
              </w:rPr>
              <w:t>成交供应商应按安全安装的要求，遵守一切采购人的规章制度，采取严格科学的安全措施，确保人员及第三者的安全，承担由于自身安全措施不力造成事故责任和发生的费用。</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368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2699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3C70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5FF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E8DCD0">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5852D8">
            <w:pPr>
              <w:spacing w:line="360" w:lineRule="auto"/>
              <w:rPr>
                <w:rFonts w:hint="eastAsia" w:ascii="宋体" w:hAnsi="宋体" w:cs="宋体"/>
              </w:rPr>
            </w:pPr>
            <w:r>
              <w:rPr>
                <w:rFonts w:hint="eastAsia" w:ascii="宋体" w:hAnsi="宋体" w:cs="宋体"/>
              </w:rPr>
              <w:t>成交供应商安装时需对各安装现场内的装修、设备设施有良好保护措施，如安装中因施工不当造成场地及现场的设备设施损坏，由采购人在合同货款中扣除相应的维修费用。</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B77B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BAB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762A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D812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7A494">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D572E">
            <w:pPr>
              <w:spacing w:line="360" w:lineRule="auto"/>
              <w:rPr>
                <w:rFonts w:hint="eastAsia" w:ascii="宋体" w:hAnsi="宋体" w:cs="宋体"/>
              </w:rPr>
            </w:pPr>
            <w:r>
              <w:rPr>
                <w:rFonts w:hint="eastAsia" w:ascii="宋体" w:hAnsi="宋体" w:cs="宋体"/>
              </w:rPr>
              <w:t>成交供应商应负责所有安装完成后的剩余物料、外包装（含纸箱、木架等）及垃圾全部清理运走，不能影响采购人的正常营业，垃圾不得堆放在采购人院内，未按要求清理的，由采购人在合同货款中扣除相应的垃圾清运及清洁费用。</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BA1C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C3A4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8BC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62A3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F3B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验收方式</w:t>
            </w:r>
          </w:p>
        </w:tc>
      </w:tr>
      <w:tr w14:paraId="2BB010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76BD45">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6684">
            <w:pPr>
              <w:spacing w:line="360" w:lineRule="auto"/>
              <w:rPr>
                <w:rFonts w:hint="eastAsia" w:ascii="宋体" w:hAnsi="宋体" w:cs="宋体"/>
              </w:rPr>
            </w:pPr>
            <w:r>
              <w:rPr>
                <w:rFonts w:hint="eastAsia" w:ascii="宋体" w:hAnsi="宋体" w:cs="宋体"/>
              </w:rPr>
              <w:t>成交供应商将货物送货至采购人指定地点后，由采购人按照采购合同、采购文件要求和响应文件承诺进行核对，根据国家相关法律法规，对货物的规格参数和质量标准进行检查验收。</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0DE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209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37D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BC34D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525D3">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C1570">
            <w:pPr>
              <w:spacing w:line="360" w:lineRule="auto"/>
              <w:rPr>
                <w:rFonts w:hint="eastAsia" w:ascii="宋体" w:hAnsi="宋体" w:cs="宋体"/>
              </w:rPr>
            </w:pPr>
            <w:r>
              <w:rPr>
                <w:rFonts w:hint="eastAsia" w:ascii="宋体" w:hAnsi="宋体" w:cs="宋体"/>
              </w:rPr>
              <w:t>货物在验收过程中发现所交付的货物有短缺、次品、损坏或其他不符合磋商文件、合同规定之情形者，采购人有权拒付该批物品的费用，并由成交供应商承担由此发生的一切费用和损失。</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04C6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2AD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71D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16EE4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D0C394">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86726">
            <w:pPr>
              <w:spacing w:line="360" w:lineRule="auto"/>
              <w:rPr>
                <w:rFonts w:hint="eastAsia" w:ascii="宋体" w:hAnsi="宋体" w:cs="宋体"/>
              </w:rPr>
            </w:pPr>
            <w:r>
              <w:rPr>
                <w:rFonts w:hint="eastAsia" w:ascii="宋体" w:hAnsi="宋体" w:cs="宋体"/>
              </w:rPr>
              <w:t>所有货物在使用过程中发现以次充好或使用假冒伪劣产品的，成交供应商须无条件更换货物并按假一赔三进行赔偿。此种情况超过2次或以上的，采购人有权单方终止合同，履约保证金不予以退还。</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52D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E88E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2D6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8D58B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F6ED2">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16E14E">
            <w:pPr>
              <w:spacing w:line="360" w:lineRule="auto"/>
              <w:rPr>
                <w:rFonts w:hint="eastAsia" w:ascii="宋体" w:hAnsi="宋体" w:cs="宋体"/>
              </w:rPr>
            </w:pPr>
            <w:r>
              <w:rPr>
                <w:rFonts w:hint="eastAsia" w:ascii="宋体" w:hAnsi="宋体" w:cs="宋体"/>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C85C7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1DA5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6A6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0EE9C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D08CB7">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5</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D6ECE">
            <w:pPr>
              <w:spacing w:line="360" w:lineRule="auto"/>
              <w:rPr>
                <w:rFonts w:hint="eastAsia" w:ascii="宋体" w:hAnsi="宋体" w:cs="宋体"/>
              </w:rPr>
            </w:pPr>
            <w:r>
              <w:rPr>
                <w:rFonts w:hint="eastAsia" w:ascii="宋体" w:hAnsi="宋体" w:cs="宋体"/>
              </w:rPr>
              <w:t>若成交供应商提供的产品发生知识产权纠纷的，由成交供应商执行处置与原知识产权所有者协商解决，采购人不承担与之相关的任何经济和法律责任。</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E82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056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CBE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55AF9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60853">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6</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17023">
            <w:pPr>
              <w:spacing w:line="360" w:lineRule="auto"/>
              <w:rPr>
                <w:rFonts w:hint="eastAsia" w:ascii="宋体" w:hAnsi="宋体" w:cs="宋体"/>
              </w:rPr>
            </w:pPr>
            <w:r>
              <w:rPr>
                <w:rFonts w:hint="eastAsia" w:ascii="宋体" w:hAnsi="宋体" w:cs="宋体"/>
              </w:rPr>
              <w:t>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2E2B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E5F04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5E65A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65821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311E2">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7</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3E4">
            <w:pPr>
              <w:spacing w:line="360" w:lineRule="auto"/>
              <w:rPr>
                <w:rFonts w:hint="eastAsia" w:ascii="宋体" w:hAnsi="宋体" w:cs="宋体"/>
              </w:rPr>
            </w:pPr>
            <w:r>
              <w:rPr>
                <w:rFonts w:hint="eastAsia" w:ascii="宋体" w:hAnsi="宋体" w:cs="宋体"/>
              </w:rPr>
              <w:t>成交供应商提前交付采购人购买的产品等，必须事前得到采购人书面同意，否则由此引起的储存保管费用及标的物毁损灭失风险由成交供应商自行承担。</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CDEB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80F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49B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0547B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66B4F4">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8</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5CC475">
            <w:pPr>
              <w:spacing w:line="360" w:lineRule="auto"/>
              <w:rPr>
                <w:rFonts w:hint="eastAsia" w:ascii="宋体" w:hAnsi="宋体" w:cs="宋体"/>
              </w:rPr>
            </w:pPr>
            <w:r>
              <w:rPr>
                <w:rFonts w:hint="eastAsia" w:ascii="宋体" w:hAnsi="宋体" w:cs="宋体"/>
              </w:rPr>
              <w:t>成交供应商按采购人采购计划中指定医院的地址送货，费用由成交供应商承担。</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10A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B250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E72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4946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0916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售后服务要求</w:t>
            </w:r>
          </w:p>
        </w:tc>
      </w:tr>
      <w:tr w14:paraId="388EC2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B0C1C">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42FEC0">
            <w:pPr>
              <w:spacing w:line="360" w:lineRule="auto"/>
              <w:rPr>
                <w:rFonts w:hint="eastAsia" w:ascii="宋体" w:hAnsi="宋体" w:cs="宋体"/>
              </w:rPr>
            </w:pPr>
            <w:r>
              <w:rPr>
                <w:rFonts w:hint="eastAsia" w:ascii="宋体" w:hAnsi="宋体" w:cs="宋体"/>
              </w:rPr>
              <w:t>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BCCA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324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5532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65B3A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F9F2E">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A229C">
            <w:pPr>
              <w:spacing w:line="360" w:lineRule="auto"/>
              <w:rPr>
                <w:rFonts w:hint="eastAsia" w:ascii="宋体" w:hAnsi="宋体" w:cs="宋体"/>
              </w:rPr>
            </w:pPr>
            <w:r>
              <w:rPr>
                <w:rFonts w:hint="eastAsia" w:ascii="宋体" w:hAnsi="宋体" w:cs="宋体"/>
              </w:rPr>
              <w:t>因成交供应商所供应的货物质量问题造成采购人设备故障或出现严重事故的，由成交供应商负责更换，所造成的一切损失及责任由成交供应商承担，同时采购人有权单方面终止合同且履约保证金不再退还。</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B417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DC9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74CD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5BFC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A9A25">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DF8C54">
            <w:pPr>
              <w:spacing w:line="360" w:lineRule="auto"/>
              <w:rPr>
                <w:rFonts w:hint="eastAsia" w:ascii="宋体" w:hAnsi="宋体" w:cs="宋体"/>
              </w:rPr>
            </w:pPr>
            <w:r>
              <w:rPr>
                <w:rFonts w:hint="eastAsia" w:ascii="宋体" w:hAnsi="宋体" w:cs="宋体"/>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3E64F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D0B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214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E4A85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3D2053">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595BB">
            <w:pPr>
              <w:spacing w:line="360" w:lineRule="auto"/>
              <w:rPr>
                <w:rFonts w:hint="eastAsia" w:ascii="宋体" w:hAnsi="宋体" w:cs="宋体"/>
              </w:rPr>
            </w:pPr>
            <w:r>
              <w:rPr>
                <w:rFonts w:hint="eastAsia" w:ascii="宋体" w:hAnsi="宋体" w:cs="宋体"/>
              </w:rPr>
              <w:t>质保期：当次所提供的货物质保期为验收合格之日起至少2年。质保期内，成交供应商须提供货物“包退、包换、包修”的质量“三包”服务。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920B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BAE1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CC8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0A99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0EE75">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5</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C40AFA">
            <w:pPr>
              <w:spacing w:line="360" w:lineRule="auto"/>
              <w:rPr>
                <w:rFonts w:hint="eastAsia" w:ascii="宋体" w:hAnsi="宋体" w:cs="宋体"/>
              </w:rPr>
            </w:pPr>
            <w:r>
              <w:rPr>
                <w:rFonts w:hint="eastAsia" w:ascii="宋体" w:hAnsi="宋体" w:cs="宋体"/>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F728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FF44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BDA6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EF5C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EA81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付款方式</w:t>
            </w:r>
          </w:p>
        </w:tc>
      </w:tr>
      <w:tr w14:paraId="3E75FA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80BE0">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432549">
            <w:pPr>
              <w:spacing w:line="360" w:lineRule="auto"/>
              <w:rPr>
                <w:rFonts w:hint="eastAsia" w:ascii="宋体" w:hAnsi="宋体" w:cs="宋体"/>
              </w:rPr>
            </w:pPr>
            <w:r>
              <w:rPr>
                <w:rFonts w:hint="eastAsia" w:ascii="宋体" w:hAnsi="宋体" w:cs="宋体"/>
              </w:rPr>
              <w:t>分两期支付。第一期：到货后经双方验收人员书面确认验收合格后，成交供应商开具全额有效增值税普通发票（含税），采购人付合同总额的95%；第二期：合同总金额的5%的款项在货物验收合格质保期满后完成支付。</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2EC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4F6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4DEC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2F33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31F5CB">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E663E">
            <w:pPr>
              <w:spacing w:line="360" w:lineRule="auto"/>
              <w:rPr>
                <w:rFonts w:hint="eastAsia" w:ascii="宋体" w:hAnsi="宋体" w:cs="宋体"/>
              </w:rPr>
            </w:pPr>
            <w:r>
              <w:rPr>
                <w:rFonts w:hint="eastAsia" w:ascii="宋体" w:hAnsi="宋体" w:cs="宋体"/>
              </w:rPr>
              <w:t>成交供应商须开具与响应文件中报价人名称、响应报价一致的有效全额增值税普通发票。</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AE9F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2C25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AB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C9E2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631"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910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违约责任</w:t>
            </w:r>
          </w:p>
        </w:tc>
      </w:tr>
      <w:tr w14:paraId="5BF30D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188DCF">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FA7643">
            <w:pPr>
              <w:spacing w:line="360" w:lineRule="auto"/>
              <w:rPr>
                <w:rFonts w:hint="eastAsia" w:ascii="宋体" w:hAnsi="宋体" w:cs="宋体"/>
              </w:rPr>
            </w:pPr>
            <w:r>
              <w:rPr>
                <w:rFonts w:hint="eastAsia" w:ascii="宋体" w:hAnsi="宋体" w:cs="宋体"/>
              </w:rPr>
              <w:t xml:space="preserve">采购人应在合同规定时间内，按合同执行进度向成交供应商支付货款，逾期支付的，采购人向成交供应商按合同订立时全国银行间同业拆借中心公布的一年期贷款市场报价利率支付违约金，违约金总额上限为未付总额的5%。 </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9E2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CF5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DE2A6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09461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C4A45">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4B352">
            <w:pPr>
              <w:spacing w:line="360" w:lineRule="auto"/>
              <w:rPr>
                <w:rFonts w:hint="eastAsia" w:ascii="宋体" w:hAnsi="宋体" w:cs="宋体"/>
              </w:rPr>
            </w:pPr>
            <w:r>
              <w:rPr>
                <w:rFonts w:hint="eastAsia" w:ascii="宋体" w:hAnsi="宋体" w:cs="宋体"/>
              </w:rPr>
              <w:t>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074A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678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CA6E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594AD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DE1A0B">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AD70C">
            <w:pPr>
              <w:spacing w:line="360" w:lineRule="auto"/>
              <w:rPr>
                <w:rFonts w:hint="eastAsia" w:ascii="宋体" w:hAnsi="宋体" w:cs="宋体"/>
              </w:rPr>
            </w:pPr>
            <w:r>
              <w:rPr>
                <w:rFonts w:hint="eastAsia" w:ascii="宋体" w:hAnsi="宋体" w:cs="宋体"/>
              </w:rPr>
              <w:t xml:space="preserve">成交供应商交付的货物不符合合同规定的，采购人有权拒收，成交供应商向采购人支付合同总价的20％的违约金。 </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5DE44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B16F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DEF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35071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3AA9D6">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7DA722">
            <w:pPr>
              <w:spacing w:line="360" w:lineRule="auto"/>
              <w:rPr>
                <w:rFonts w:hint="eastAsia" w:ascii="宋体" w:hAnsi="宋体" w:cs="宋体"/>
              </w:rPr>
            </w:pPr>
            <w:r>
              <w:rPr>
                <w:rFonts w:hint="eastAsia" w:ascii="宋体" w:hAnsi="宋体" w:cs="宋体"/>
              </w:rPr>
              <w:t xml:space="preserve">采购人无正当理由拒收货物的，采购人向成交供应商支付当次送货金额的 5‰的违约金。 </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7E83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BA73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8241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2A131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B2165D">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5</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B3764E">
            <w:pPr>
              <w:spacing w:line="360" w:lineRule="auto"/>
              <w:rPr>
                <w:rFonts w:hint="eastAsia" w:ascii="宋体" w:hAnsi="宋体" w:cs="宋体"/>
              </w:rPr>
            </w:pPr>
            <w:r>
              <w:rPr>
                <w:rFonts w:hint="eastAsia" w:ascii="宋体" w:hAnsi="宋体" w:cs="宋体"/>
              </w:rPr>
              <w:t>货物在保质期内如无法提供质保服务，成交供应商承担采购人就此造成的一切更换费和其它损失。</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CD3A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083D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B040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8D717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6D0F6">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6</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DD0D37">
            <w:pPr>
              <w:spacing w:line="360" w:lineRule="auto"/>
              <w:rPr>
                <w:rFonts w:hint="eastAsia" w:ascii="宋体" w:hAnsi="宋体" w:cs="宋体"/>
              </w:rPr>
            </w:pPr>
            <w:r>
              <w:rPr>
                <w:rFonts w:hint="eastAsia" w:ascii="宋体" w:hAnsi="宋体" w:cs="宋体"/>
              </w:rPr>
              <w:t>所有货物在使用过程中发现以次充好或使用假冒伪劣产品的，成交供应商须无条件更换货物并按假一赔三进行赔偿。此种情况超过2次或以上的，履约保证金不予以退还，采购人有权单方终止合同。</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AD0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F5A0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4889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606B8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EA78DF">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7</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7DD0A">
            <w:pPr>
              <w:spacing w:line="360" w:lineRule="auto"/>
              <w:rPr>
                <w:rFonts w:hint="eastAsia" w:ascii="宋体" w:hAnsi="宋体" w:cs="宋体"/>
              </w:rPr>
            </w:pPr>
            <w:r>
              <w:rPr>
                <w:rFonts w:hint="eastAsia" w:ascii="宋体" w:hAnsi="宋体" w:cs="宋体"/>
              </w:rPr>
              <w:t>若成交供应商提供的货物发生知识产权纠纷的，由成交供应商执行处置与原知识产权所有者协商解决，采购人不承担与之相关的任何经济和法律责任。</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19E4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082C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9BAE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A683C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4DF48F">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8</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2EDD18">
            <w:pPr>
              <w:spacing w:line="360" w:lineRule="auto"/>
              <w:rPr>
                <w:rFonts w:hint="eastAsia" w:ascii="宋体" w:hAnsi="宋体" w:cs="宋体"/>
              </w:rPr>
            </w:pPr>
            <w:r>
              <w:rPr>
                <w:rFonts w:hint="eastAsia" w:ascii="宋体" w:hAnsi="宋体" w:cs="宋体"/>
              </w:rPr>
              <w:t>因成交供应商原因造成采购人货物无法按时正常使用，成交供应商承担合同标的金额20%的违约金，违约金不足以赔偿采购人损失的，应另行补足采购人损失。</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E758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9027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D674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B955C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61AE4">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9</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11F6DD">
            <w:pPr>
              <w:spacing w:line="360" w:lineRule="auto"/>
              <w:rPr>
                <w:rFonts w:hint="eastAsia" w:ascii="宋体" w:hAnsi="宋体" w:cs="宋体"/>
              </w:rPr>
            </w:pPr>
            <w:r>
              <w:rPr>
                <w:rFonts w:hint="eastAsia" w:ascii="宋体" w:hAnsi="宋体" w:cs="宋体"/>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F5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E89C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970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DCDA4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8AE48">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10</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4B4D80">
            <w:pPr>
              <w:spacing w:line="360" w:lineRule="auto"/>
              <w:rPr>
                <w:rFonts w:hint="eastAsia" w:ascii="宋体" w:hAnsi="宋体" w:cs="宋体"/>
              </w:rPr>
            </w:pPr>
            <w:r>
              <w:rPr>
                <w:rFonts w:hint="eastAsia" w:ascii="宋体" w:hAnsi="宋体" w:cs="宋体"/>
              </w:rPr>
              <w:t>成交供应商给采购人造成的损失，采购人可采取必要的途径或方式追索，由此引起的费用由成交供应商承担，包括但不仅限于律师费、查档费、鉴定费、公证费、交通费、诉讼费、财产保全责任保险费等。</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9130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B5F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5B8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8692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75F9">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11</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5864F">
            <w:pPr>
              <w:spacing w:line="360" w:lineRule="auto"/>
              <w:rPr>
                <w:rFonts w:hint="eastAsia" w:ascii="宋体" w:hAnsi="宋体" w:cs="宋体"/>
              </w:rPr>
            </w:pPr>
            <w:r>
              <w:rPr>
                <w:rFonts w:hint="eastAsia" w:ascii="宋体" w:hAnsi="宋体" w:cs="宋体"/>
              </w:rPr>
              <w:t>在本合同履行期间，若成交供应商在参与本次采购活动或履行本合同过程中，存在违纪违法行为，且被具有法定职权的监察、司法或行政机关(包括但不限于纪委监委、公安机关、检察机关等)正式立案审查或调查的，采购人有权立即单方面终止本合同，并以书面形式通知成交供应商解除本合同。因前款情形导致本合同解除的，视为成交供应商严重违约。成交供应商应在收到采购人解除通知后五个工作日内，赔偿采购人因此遭受的全部直接及间接经济损失，包括但不限于:采购人为履行本合同已支付的费用、为寻找替代供应商或服务商所增加的额外成本、采购人对第三方承担的违约或赔偿责任，以及采购人为处理此事宜所支出的合理律师费、差旅费等。</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6E53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BFB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45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D5132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CE496">
            <w:pPr>
              <w:pStyle w:val="18"/>
              <w:numPr>
                <w:ilvl w:val="0"/>
                <w:numId w:val="0"/>
              </w:numPr>
              <w:spacing w:line="360" w:lineRule="auto"/>
              <w:ind w:left="0" w:leftChars="0" w:firstLine="0" w:firstLineChars="0"/>
              <w:contextualSpacing w:val="0"/>
              <w:jc w:val="center"/>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12</w:t>
            </w:r>
          </w:p>
        </w:tc>
        <w:tc>
          <w:tcPr>
            <w:tcW w:w="61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1432A6">
            <w:pPr>
              <w:spacing w:line="360" w:lineRule="auto"/>
              <w:rPr>
                <w:rFonts w:hint="eastAsia" w:ascii="宋体" w:hAnsi="宋体" w:cs="宋体"/>
              </w:rPr>
            </w:pPr>
            <w:r>
              <w:rPr>
                <w:rFonts w:hint="eastAsia" w:ascii="宋体" w:hAnsi="宋体" w:cs="宋体"/>
              </w:rPr>
              <w:t>其它违约责任按《中华人民共和国民法典》处理。</w:t>
            </w:r>
          </w:p>
        </w:tc>
        <w:tc>
          <w:tcPr>
            <w:tcW w:w="12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2A5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29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C9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4CE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513135D5">
      <w:pPr>
        <w:pStyle w:val="12"/>
        <w:spacing w:line="360" w:lineRule="auto"/>
        <w:ind w:firstLine="0"/>
        <w:rPr>
          <w:rFonts w:hint="eastAsia" w:ascii="宋体" w:hAnsi="宋体" w:eastAsia="宋体" w:cs="宋体"/>
          <w:lang w:val="zh-TW" w:eastAsia="zh-TW"/>
        </w:rPr>
      </w:pPr>
    </w:p>
    <w:p w14:paraId="48E9E21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十、售后服务承诺（格式自拟）</w:t>
      </w:r>
    </w:p>
    <w:p w14:paraId="1CC6CD3B">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72311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BBD22D1">
      <w:pPr>
        <w:pStyle w:val="18"/>
        <w:numPr>
          <w:ilvl w:val="0"/>
          <w:numId w:val="0"/>
        </w:numPr>
        <w:ind w:leftChars="0"/>
        <w:rPr>
          <w:rStyle w:val="19"/>
          <w:rFonts w:hint="eastAsia" w:hAnsi="宋体" w:cs="宋体" w:asciiTheme="minorHAnsi"/>
          <w:b/>
          <w:bCs/>
          <w:color w:val="auto"/>
          <w:kern w:val="2"/>
          <w:sz w:val="21"/>
          <w:szCs w:val="21"/>
          <w:lang w:val="en-US" w:eastAsia="zh-CN"/>
        </w:rPr>
      </w:pPr>
    </w:p>
    <w:p w14:paraId="3CB41F3E">
      <w:pPr>
        <w:pStyle w:val="18"/>
        <w:numPr>
          <w:ilvl w:val="0"/>
          <w:numId w:val="0"/>
        </w:numPr>
        <w:ind w:leftChars="0"/>
        <w:rPr>
          <w:rStyle w:val="19"/>
          <w:rFonts w:hint="eastAsia" w:hAnsi="宋体" w:cs="宋体" w:asciiTheme="minorHAnsi"/>
          <w:b/>
          <w:bCs/>
          <w:color w:val="auto"/>
          <w:kern w:val="2"/>
          <w:sz w:val="21"/>
          <w:szCs w:val="21"/>
          <w:lang w:val="en-US" w:eastAsia="zh-CN"/>
        </w:rPr>
      </w:pPr>
    </w:p>
    <w:p w14:paraId="0BDF05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9C0FB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06AB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68294196">
      <w:pPr>
        <w:pStyle w:val="18"/>
        <w:numPr>
          <w:ilvl w:val="0"/>
          <w:numId w:val="0"/>
        </w:numPr>
        <w:ind w:leftChars="0"/>
        <w:rPr>
          <w:rStyle w:val="19"/>
          <w:rFonts w:hint="eastAsia" w:hAnsi="宋体" w:cs="宋体" w:asciiTheme="minorHAnsi"/>
          <w:b/>
          <w:bCs/>
          <w:color w:val="auto"/>
          <w:kern w:val="2"/>
          <w:sz w:val="21"/>
          <w:szCs w:val="21"/>
          <w:lang w:val="en-US" w:eastAsia="zh-CN"/>
        </w:rPr>
      </w:pPr>
    </w:p>
    <w:p w14:paraId="74A9C61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E87E23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B1483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1B0B87">
      <w:pPr>
        <w:pStyle w:val="18"/>
        <w:numPr>
          <w:ilvl w:val="0"/>
          <w:numId w:val="0"/>
        </w:numPr>
        <w:ind w:leftChars="0"/>
        <w:rPr>
          <w:rStyle w:val="19"/>
          <w:rFonts w:hint="eastAsia" w:hAnsi="宋体" w:cs="宋体" w:asciiTheme="minorHAnsi"/>
          <w:b/>
          <w:bCs/>
          <w:color w:val="auto"/>
          <w:kern w:val="2"/>
          <w:sz w:val="21"/>
          <w:szCs w:val="21"/>
          <w:lang w:val="en-US" w:eastAsia="zh-CN"/>
        </w:rPr>
      </w:pPr>
    </w:p>
    <w:p w14:paraId="1303B8AF">
      <w:pPr>
        <w:pStyle w:val="18"/>
        <w:numPr>
          <w:ilvl w:val="0"/>
          <w:numId w:val="0"/>
        </w:numPr>
        <w:ind w:leftChars="0"/>
        <w:rPr>
          <w:rStyle w:val="19"/>
          <w:rFonts w:hint="eastAsia" w:hAnsi="宋体" w:cs="宋体" w:asciiTheme="minorHAnsi"/>
          <w:b/>
          <w:bCs/>
          <w:color w:val="auto"/>
          <w:kern w:val="2"/>
          <w:sz w:val="21"/>
          <w:szCs w:val="21"/>
          <w:lang w:val="en-US" w:eastAsia="zh-CN"/>
        </w:rPr>
      </w:pPr>
    </w:p>
    <w:p w14:paraId="7F329D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5EADE0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642B1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659BA57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C51EB0">
      <w:pPr>
        <w:pStyle w:val="18"/>
        <w:numPr>
          <w:ilvl w:val="0"/>
          <w:numId w:val="0"/>
        </w:numPr>
        <w:ind w:leftChars="0"/>
        <w:rPr>
          <w:rStyle w:val="19"/>
          <w:rFonts w:hint="eastAsia" w:hAnsi="宋体" w:cs="宋体" w:asciiTheme="minorHAnsi"/>
          <w:b/>
          <w:bCs/>
          <w:color w:val="auto"/>
          <w:kern w:val="2"/>
          <w:sz w:val="21"/>
          <w:szCs w:val="21"/>
          <w:lang w:val="en-US" w:eastAsia="zh-CN"/>
        </w:rPr>
      </w:pPr>
    </w:p>
    <w:p w14:paraId="391FE256">
      <w:pPr>
        <w:pStyle w:val="18"/>
        <w:numPr>
          <w:ilvl w:val="0"/>
          <w:numId w:val="0"/>
        </w:numPr>
        <w:ind w:leftChars="0"/>
        <w:rPr>
          <w:rStyle w:val="19"/>
          <w:rFonts w:hint="eastAsia" w:hAnsi="宋体" w:cs="宋体" w:asciiTheme="minorHAnsi"/>
          <w:b/>
          <w:bCs/>
          <w:color w:val="auto"/>
          <w:kern w:val="2"/>
          <w:sz w:val="21"/>
          <w:szCs w:val="21"/>
          <w:lang w:val="en-US" w:eastAsia="zh-CN"/>
        </w:rPr>
      </w:pPr>
    </w:p>
    <w:p w14:paraId="39AEC81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5F8BD9B">
      <w:pPr>
        <w:pStyle w:val="18"/>
        <w:numPr>
          <w:ilvl w:val="0"/>
          <w:numId w:val="0"/>
        </w:numPr>
        <w:ind w:leftChars="0"/>
        <w:rPr>
          <w:rStyle w:val="19"/>
          <w:rFonts w:hint="eastAsia" w:hAnsi="宋体" w:cs="宋体" w:asciiTheme="minorHAnsi"/>
          <w:b/>
          <w:bCs/>
          <w:color w:val="auto"/>
          <w:kern w:val="2"/>
          <w:sz w:val="21"/>
          <w:szCs w:val="21"/>
          <w:lang w:val="en-US" w:eastAsia="zh-CN"/>
        </w:rPr>
      </w:pPr>
    </w:p>
    <w:p w14:paraId="0FBDA51A">
      <w:pPr>
        <w:pStyle w:val="18"/>
        <w:numPr>
          <w:ilvl w:val="0"/>
          <w:numId w:val="0"/>
        </w:numPr>
        <w:ind w:leftChars="0"/>
        <w:rPr>
          <w:rStyle w:val="19"/>
          <w:rFonts w:hint="eastAsia" w:hAnsi="宋体" w:cs="宋体" w:asciiTheme="minorHAnsi"/>
          <w:b/>
          <w:bCs/>
          <w:color w:val="auto"/>
          <w:kern w:val="2"/>
          <w:sz w:val="21"/>
          <w:szCs w:val="21"/>
          <w:lang w:val="en-US" w:eastAsia="zh-CN"/>
        </w:rPr>
      </w:pPr>
    </w:p>
    <w:p w14:paraId="13EFE59F">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EA925B">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6CD52D">
      <w:pPr>
        <w:pStyle w:val="18"/>
        <w:numPr>
          <w:ilvl w:val="0"/>
          <w:numId w:val="0"/>
        </w:numPr>
        <w:ind w:leftChars="0"/>
        <w:rPr>
          <w:rStyle w:val="19"/>
          <w:rFonts w:hint="eastAsia" w:hAnsi="宋体" w:cs="宋体" w:asciiTheme="minorHAnsi"/>
          <w:b/>
          <w:bCs/>
          <w:color w:val="auto"/>
          <w:kern w:val="2"/>
          <w:sz w:val="21"/>
          <w:szCs w:val="21"/>
          <w:lang w:val="en-US" w:eastAsia="zh-CN"/>
        </w:rPr>
      </w:pPr>
    </w:p>
    <w:p w14:paraId="106AE5A7">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3DE0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2E8BF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60FBDE">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CD9076">
      <w:pPr>
        <w:pStyle w:val="18"/>
        <w:numPr>
          <w:ilvl w:val="0"/>
          <w:numId w:val="0"/>
        </w:numPr>
        <w:ind w:leftChars="0"/>
        <w:rPr>
          <w:rStyle w:val="19"/>
          <w:rFonts w:hint="eastAsia" w:hAnsi="宋体" w:cs="宋体" w:asciiTheme="minorHAnsi"/>
          <w:b/>
          <w:bCs/>
          <w:color w:val="auto"/>
          <w:kern w:val="2"/>
          <w:sz w:val="21"/>
          <w:szCs w:val="21"/>
          <w:lang w:val="en-US" w:eastAsia="zh-CN"/>
        </w:rPr>
      </w:pPr>
    </w:p>
    <w:p w14:paraId="527BF2FA">
      <w:pPr>
        <w:pStyle w:val="18"/>
        <w:numPr>
          <w:ilvl w:val="0"/>
          <w:numId w:val="0"/>
        </w:numPr>
        <w:ind w:leftChars="0"/>
        <w:rPr>
          <w:rStyle w:val="19"/>
          <w:rFonts w:hint="eastAsia" w:hAnsi="宋体" w:cs="宋体" w:asciiTheme="minorHAnsi"/>
          <w:b/>
          <w:bCs/>
          <w:color w:val="auto"/>
          <w:kern w:val="2"/>
          <w:sz w:val="21"/>
          <w:szCs w:val="21"/>
          <w:lang w:val="en-US" w:eastAsia="zh-CN"/>
        </w:rPr>
      </w:pPr>
    </w:p>
    <w:p w14:paraId="10017B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77B08B3F">
      <w:pPr>
        <w:pStyle w:val="18"/>
        <w:numPr>
          <w:ilvl w:val="0"/>
          <w:numId w:val="0"/>
        </w:numPr>
        <w:ind w:leftChars="0"/>
        <w:rPr>
          <w:rStyle w:val="19"/>
          <w:rFonts w:hint="eastAsia" w:hAnsi="宋体" w:cs="宋体" w:asciiTheme="minorHAnsi"/>
          <w:b/>
          <w:bCs/>
          <w:color w:val="auto"/>
          <w:kern w:val="2"/>
          <w:sz w:val="21"/>
          <w:szCs w:val="21"/>
          <w:lang w:val="en-US" w:eastAsia="zh-CN"/>
        </w:rPr>
      </w:pPr>
    </w:p>
    <w:p w14:paraId="13EDCAAC">
      <w:pPr>
        <w:pStyle w:val="18"/>
        <w:numPr>
          <w:ilvl w:val="0"/>
          <w:numId w:val="0"/>
        </w:numPr>
        <w:ind w:leftChars="0"/>
        <w:rPr>
          <w:rStyle w:val="19"/>
          <w:rFonts w:hint="eastAsia" w:hAnsi="宋体" w:cs="宋体" w:asciiTheme="minorHAnsi"/>
          <w:b/>
          <w:bCs/>
          <w:color w:val="auto"/>
          <w:kern w:val="2"/>
          <w:sz w:val="21"/>
          <w:szCs w:val="21"/>
          <w:lang w:val="en-US" w:eastAsia="zh-CN"/>
        </w:rPr>
      </w:pPr>
    </w:p>
    <w:p w14:paraId="6EDF198B">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72C1E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EBA321">
      <w:pPr>
        <w:pStyle w:val="18"/>
        <w:numPr>
          <w:ilvl w:val="0"/>
          <w:numId w:val="0"/>
        </w:numPr>
        <w:ind w:leftChars="0"/>
        <w:rPr>
          <w:rStyle w:val="19"/>
          <w:rFonts w:hint="eastAsia" w:hAnsi="宋体" w:cs="宋体" w:asciiTheme="minorHAnsi"/>
          <w:b/>
          <w:bCs/>
          <w:color w:val="auto"/>
          <w:kern w:val="2"/>
          <w:sz w:val="21"/>
          <w:szCs w:val="21"/>
          <w:lang w:val="en-US" w:eastAsia="zh-CN"/>
        </w:rPr>
      </w:pPr>
    </w:p>
    <w:p w14:paraId="3AFD7DFA">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514A9F">
      <w:pPr>
        <w:pStyle w:val="18"/>
        <w:numPr>
          <w:ilvl w:val="0"/>
          <w:numId w:val="0"/>
        </w:numPr>
        <w:ind w:leftChars="0"/>
        <w:rPr>
          <w:rStyle w:val="19"/>
          <w:rFonts w:hint="eastAsia" w:hAnsi="宋体" w:cs="宋体" w:asciiTheme="minorHAnsi"/>
          <w:b/>
          <w:bCs/>
          <w:color w:val="auto"/>
          <w:kern w:val="2"/>
          <w:sz w:val="21"/>
          <w:szCs w:val="21"/>
          <w:lang w:val="en-US" w:eastAsia="zh-CN"/>
        </w:rPr>
      </w:pPr>
    </w:p>
    <w:p w14:paraId="22695BA6">
      <w:pPr>
        <w:pStyle w:val="18"/>
        <w:numPr>
          <w:ilvl w:val="0"/>
          <w:numId w:val="0"/>
        </w:numPr>
        <w:ind w:leftChars="0"/>
        <w:rPr>
          <w:rStyle w:val="19"/>
          <w:rFonts w:hint="eastAsia" w:hAnsi="宋体" w:cs="宋体" w:asciiTheme="minorHAnsi"/>
          <w:b/>
          <w:bCs/>
          <w:color w:val="auto"/>
          <w:kern w:val="2"/>
          <w:sz w:val="21"/>
          <w:szCs w:val="21"/>
          <w:lang w:val="en-US" w:eastAsia="zh-CN"/>
        </w:rPr>
      </w:pPr>
    </w:p>
    <w:p w14:paraId="16A1675C">
      <w:pPr>
        <w:pStyle w:val="18"/>
        <w:numPr>
          <w:ilvl w:val="0"/>
          <w:numId w:val="0"/>
        </w:numPr>
        <w:ind w:leftChars="0"/>
        <w:rPr>
          <w:rStyle w:val="19"/>
          <w:rFonts w:hint="eastAsia" w:hAnsi="宋体" w:cs="宋体" w:asciiTheme="minorHAnsi"/>
          <w:b/>
          <w:bCs/>
          <w:color w:val="auto"/>
          <w:kern w:val="2"/>
          <w:sz w:val="21"/>
          <w:szCs w:val="21"/>
          <w:lang w:val="en-US" w:eastAsia="zh-CN"/>
        </w:rPr>
      </w:pPr>
    </w:p>
    <w:p w14:paraId="22DFCBEE">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5"/>
        <w:spacing w:line="360" w:lineRule="auto"/>
        <w:jc w:val="center"/>
        <w:rPr>
          <w:rFonts w:hint="eastAsia" w:ascii="宋体" w:hAnsi="宋体" w:eastAsia="宋体" w:cs="宋体"/>
        </w:rPr>
      </w:pPr>
    </w:p>
    <w:p w14:paraId="10B18D41">
      <w:pPr>
        <w:pStyle w:val="5"/>
        <w:spacing w:line="360" w:lineRule="auto"/>
        <w:jc w:val="center"/>
        <w:rPr>
          <w:rFonts w:hint="eastAsia" w:ascii="宋体" w:hAnsi="宋体" w:eastAsia="宋体" w:cs="宋体"/>
        </w:rPr>
      </w:pPr>
    </w:p>
    <w:p w14:paraId="0CC13FA1">
      <w:pPr>
        <w:pStyle w:val="5"/>
        <w:spacing w:line="360" w:lineRule="auto"/>
        <w:jc w:val="center"/>
        <w:rPr>
          <w:rFonts w:hint="eastAsia" w:ascii="宋体" w:hAnsi="宋体" w:eastAsia="宋体" w:cs="宋体"/>
        </w:rPr>
      </w:pPr>
    </w:p>
    <w:p w14:paraId="09EE7C41">
      <w:pPr>
        <w:pStyle w:val="5"/>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458"/>
        <w:gridCol w:w="1389"/>
        <w:gridCol w:w="1390"/>
        <w:gridCol w:w="1148"/>
        <w:gridCol w:w="1197"/>
        <w:gridCol w:w="1197"/>
      </w:tblGrid>
      <w:tr w14:paraId="599F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39"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458"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采购项目</w:t>
            </w:r>
          </w:p>
        </w:tc>
        <w:tc>
          <w:tcPr>
            <w:tcW w:w="1389" w:type="dxa"/>
            <w:vAlign w:val="center"/>
          </w:tcPr>
          <w:p w14:paraId="221CFF9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390" w:type="dxa"/>
            <w:vAlign w:val="center"/>
          </w:tcPr>
          <w:p w14:paraId="04EE8377">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1148" w:type="dxa"/>
            <w:shd w:val="clear" w:color="auto" w:fill="auto"/>
            <w:vAlign w:val="center"/>
          </w:tcPr>
          <w:p w14:paraId="7502B078">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1197"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数量（套）</w:t>
            </w:r>
          </w:p>
        </w:tc>
        <w:tc>
          <w:tcPr>
            <w:tcW w:w="1197" w:type="dxa"/>
            <w:vAlign w:val="center"/>
          </w:tcPr>
          <w:p w14:paraId="1D1D5CB3">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08C9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39" w:type="dxa"/>
            <w:vAlign w:val="center"/>
          </w:tcPr>
          <w:p w14:paraId="75791EC0">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458" w:type="dxa"/>
            <w:vAlign w:val="center"/>
          </w:tcPr>
          <w:p w14:paraId="41F8DAB8">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color w:val="auto"/>
                <w:kern w:val="0"/>
                <w:sz w:val="24"/>
                <w:szCs w:val="24"/>
                <w:highlight w:val="none"/>
                <w:lang w:val="en-US" w:eastAsia="zh-CN" w:bidi="ar-SA"/>
              </w:rPr>
              <w:t>安检门</w:t>
            </w:r>
          </w:p>
        </w:tc>
        <w:tc>
          <w:tcPr>
            <w:tcW w:w="1389" w:type="dxa"/>
            <w:vAlign w:val="center"/>
          </w:tcPr>
          <w:p w14:paraId="1B92C7A1">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en-US" w:eastAsia="zh-CN" w:bidi="ar-SA"/>
              </w:rPr>
            </w:pPr>
          </w:p>
        </w:tc>
        <w:tc>
          <w:tcPr>
            <w:tcW w:w="1390" w:type="dxa"/>
            <w:vAlign w:val="center"/>
          </w:tcPr>
          <w:p w14:paraId="0047E7D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en-US" w:eastAsia="zh-CN" w:bidi="ar-SA"/>
              </w:rPr>
            </w:pPr>
          </w:p>
        </w:tc>
        <w:tc>
          <w:tcPr>
            <w:tcW w:w="1148" w:type="dxa"/>
            <w:vAlign w:val="center"/>
          </w:tcPr>
          <w:p w14:paraId="5CA92CA9">
            <w:pPr>
              <w:spacing w:line="240" w:lineRule="auto"/>
              <w:jc w:val="center"/>
              <w:rPr>
                <w:rFonts w:hint="eastAsia" w:ascii="宋体" w:hAnsi="宋体" w:eastAsia="宋体" w:cs="宋体"/>
                <w:i w:val="0"/>
                <w:iCs w:val="0"/>
                <w:color w:val="000000"/>
                <w:kern w:val="2"/>
                <w:sz w:val="24"/>
                <w:szCs w:val="24"/>
                <w:u w:val="none"/>
                <w:lang w:val="en-US" w:eastAsia="zh-CN" w:bidi="ar-SA"/>
              </w:rPr>
            </w:pPr>
          </w:p>
        </w:tc>
        <w:tc>
          <w:tcPr>
            <w:tcW w:w="1197" w:type="dxa"/>
            <w:vAlign w:val="center"/>
          </w:tcPr>
          <w:p w14:paraId="529A14DE">
            <w:pPr>
              <w:keepNext w:val="0"/>
              <w:keepLines w:val="0"/>
              <w:widowControl/>
              <w:suppressLineNumbers w:val="0"/>
              <w:jc w:val="center"/>
              <w:textAlignment w:val="center"/>
              <w:rPr>
                <w:rFonts w:hint="default" w:ascii="宋体" w:hAnsi="宋体" w:eastAsia="宋体" w:cs="宋体"/>
                <w:color w:val="000000"/>
                <w:sz w:val="21"/>
                <w:szCs w:val="21"/>
                <w:highlight w:val="none"/>
                <w:lang w:val="en-US" w:eastAsia="zh-CN"/>
              </w:rPr>
            </w:pPr>
          </w:p>
        </w:tc>
        <w:tc>
          <w:tcPr>
            <w:tcW w:w="1197" w:type="dxa"/>
            <w:vMerge w:val="restart"/>
            <w:vAlign w:val="center"/>
          </w:tcPr>
          <w:p w14:paraId="39449A0C">
            <w:pPr>
              <w:spacing w:line="240" w:lineRule="auto"/>
              <w:jc w:val="center"/>
              <w:rPr>
                <w:rFonts w:hint="eastAsia" w:ascii="宋体" w:hAnsi="宋体" w:eastAsia="宋体" w:cs="宋体"/>
                <w:color w:val="000000"/>
                <w:sz w:val="21"/>
                <w:szCs w:val="21"/>
                <w:highlight w:val="none"/>
                <w:lang w:val="en-US" w:eastAsia="zh-CN"/>
              </w:rPr>
            </w:pPr>
          </w:p>
        </w:tc>
      </w:tr>
      <w:tr w14:paraId="2B8F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39" w:type="dxa"/>
            <w:vAlign w:val="center"/>
          </w:tcPr>
          <w:p w14:paraId="1FA38B7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458" w:type="dxa"/>
            <w:vAlign w:val="center"/>
          </w:tcPr>
          <w:p w14:paraId="2C11B12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kern w:val="0"/>
                <w:sz w:val="24"/>
                <w:szCs w:val="24"/>
                <w:highlight w:val="none"/>
                <w:lang w:val="en-US" w:eastAsia="zh-CN" w:bidi="ar-SA"/>
              </w:rPr>
              <w:t>安检机</w:t>
            </w:r>
          </w:p>
        </w:tc>
        <w:tc>
          <w:tcPr>
            <w:tcW w:w="1389" w:type="dxa"/>
            <w:vAlign w:val="center"/>
          </w:tcPr>
          <w:p w14:paraId="746AC92B">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en-US" w:eastAsia="zh-CN" w:bidi="ar-SA"/>
              </w:rPr>
            </w:pPr>
          </w:p>
        </w:tc>
        <w:tc>
          <w:tcPr>
            <w:tcW w:w="1390" w:type="dxa"/>
            <w:vAlign w:val="center"/>
          </w:tcPr>
          <w:p w14:paraId="511D69A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en-US" w:eastAsia="zh-CN" w:bidi="ar-SA"/>
              </w:rPr>
            </w:pPr>
          </w:p>
        </w:tc>
        <w:tc>
          <w:tcPr>
            <w:tcW w:w="1148" w:type="dxa"/>
            <w:vAlign w:val="center"/>
          </w:tcPr>
          <w:p w14:paraId="361B4D91">
            <w:pPr>
              <w:spacing w:line="240" w:lineRule="auto"/>
              <w:jc w:val="center"/>
              <w:rPr>
                <w:rFonts w:hint="eastAsia" w:ascii="宋体" w:hAnsi="宋体" w:eastAsia="宋体" w:cs="宋体"/>
                <w:i w:val="0"/>
                <w:iCs w:val="0"/>
                <w:color w:val="000000"/>
                <w:kern w:val="2"/>
                <w:sz w:val="24"/>
                <w:szCs w:val="24"/>
                <w:u w:val="none"/>
                <w:lang w:val="en-US" w:eastAsia="zh-CN" w:bidi="ar-SA"/>
              </w:rPr>
            </w:pPr>
          </w:p>
        </w:tc>
        <w:tc>
          <w:tcPr>
            <w:tcW w:w="1197" w:type="dxa"/>
            <w:vAlign w:val="center"/>
          </w:tcPr>
          <w:p w14:paraId="17F0DD9F">
            <w:pPr>
              <w:keepNext w:val="0"/>
              <w:keepLines w:val="0"/>
              <w:widowControl/>
              <w:suppressLineNumbers w:val="0"/>
              <w:jc w:val="center"/>
              <w:textAlignment w:val="center"/>
              <w:rPr>
                <w:rFonts w:hint="eastAsia" w:ascii="宋体" w:hAnsi="宋体" w:eastAsia="宋体" w:cs="宋体"/>
                <w:color w:val="000000"/>
                <w:sz w:val="21"/>
                <w:szCs w:val="21"/>
                <w:highlight w:val="none"/>
                <w:lang w:val="en-US" w:eastAsia="zh-CN"/>
              </w:rPr>
            </w:pPr>
          </w:p>
        </w:tc>
        <w:tc>
          <w:tcPr>
            <w:tcW w:w="1197" w:type="dxa"/>
            <w:vMerge w:val="continue"/>
            <w:tcBorders/>
            <w:vAlign w:val="center"/>
          </w:tcPr>
          <w:p w14:paraId="685EFFE3">
            <w:pPr>
              <w:spacing w:line="240" w:lineRule="auto"/>
              <w:jc w:val="center"/>
              <w:rPr>
                <w:rFonts w:hint="eastAsia" w:ascii="宋体" w:hAnsi="宋体" w:eastAsia="宋体" w:cs="宋体"/>
                <w:color w:val="000000"/>
                <w:sz w:val="21"/>
                <w:szCs w:val="21"/>
                <w:highlight w:val="none"/>
                <w:lang w:val="en-US" w:eastAsia="zh-CN"/>
              </w:rPr>
            </w:pPr>
          </w:p>
        </w:tc>
      </w:tr>
    </w:tbl>
    <w:p w14:paraId="1B7F9848">
      <w:pPr>
        <w:widowControl/>
        <w:spacing w:line="360" w:lineRule="auto"/>
        <w:jc w:val="left"/>
        <w:rPr>
          <w:rFonts w:hint="eastAsia" w:ascii="宋体" w:hAnsi="宋体" w:eastAsia="宋体" w:cs="宋体"/>
          <w:sz w:val="24"/>
          <w:szCs w:val="24"/>
          <w:lang w:val="zh-TW" w:eastAsia="zh-TW"/>
        </w:rPr>
      </w:pPr>
    </w:p>
    <w:p w14:paraId="37F08AFB">
      <w:pPr>
        <w:pStyle w:val="13"/>
        <w:rPr>
          <w:rFonts w:hint="eastAsia"/>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bookmarkStart w:id="17" w:name="_GoBack"/>
      <w:bookmarkEnd w:id="17"/>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3987239">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580154"/>
    <w:multiLevelType w:val="singleLevel"/>
    <w:tmpl w:val="86580154"/>
    <w:lvl w:ilvl="0" w:tentative="0">
      <w:start w:val="7"/>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0A8BA52F"/>
    <w:multiLevelType w:val="singleLevel"/>
    <w:tmpl w:val="0A8BA52F"/>
    <w:lvl w:ilvl="0" w:tentative="0">
      <w:start w:val="1"/>
      <w:numFmt w:val="chineseCounting"/>
      <w:lvlText w:val="(%1)"/>
      <w:lvlJc w:val="left"/>
      <w:pPr>
        <w:tabs>
          <w:tab w:val="left" w:pos="312"/>
        </w:tabs>
      </w:pPr>
      <w:rPr>
        <w:rFonts w:hint="eastAsia"/>
      </w:rPr>
    </w:lvl>
  </w:abstractNum>
  <w:abstractNum w:abstractNumId="3">
    <w:nsid w:val="6FEF5E58"/>
    <w:multiLevelType w:val="singleLevel"/>
    <w:tmpl w:val="6FEF5E58"/>
    <w:lvl w:ilvl="0" w:tentative="0">
      <w:start w:val="1"/>
      <w:numFmt w:val="decimal"/>
      <w:lvlText w:val="%1."/>
      <w:lvlJc w:val="left"/>
      <w:pPr>
        <w:ind w:left="425" w:hanging="425"/>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A7E66B2"/>
    <w:rsid w:val="0CA21D1B"/>
    <w:rsid w:val="0FB46481"/>
    <w:rsid w:val="17547684"/>
    <w:rsid w:val="1E840AC7"/>
    <w:rsid w:val="20E33B6F"/>
    <w:rsid w:val="20FE31B4"/>
    <w:rsid w:val="22395DD4"/>
    <w:rsid w:val="28DF6635"/>
    <w:rsid w:val="29A44657"/>
    <w:rsid w:val="2E5E06A1"/>
    <w:rsid w:val="321F3185"/>
    <w:rsid w:val="335464C2"/>
    <w:rsid w:val="336E7A0B"/>
    <w:rsid w:val="36E33B5E"/>
    <w:rsid w:val="3E6B5D05"/>
    <w:rsid w:val="483641BF"/>
    <w:rsid w:val="490E789E"/>
    <w:rsid w:val="490F4F35"/>
    <w:rsid w:val="4B7A033A"/>
    <w:rsid w:val="51F8300A"/>
    <w:rsid w:val="51FA1FA1"/>
    <w:rsid w:val="53BC3594"/>
    <w:rsid w:val="612D28B6"/>
    <w:rsid w:val="62725C03"/>
    <w:rsid w:val="693A1A7A"/>
    <w:rsid w:val="6B4C6025"/>
    <w:rsid w:val="6BB6035B"/>
    <w:rsid w:val="6C561999"/>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widowControl/>
      <w:spacing w:before="260" w:after="260" w:line="412" w:lineRule="auto"/>
      <w:jc w:val="left"/>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5">
    <w:name w:val="Body Text"/>
    <w:basedOn w:val="1"/>
    <w:autoRedefine/>
    <w:qFormat/>
    <w:uiPriority w:val="99"/>
    <w:pPr>
      <w:spacing w:after="120"/>
    </w:p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Body Text Indent 2"/>
    <w:basedOn w:val="1"/>
    <w:link w:val="19"/>
    <w:autoRedefine/>
    <w:qFormat/>
    <w:uiPriority w:val="0"/>
    <w:pPr>
      <w:spacing w:after="120" w:line="480" w:lineRule="auto"/>
      <w:ind w:left="420" w:leftChars="200"/>
    </w:pPr>
    <w:rPr>
      <w:szCs w:val="20"/>
    </w:rPr>
  </w:style>
  <w:style w:type="paragraph" w:styleId="9">
    <w:name w:val="footer"/>
    <w:basedOn w:val="1"/>
    <w:qFormat/>
    <w:uiPriority w:val="99"/>
    <w:pPr>
      <w:tabs>
        <w:tab w:val="center" w:pos="4153"/>
        <w:tab w:val="right" w:pos="8306"/>
      </w:tabs>
      <w:snapToGrid w:val="0"/>
      <w:jc w:val="left"/>
    </w:pPr>
    <w:rPr>
      <w:sz w:val="18"/>
    </w:rPr>
  </w:style>
  <w:style w:type="paragraph" w:styleId="10">
    <w:name w:val="toc 1"/>
    <w:basedOn w:val="1"/>
    <w:next w:val="1"/>
    <w:qFormat/>
    <w:uiPriority w:val="39"/>
  </w:style>
  <w:style w:type="paragraph" w:styleId="11">
    <w:name w:val="Normal (Web)"/>
    <w:basedOn w:val="1"/>
    <w:qFormat/>
    <w:uiPriority w:val="0"/>
    <w:pPr>
      <w:spacing w:beforeAutospacing="1" w:afterAutospacing="1"/>
      <w:jc w:val="left"/>
    </w:pPr>
    <w:rPr>
      <w:rFonts w:cs="Times New Roman" w:eastAsiaTheme="minorEastAsia"/>
      <w:kern w:val="0"/>
      <w:sz w:val="24"/>
      <w:szCs w:val="24"/>
    </w:rPr>
  </w:style>
  <w:style w:type="paragraph" w:styleId="12">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8"/>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宋体" w:hAnsi="宋体" w:eastAsia="宋体" w:cs="宋体"/>
      <w:sz w:val="25"/>
      <w:szCs w:val="25"/>
      <w:lang w:val="en-US" w:eastAsia="en-US" w:bidi="ar-SA"/>
    </w:rPr>
  </w:style>
  <w:style w:type="character" w:customStyle="1" w:styleId="23">
    <w:name w:val="16"/>
    <w:basedOn w:val="16"/>
    <w:qFormat/>
    <w:uiPriority w:val="0"/>
    <w:rPr>
      <w:rFonts w:hint="eastAsia" w:ascii="宋体" w:hAnsi="宋体" w:eastAsia="宋体"/>
      <w:b/>
      <w:color w:val="000000"/>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4117</Words>
  <Characters>4206</Characters>
  <Lines>0</Lines>
  <Paragraphs>0</Paragraphs>
  <TotalTime>0</TotalTime>
  <ScaleCrop>false</ScaleCrop>
  <LinksUpToDate>false</LinksUpToDate>
  <CharactersWithSpaces>4549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2026-07-16T07:20:56Z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