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F997">
      <w:pPr>
        <w:jc w:val="left"/>
        <w:rPr>
          <w:rFonts w:ascii="黑体" w:hAnsi="黑体" w:eastAsia="黑体"/>
          <w:color w:val="000000" w:themeColor="text1"/>
          <w:sz w:val="24"/>
          <w14:textFill>
            <w14:solidFill>
              <w14:schemeClr w14:val="tx1"/>
            </w14:solidFill>
          </w14:textFill>
        </w:rPr>
      </w:pPr>
      <w:r>
        <w:rPr>
          <w:rFonts w:hint="eastAsia" w:ascii="黑体" w:hAnsi="黑体" w:eastAsia="黑体"/>
          <w:color w:val="000000" w:themeColor="text1"/>
          <w:sz w:val="24"/>
          <w14:textFill>
            <w14:solidFill>
              <w14:schemeClr w14:val="tx1"/>
            </w14:solidFill>
          </w14:textFill>
        </w:rPr>
        <w:t>表1</w:t>
      </w:r>
    </w:p>
    <w:p w14:paraId="603468F1">
      <w:pPr>
        <w:jc w:val="center"/>
        <w:rPr>
          <w:rFonts w:ascii="黑体" w:hAnsi="黑体" w:eastAsia="黑体"/>
          <w:b/>
          <w:color w:val="000000" w:themeColor="text1"/>
          <w:kern w:val="28"/>
          <w:sz w:val="44"/>
          <w:szCs w:val="44"/>
          <w14:textFill>
            <w14:solidFill>
              <w14:schemeClr w14:val="tx1"/>
            </w14:solidFill>
          </w14:textFill>
        </w:rPr>
      </w:pPr>
      <w:r>
        <w:rPr>
          <w:rFonts w:hint="eastAsia" w:ascii="黑体" w:hAnsi="黑体" w:eastAsia="黑体"/>
          <w:color w:val="000000" w:themeColor="text1"/>
          <w:sz w:val="44"/>
          <w:szCs w:val="44"/>
          <w14:textFill>
            <w14:solidFill>
              <w14:schemeClr w14:val="tx1"/>
            </w14:solidFill>
          </w14:textFill>
        </w:rPr>
        <w:t>采购需求书</w:t>
      </w:r>
    </w:p>
    <w:p w14:paraId="2F170CE2">
      <w:pPr>
        <w:jc w:val="center"/>
        <w:rPr>
          <w:rFonts w:ascii="宋体" w:hAnsi="宋体"/>
          <w:b/>
          <w:color w:val="000000" w:themeColor="text1"/>
          <w:kern w:val="28"/>
          <w:sz w:val="44"/>
          <w:szCs w:val="36"/>
          <w14:textFill>
            <w14:solidFill>
              <w14:schemeClr w14:val="tx1"/>
            </w14:solidFill>
          </w14:textFill>
        </w:rPr>
      </w:pPr>
    </w:p>
    <w:tbl>
      <w:tblPr>
        <w:tblStyle w:val="9"/>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8341"/>
      </w:tblGrid>
      <w:tr w14:paraId="0CF8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249" w:type="dxa"/>
            <w:vAlign w:val="center"/>
          </w:tcPr>
          <w:p w14:paraId="1C79DD27">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申请科室</w:t>
            </w:r>
          </w:p>
        </w:tc>
        <w:tc>
          <w:tcPr>
            <w:tcW w:w="8341" w:type="dxa"/>
            <w:vAlign w:val="center"/>
          </w:tcPr>
          <w:p w14:paraId="40BEDFDE">
            <w:pPr>
              <w:spacing w:line="440" w:lineRule="exact"/>
              <w:jc w:val="center"/>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总务科</w:t>
            </w:r>
          </w:p>
        </w:tc>
      </w:tr>
      <w:tr w14:paraId="39B6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249" w:type="dxa"/>
            <w:vAlign w:val="center"/>
          </w:tcPr>
          <w:p w14:paraId="5ABFF15F">
            <w:pPr>
              <w:spacing w:line="440" w:lineRule="exact"/>
              <w:jc w:val="center"/>
              <w:rPr>
                <w:rFonts w:hint="default"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归口科室</w:t>
            </w:r>
          </w:p>
        </w:tc>
        <w:tc>
          <w:tcPr>
            <w:tcW w:w="8341" w:type="dxa"/>
            <w:vAlign w:val="center"/>
          </w:tcPr>
          <w:p w14:paraId="18338837">
            <w:pPr>
              <w:spacing w:line="440" w:lineRule="exact"/>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总务科</w:t>
            </w:r>
          </w:p>
        </w:tc>
      </w:tr>
      <w:tr w14:paraId="3B78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49" w:type="dxa"/>
            <w:vAlign w:val="center"/>
          </w:tcPr>
          <w:p w14:paraId="050F7B88">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项目名称</w:t>
            </w:r>
          </w:p>
        </w:tc>
        <w:tc>
          <w:tcPr>
            <w:tcW w:w="8341" w:type="dxa"/>
            <w:vAlign w:val="center"/>
          </w:tcPr>
          <w:p w14:paraId="0CA7501D">
            <w:pPr>
              <w:spacing w:line="440" w:lineRule="exact"/>
              <w:jc w:val="center"/>
              <w:rPr>
                <w:rFonts w:hint="default" w:ascii="宋体" w:hAnsi="宋体"/>
                <w:color w:val="auto"/>
                <w:sz w:val="24"/>
                <w:highlight w:val="none"/>
                <w:lang w:val="en-US"/>
              </w:rPr>
            </w:pPr>
            <w:r>
              <w:rPr>
                <w:rFonts w:hint="eastAsia" w:ascii="宋体" w:hAnsi="宋体"/>
                <w:color w:val="auto"/>
                <w:sz w:val="24"/>
                <w:highlight w:val="none"/>
                <w:lang w:val="en-US" w:eastAsia="zh-CN"/>
              </w:rPr>
              <w:t>压力容器特种设备合规化服务项目</w:t>
            </w:r>
          </w:p>
        </w:tc>
      </w:tr>
      <w:tr w14:paraId="7099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49" w:type="dxa"/>
            <w:vAlign w:val="center"/>
          </w:tcPr>
          <w:p w14:paraId="32048E91">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预算金额</w:t>
            </w:r>
          </w:p>
        </w:tc>
        <w:tc>
          <w:tcPr>
            <w:tcW w:w="8341" w:type="dxa"/>
            <w:vAlign w:val="center"/>
          </w:tcPr>
          <w:p w14:paraId="7AAAB265">
            <w:pPr>
              <w:spacing w:line="440" w:lineRule="exact"/>
              <w:jc w:val="center"/>
              <w:rPr>
                <w:rFonts w:ascii="宋体" w:hAnsi="宋体"/>
                <w:color w:val="auto"/>
                <w:sz w:val="24"/>
                <w:highlight w:val="none"/>
              </w:rPr>
            </w:pPr>
            <w:r>
              <w:rPr>
                <w:rFonts w:hint="eastAsia" w:ascii="宋体" w:hAnsi="宋体"/>
                <w:color w:val="auto"/>
                <w:sz w:val="24"/>
                <w:highlight w:val="none"/>
                <w:lang w:val="en-US" w:eastAsia="zh-CN"/>
              </w:rPr>
              <w:t>80200</w:t>
            </w:r>
            <w:r>
              <w:rPr>
                <w:rFonts w:hint="eastAsia" w:ascii="宋体" w:hAnsi="宋体"/>
                <w:color w:val="auto"/>
                <w:sz w:val="24"/>
                <w:highlight w:val="none"/>
              </w:rPr>
              <w:t>元</w:t>
            </w:r>
          </w:p>
        </w:tc>
      </w:tr>
      <w:tr w14:paraId="35C9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49" w:type="dxa"/>
            <w:vAlign w:val="center"/>
          </w:tcPr>
          <w:p w14:paraId="46F67E2B">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数量</w:t>
            </w:r>
          </w:p>
        </w:tc>
        <w:tc>
          <w:tcPr>
            <w:tcW w:w="8341" w:type="dxa"/>
            <w:vAlign w:val="center"/>
          </w:tcPr>
          <w:p w14:paraId="57C5180B">
            <w:pPr>
              <w:spacing w:line="440" w:lineRule="exact"/>
              <w:jc w:val="center"/>
              <w:rPr>
                <w:rFonts w:ascii="宋体" w:hAnsi="宋体"/>
                <w:color w:val="auto"/>
                <w:sz w:val="24"/>
                <w:highlight w:val="none"/>
              </w:rPr>
            </w:pPr>
            <w:r>
              <w:rPr>
                <w:rFonts w:hint="eastAsia" w:ascii="宋体" w:hAnsi="宋体"/>
                <w:color w:val="auto"/>
                <w:sz w:val="24"/>
                <w:highlight w:val="none"/>
              </w:rPr>
              <w:t>1项</w:t>
            </w:r>
          </w:p>
        </w:tc>
      </w:tr>
      <w:tr w14:paraId="25D02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49" w:type="dxa"/>
            <w:vAlign w:val="center"/>
          </w:tcPr>
          <w:p w14:paraId="4CEA3374">
            <w:pPr>
              <w:spacing w:line="440" w:lineRule="exact"/>
              <w:jc w:val="center"/>
              <w:rPr>
                <w:rFonts w:ascii="宋体" w:hAnsi="宋体" w:eastAsia="宋体"/>
                <w:b/>
                <w:color w:val="auto"/>
                <w:sz w:val="24"/>
                <w:highlight w:val="none"/>
              </w:rPr>
            </w:pPr>
            <w:r>
              <w:rPr>
                <w:rFonts w:hint="eastAsia" w:ascii="宋体" w:hAnsi="宋体" w:eastAsia="宋体"/>
                <w:b/>
                <w:color w:val="auto"/>
                <w:sz w:val="24"/>
                <w:highlight w:val="none"/>
              </w:rPr>
              <w:t>采购要求</w:t>
            </w:r>
          </w:p>
        </w:tc>
        <w:tc>
          <w:tcPr>
            <w:tcW w:w="8341" w:type="dxa"/>
          </w:tcPr>
          <w:p w14:paraId="5B93C228">
            <w:pPr>
              <w:spacing w:line="440" w:lineRule="exact"/>
              <w:rPr>
                <w:rFonts w:ascii="宋体" w:hAnsi="宋体"/>
                <w:b/>
                <w:bCs/>
                <w:color w:val="auto"/>
                <w:szCs w:val="21"/>
                <w:highlight w:val="none"/>
              </w:rPr>
            </w:pPr>
            <w:r>
              <w:rPr>
                <w:rFonts w:ascii="宋体" w:hAnsi="宋体"/>
                <w:b/>
                <w:bCs/>
                <w:color w:val="auto"/>
                <w:szCs w:val="21"/>
                <w:highlight w:val="none"/>
              </w:rPr>
              <w:t>一、项目内容</w:t>
            </w:r>
          </w:p>
          <w:p w14:paraId="5B33F027">
            <w:pPr>
              <w:spacing w:before="0" w:after="0" w:line="560" w:lineRule="exact"/>
              <w:ind w:firstLine="482"/>
              <w:rPr>
                <w:rFonts w:hint="default"/>
                <w:color w:val="auto"/>
                <w:lang w:val="en-US"/>
              </w:rPr>
            </w:pPr>
            <w:r>
              <w:rPr>
                <w:rFonts w:hint="eastAsia" w:ascii="宋体" w:hAnsi="宋体"/>
                <w:color w:val="auto"/>
                <w:szCs w:val="21"/>
                <w:highlight w:val="none"/>
                <w:lang w:val="en-US" w:eastAsia="zh-CN"/>
              </w:rPr>
              <w:t>为完善我院压力容器特种设备（详见项目清单）的合规管理，现委托第三方机构提供资料补齐及使用登记办理全过程服务，具体涵盖特种设备委托检验、出厂资料补办、使用登记办理等事项。供应商须确保服务成果符合国家及地方特种设备安全技术规范，并最终取得合法有效的出厂资料、登记证书及检验报告。</w:t>
            </w:r>
          </w:p>
          <w:p w14:paraId="1144C148">
            <w:pPr>
              <w:tabs>
                <w:tab w:val="left" w:pos="2310"/>
              </w:tabs>
              <w:spacing w:line="440" w:lineRule="exact"/>
              <w:rPr>
                <w:rFonts w:ascii="宋体" w:hAnsi="宋体"/>
                <w:color w:val="auto"/>
                <w:szCs w:val="21"/>
                <w:highlight w:val="none"/>
              </w:rPr>
            </w:pPr>
            <w:r>
              <w:rPr>
                <w:rFonts w:hint="eastAsia" w:ascii="宋体" w:hAnsi="宋体"/>
                <w:color w:val="auto"/>
                <w:szCs w:val="21"/>
                <w:highlight w:val="none"/>
                <w:lang w:val="en-US" w:eastAsia="zh-CN"/>
              </w:rPr>
              <w:t>项目</w:t>
            </w:r>
            <w:r>
              <w:rPr>
                <w:rFonts w:hint="eastAsia" w:ascii="宋体" w:hAnsi="宋体"/>
                <w:color w:val="auto"/>
                <w:szCs w:val="21"/>
                <w:highlight w:val="none"/>
              </w:rPr>
              <w:t>清单：</w:t>
            </w:r>
          </w:p>
          <w:tbl>
            <w:tblPr>
              <w:tblStyle w:val="9"/>
              <w:tblW w:w="8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
              <w:gridCol w:w="1272"/>
              <w:gridCol w:w="2169"/>
              <w:gridCol w:w="2345"/>
              <w:gridCol w:w="568"/>
              <w:gridCol w:w="546"/>
              <w:gridCol w:w="669"/>
            </w:tblGrid>
            <w:tr w14:paraId="099C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vAlign w:val="center"/>
                </w:tcPr>
                <w:p w14:paraId="45FF6EFE">
                  <w:pPr>
                    <w:spacing w:line="440" w:lineRule="exact"/>
                    <w:jc w:val="center"/>
                    <w:rPr>
                      <w:rFonts w:ascii="宋体" w:hAnsi="宋体"/>
                      <w:color w:val="auto"/>
                      <w:sz w:val="21"/>
                      <w:szCs w:val="21"/>
                      <w:highlight w:val="none"/>
                    </w:rPr>
                  </w:pPr>
                  <w:r>
                    <w:rPr>
                      <w:rFonts w:ascii="宋体" w:hAnsi="宋体"/>
                      <w:color w:val="auto"/>
                      <w:sz w:val="21"/>
                      <w:szCs w:val="21"/>
                      <w:highlight w:val="none"/>
                    </w:rPr>
                    <w:t>序号</w:t>
                  </w:r>
                </w:p>
              </w:tc>
              <w:tc>
                <w:tcPr>
                  <w:tcW w:w="1272" w:type="dxa"/>
                  <w:vAlign w:val="center"/>
                </w:tcPr>
                <w:p w14:paraId="6E75C439">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设备名称</w:t>
                  </w:r>
                </w:p>
              </w:tc>
              <w:tc>
                <w:tcPr>
                  <w:tcW w:w="2169" w:type="dxa"/>
                  <w:vAlign w:val="center"/>
                </w:tcPr>
                <w:p w14:paraId="2810CB1D">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设备位置</w:t>
                  </w:r>
                </w:p>
              </w:tc>
              <w:tc>
                <w:tcPr>
                  <w:tcW w:w="2345" w:type="dxa"/>
                  <w:vAlign w:val="center"/>
                </w:tcPr>
                <w:p w14:paraId="2F9EB1A1">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项目内容</w:t>
                  </w:r>
                </w:p>
              </w:tc>
              <w:tc>
                <w:tcPr>
                  <w:tcW w:w="568" w:type="dxa"/>
                  <w:vAlign w:val="center"/>
                </w:tcPr>
                <w:p w14:paraId="4B4C1D32">
                  <w:pPr>
                    <w:spacing w:line="440" w:lineRule="exact"/>
                    <w:jc w:val="center"/>
                    <w:rPr>
                      <w:rFonts w:ascii="宋体" w:hAnsi="宋体"/>
                      <w:color w:val="auto"/>
                      <w:sz w:val="21"/>
                      <w:szCs w:val="21"/>
                      <w:highlight w:val="none"/>
                    </w:rPr>
                  </w:pPr>
                  <w:r>
                    <w:rPr>
                      <w:rFonts w:ascii="宋体" w:hAnsi="宋体"/>
                      <w:color w:val="auto"/>
                      <w:sz w:val="21"/>
                      <w:szCs w:val="21"/>
                      <w:highlight w:val="none"/>
                    </w:rPr>
                    <w:t>数量</w:t>
                  </w:r>
                </w:p>
              </w:tc>
              <w:tc>
                <w:tcPr>
                  <w:tcW w:w="546" w:type="dxa"/>
                  <w:vAlign w:val="center"/>
                </w:tcPr>
                <w:p w14:paraId="0DB9B7A3">
                  <w:pPr>
                    <w:spacing w:line="440" w:lineRule="exact"/>
                    <w:jc w:val="center"/>
                    <w:rPr>
                      <w:rFonts w:ascii="宋体" w:hAnsi="宋体"/>
                      <w:color w:val="auto"/>
                      <w:sz w:val="21"/>
                      <w:szCs w:val="21"/>
                      <w:highlight w:val="none"/>
                    </w:rPr>
                  </w:pPr>
                  <w:r>
                    <w:rPr>
                      <w:rFonts w:ascii="宋体" w:hAnsi="宋体"/>
                      <w:color w:val="auto"/>
                      <w:sz w:val="21"/>
                      <w:szCs w:val="21"/>
                      <w:highlight w:val="none"/>
                    </w:rPr>
                    <w:t>单位</w:t>
                  </w:r>
                </w:p>
              </w:tc>
              <w:tc>
                <w:tcPr>
                  <w:tcW w:w="669" w:type="dxa"/>
                  <w:vAlign w:val="center"/>
                </w:tcPr>
                <w:p w14:paraId="1CA58272">
                  <w:pPr>
                    <w:spacing w:line="440" w:lineRule="exact"/>
                    <w:jc w:val="center"/>
                    <w:rPr>
                      <w:rFonts w:ascii="宋体" w:hAnsi="宋体"/>
                      <w:color w:val="auto"/>
                      <w:sz w:val="21"/>
                      <w:szCs w:val="21"/>
                      <w:highlight w:val="none"/>
                    </w:rPr>
                  </w:pPr>
                  <w:r>
                    <w:rPr>
                      <w:rFonts w:ascii="宋体" w:hAnsi="宋体"/>
                      <w:color w:val="auto"/>
                      <w:sz w:val="21"/>
                      <w:szCs w:val="21"/>
                      <w:highlight w:val="none"/>
                    </w:rPr>
                    <w:t>备注</w:t>
                  </w:r>
                </w:p>
              </w:tc>
            </w:tr>
            <w:tr w14:paraId="071D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543" w:type="dxa"/>
                  <w:vAlign w:val="center"/>
                </w:tcPr>
                <w:p w14:paraId="1301E6E4">
                  <w:pPr>
                    <w:spacing w:line="440" w:lineRule="exact"/>
                    <w:jc w:val="center"/>
                    <w:rPr>
                      <w:rFonts w:ascii="宋体" w:hAnsi="宋体"/>
                      <w:color w:val="auto"/>
                      <w:sz w:val="21"/>
                      <w:szCs w:val="21"/>
                      <w:highlight w:val="none"/>
                    </w:rPr>
                  </w:pPr>
                  <w:r>
                    <w:rPr>
                      <w:rFonts w:hint="eastAsia" w:ascii="宋体" w:hAnsi="宋体"/>
                      <w:color w:val="auto"/>
                      <w:sz w:val="21"/>
                      <w:szCs w:val="21"/>
                      <w:highlight w:val="none"/>
                    </w:rPr>
                    <w:t>1</w:t>
                  </w:r>
                </w:p>
              </w:tc>
              <w:tc>
                <w:tcPr>
                  <w:tcW w:w="1272" w:type="dxa"/>
                  <w:vAlign w:val="center"/>
                </w:tcPr>
                <w:p w14:paraId="7D06CACC">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冷凝器</w:t>
                  </w:r>
                </w:p>
              </w:tc>
              <w:tc>
                <w:tcPr>
                  <w:tcW w:w="2169" w:type="dxa"/>
                  <w:vAlign w:val="center"/>
                </w:tcPr>
                <w:p w14:paraId="1C811746">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综合楼中央空调机房</w:t>
                  </w:r>
                </w:p>
              </w:tc>
              <w:tc>
                <w:tcPr>
                  <w:tcW w:w="2345" w:type="dxa"/>
                  <w:vAlign w:val="center"/>
                </w:tcPr>
                <w:p w14:paraId="48DC53A2">
                  <w:pPr>
                    <w:numPr>
                      <w:ilvl w:val="0"/>
                      <w:numId w:val="0"/>
                    </w:num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1、补办出厂资料</w:t>
                  </w:r>
                </w:p>
              </w:tc>
              <w:tc>
                <w:tcPr>
                  <w:tcW w:w="568" w:type="dxa"/>
                  <w:vAlign w:val="center"/>
                </w:tcPr>
                <w:p w14:paraId="2D273FC1">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2</w:t>
                  </w:r>
                </w:p>
              </w:tc>
              <w:tc>
                <w:tcPr>
                  <w:tcW w:w="546" w:type="dxa"/>
                  <w:vAlign w:val="center"/>
                </w:tcPr>
                <w:p w14:paraId="09B88D95">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台</w:t>
                  </w:r>
                </w:p>
              </w:tc>
              <w:tc>
                <w:tcPr>
                  <w:tcW w:w="669" w:type="dxa"/>
                  <w:vAlign w:val="center"/>
                </w:tcPr>
                <w:p w14:paraId="1CDBFCD1">
                  <w:pPr>
                    <w:spacing w:line="440" w:lineRule="exact"/>
                    <w:jc w:val="center"/>
                    <w:rPr>
                      <w:rFonts w:ascii="宋体" w:hAnsi="宋体"/>
                      <w:color w:val="auto"/>
                      <w:sz w:val="21"/>
                      <w:szCs w:val="21"/>
                      <w:highlight w:val="none"/>
                    </w:rPr>
                  </w:pPr>
                </w:p>
              </w:tc>
            </w:tr>
            <w:tr w14:paraId="1080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vAlign w:val="center"/>
                </w:tcPr>
                <w:p w14:paraId="630A017F">
                  <w:pPr>
                    <w:spacing w:line="440" w:lineRule="exact"/>
                    <w:jc w:val="center"/>
                    <w:rPr>
                      <w:rFonts w:ascii="宋体" w:hAnsi="宋体"/>
                      <w:color w:val="auto"/>
                      <w:sz w:val="21"/>
                      <w:szCs w:val="21"/>
                      <w:highlight w:val="none"/>
                    </w:rPr>
                  </w:pPr>
                  <w:r>
                    <w:rPr>
                      <w:rFonts w:hint="eastAsia" w:ascii="宋体" w:hAnsi="宋体"/>
                      <w:color w:val="auto"/>
                      <w:sz w:val="21"/>
                      <w:szCs w:val="21"/>
                      <w:highlight w:val="none"/>
                    </w:rPr>
                    <w:t>2</w:t>
                  </w:r>
                </w:p>
              </w:tc>
              <w:tc>
                <w:tcPr>
                  <w:tcW w:w="1272" w:type="dxa"/>
                  <w:vAlign w:val="center"/>
                </w:tcPr>
                <w:p w14:paraId="2F7E0919">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蒸发器</w:t>
                  </w:r>
                </w:p>
              </w:tc>
              <w:tc>
                <w:tcPr>
                  <w:tcW w:w="2169" w:type="dxa"/>
                  <w:vAlign w:val="center"/>
                </w:tcPr>
                <w:p w14:paraId="2DB730B6">
                  <w:pPr>
                    <w:spacing w:line="440" w:lineRule="exact"/>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综合楼中央空调机房</w:t>
                  </w:r>
                </w:p>
              </w:tc>
              <w:tc>
                <w:tcPr>
                  <w:tcW w:w="2345" w:type="dxa"/>
                  <w:vAlign w:val="center"/>
                </w:tcPr>
                <w:p w14:paraId="0EF10502">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1、补办出厂资料</w:t>
                  </w:r>
                </w:p>
              </w:tc>
              <w:tc>
                <w:tcPr>
                  <w:tcW w:w="568" w:type="dxa"/>
                  <w:vAlign w:val="center"/>
                </w:tcPr>
                <w:p w14:paraId="6FBE7D02">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2</w:t>
                  </w:r>
                </w:p>
              </w:tc>
              <w:tc>
                <w:tcPr>
                  <w:tcW w:w="546" w:type="dxa"/>
                  <w:vAlign w:val="center"/>
                </w:tcPr>
                <w:p w14:paraId="24BE45DC">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台</w:t>
                  </w:r>
                </w:p>
              </w:tc>
              <w:tc>
                <w:tcPr>
                  <w:tcW w:w="669" w:type="dxa"/>
                  <w:vAlign w:val="center"/>
                </w:tcPr>
                <w:p w14:paraId="24D77068">
                  <w:pPr>
                    <w:spacing w:line="440" w:lineRule="exact"/>
                    <w:jc w:val="center"/>
                    <w:rPr>
                      <w:rFonts w:ascii="宋体" w:hAnsi="宋体"/>
                      <w:color w:val="auto"/>
                      <w:sz w:val="21"/>
                      <w:szCs w:val="21"/>
                      <w:highlight w:val="none"/>
                    </w:rPr>
                  </w:pPr>
                </w:p>
              </w:tc>
            </w:tr>
            <w:tr w14:paraId="6BAE7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vAlign w:val="center"/>
                </w:tcPr>
                <w:p w14:paraId="05A7D39D">
                  <w:pPr>
                    <w:spacing w:line="440" w:lineRule="exact"/>
                    <w:jc w:val="center"/>
                    <w:rPr>
                      <w:rFonts w:hint="eastAsia" w:ascii="宋体" w:hAnsi="宋体" w:eastAsiaTheme="minorEastAsia"/>
                      <w:color w:val="auto"/>
                      <w:sz w:val="21"/>
                      <w:szCs w:val="21"/>
                      <w:highlight w:val="none"/>
                      <w:lang w:eastAsia="zh-CN"/>
                    </w:rPr>
                  </w:pPr>
                  <w:r>
                    <w:rPr>
                      <w:rFonts w:hint="eastAsia" w:ascii="宋体" w:hAnsi="宋体"/>
                      <w:color w:val="auto"/>
                      <w:sz w:val="21"/>
                      <w:szCs w:val="21"/>
                      <w:highlight w:val="none"/>
                      <w:lang w:val="en-US" w:eastAsia="zh-CN"/>
                    </w:rPr>
                    <w:t>3</w:t>
                  </w:r>
                </w:p>
              </w:tc>
              <w:tc>
                <w:tcPr>
                  <w:tcW w:w="1272" w:type="dxa"/>
                  <w:vAlign w:val="center"/>
                </w:tcPr>
                <w:p w14:paraId="3B403451">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冷凝器</w:t>
                  </w:r>
                </w:p>
              </w:tc>
              <w:tc>
                <w:tcPr>
                  <w:tcW w:w="2169" w:type="dxa"/>
                  <w:vAlign w:val="center"/>
                </w:tcPr>
                <w:p w14:paraId="545F1128">
                  <w:pPr>
                    <w:spacing w:line="440" w:lineRule="exact"/>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妇幼楼中央空调机房</w:t>
                  </w:r>
                </w:p>
              </w:tc>
              <w:tc>
                <w:tcPr>
                  <w:tcW w:w="2345" w:type="dxa"/>
                  <w:vAlign w:val="center"/>
                </w:tcPr>
                <w:p w14:paraId="7DD6014F">
                  <w:pPr>
                    <w:numPr>
                      <w:ilvl w:val="0"/>
                      <w:numId w:val="0"/>
                    </w:numPr>
                    <w:jc w:val="center"/>
                    <w:rPr>
                      <w:rFonts w:hint="eastAsia" w:ascii="宋体" w:hAnsi="宋体"/>
                      <w:color w:val="auto"/>
                      <w:sz w:val="21"/>
                      <w:szCs w:val="21"/>
                      <w:highlight w:val="none"/>
                      <w:lang w:val="en-US" w:eastAsia="zh-CN"/>
                    </w:rPr>
                  </w:pPr>
                  <w:r>
                    <w:rPr>
                      <w:rFonts w:hint="eastAsia" w:ascii="宋体" w:hAnsi="宋体" w:eastAsiaTheme="minorEastAsia" w:cstheme="minorBidi"/>
                      <w:color w:val="auto"/>
                      <w:kern w:val="2"/>
                      <w:sz w:val="21"/>
                      <w:szCs w:val="21"/>
                      <w:lang w:val="en-US" w:eastAsia="zh-CN" w:bidi="ar-SA"/>
                    </w:rPr>
                    <w:t>1、</w:t>
                  </w:r>
                  <w:r>
                    <w:rPr>
                      <w:rFonts w:hint="eastAsia" w:ascii="宋体" w:hAnsi="宋体"/>
                      <w:color w:val="auto"/>
                      <w:sz w:val="21"/>
                      <w:szCs w:val="21"/>
                      <w:highlight w:val="none"/>
                      <w:lang w:val="en-US" w:eastAsia="zh-CN"/>
                    </w:rPr>
                    <w:t>补办出厂资料</w:t>
                  </w:r>
                </w:p>
                <w:p w14:paraId="0ED83E1F">
                  <w:pPr>
                    <w:numPr>
                      <w:ilvl w:val="0"/>
                      <w:numId w:val="0"/>
                    </w:numPr>
                    <w:jc w:val="center"/>
                    <w:rPr>
                      <w:rFonts w:hint="default" w:ascii="宋体" w:hAnsi="宋体"/>
                      <w:color w:val="auto"/>
                      <w:sz w:val="21"/>
                      <w:szCs w:val="21"/>
                      <w:highlight w:val="none"/>
                      <w:lang w:val="en-US" w:eastAsia="zh-CN"/>
                    </w:rPr>
                  </w:pPr>
                  <w:r>
                    <w:rPr>
                      <w:rFonts w:hint="default" w:ascii="宋体" w:hAnsi="宋体" w:eastAsiaTheme="minorEastAsia" w:cstheme="minorBidi"/>
                      <w:color w:val="auto"/>
                      <w:kern w:val="2"/>
                      <w:sz w:val="21"/>
                      <w:szCs w:val="21"/>
                      <w:lang w:val="en-US" w:eastAsia="zh-CN" w:bidi="ar-SA"/>
                    </w:rPr>
                    <w:t>2、</w:t>
                  </w:r>
                  <w:r>
                    <w:rPr>
                      <w:rFonts w:hint="eastAsia" w:ascii="宋体" w:hAnsi="宋体"/>
                      <w:color w:val="auto"/>
                      <w:sz w:val="21"/>
                      <w:szCs w:val="21"/>
                      <w:highlight w:val="none"/>
                      <w:lang w:val="en-US" w:eastAsia="zh-CN"/>
                    </w:rPr>
                    <w:t>办理特种设备使用登记</w:t>
                  </w:r>
                </w:p>
              </w:tc>
              <w:tc>
                <w:tcPr>
                  <w:tcW w:w="568" w:type="dxa"/>
                  <w:vAlign w:val="center"/>
                </w:tcPr>
                <w:p w14:paraId="1CF0D321">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3</w:t>
                  </w:r>
                </w:p>
              </w:tc>
              <w:tc>
                <w:tcPr>
                  <w:tcW w:w="546" w:type="dxa"/>
                  <w:vAlign w:val="center"/>
                </w:tcPr>
                <w:p w14:paraId="57755E36">
                  <w:pPr>
                    <w:spacing w:line="440" w:lineRule="exact"/>
                    <w:jc w:val="center"/>
                    <w:rPr>
                      <w:rFonts w:hint="default" w:ascii="宋体" w:hAnsi="宋体"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台</w:t>
                  </w:r>
                </w:p>
              </w:tc>
              <w:tc>
                <w:tcPr>
                  <w:tcW w:w="669" w:type="dxa"/>
                  <w:vAlign w:val="center"/>
                </w:tcPr>
                <w:p w14:paraId="4DDD6471">
                  <w:pPr>
                    <w:spacing w:line="440" w:lineRule="exact"/>
                    <w:jc w:val="center"/>
                    <w:rPr>
                      <w:rFonts w:ascii="宋体" w:hAnsi="宋体"/>
                      <w:color w:val="auto"/>
                      <w:sz w:val="21"/>
                      <w:szCs w:val="21"/>
                      <w:highlight w:val="none"/>
                    </w:rPr>
                  </w:pPr>
                </w:p>
              </w:tc>
            </w:tr>
            <w:tr w14:paraId="7FA9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vAlign w:val="center"/>
                </w:tcPr>
                <w:p w14:paraId="1BE2870F">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4</w:t>
                  </w:r>
                </w:p>
              </w:tc>
              <w:tc>
                <w:tcPr>
                  <w:tcW w:w="1272" w:type="dxa"/>
                  <w:vAlign w:val="center"/>
                </w:tcPr>
                <w:p w14:paraId="00F42A82">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蒸发器</w:t>
                  </w:r>
                </w:p>
              </w:tc>
              <w:tc>
                <w:tcPr>
                  <w:tcW w:w="2169" w:type="dxa"/>
                  <w:vAlign w:val="center"/>
                </w:tcPr>
                <w:p w14:paraId="3167799C">
                  <w:pPr>
                    <w:spacing w:line="440" w:lineRule="exact"/>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妇幼楼中央空调机房</w:t>
                  </w:r>
                </w:p>
              </w:tc>
              <w:tc>
                <w:tcPr>
                  <w:tcW w:w="2345" w:type="dxa"/>
                  <w:vAlign w:val="center"/>
                </w:tcPr>
                <w:p w14:paraId="1B87FA19">
                  <w:pPr>
                    <w:numPr>
                      <w:ilvl w:val="0"/>
                      <w:numId w:val="0"/>
                    </w:numPr>
                    <w:jc w:val="center"/>
                    <w:rPr>
                      <w:rFonts w:hint="eastAsia" w:ascii="宋体" w:hAnsi="宋体"/>
                      <w:color w:val="auto"/>
                      <w:sz w:val="21"/>
                      <w:szCs w:val="21"/>
                      <w:highlight w:val="none"/>
                      <w:lang w:val="en-US" w:eastAsia="zh-CN"/>
                    </w:rPr>
                  </w:pPr>
                  <w:r>
                    <w:rPr>
                      <w:rFonts w:hint="eastAsia" w:ascii="宋体" w:hAnsi="宋体" w:cstheme="minorBidi"/>
                      <w:color w:val="auto"/>
                      <w:kern w:val="2"/>
                      <w:sz w:val="21"/>
                      <w:szCs w:val="21"/>
                      <w:lang w:val="en-US" w:eastAsia="zh-CN" w:bidi="ar-SA"/>
                    </w:rPr>
                    <w:t>1</w:t>
                  </w:r>
                  <w:r>
                    <w:rPr>
                      <w:rFonts w:hint="eastAsia" w:ascii="宋体" w:hAnsi="宋体" w:eastAsiaTheme="minorEastAsia" w:cstheme="minorBidi"/>
                      <w:color w:val="auto"/>
                      <w:kern w:val="2"/>
                      <w:sz w:val="21"/>
                      <w:szCs w:val="21"/>
                      <w:lang w:val="en-US" w:eastAsia="zh-CN" w:bidi="ar-SA"/>
                    </w:rPr>
                    <w:t>、</w:t>
                  </w:r>
                  <w:r>
                    <w:rPr>
                      <w:rFonts w:hint="eastAsia" w:ascii="宋体" w:hAnsi="宋体"/>
                      <w:color w:val="auto"/>
                      <w:sz w:val="21"/>
                      <w:szCs w:val="21"/>
                      <w:highlight w:val="none"/>
                      <w:lang w:val="en-US" w:eastAsia="zh-CN"/>
                    </w:rPr>
                    <w:t>补办出厂资料</w:t>
                  </w:r>
                </w:p>
                <w:p w14:paraId="5BC22D56">
                  <w:pPr>
                    <w:jc w:val="center"/>
                    <w:rPr>
                      <w:rFonts w:hint="default" w:eastAsiaTheme="minorEastAsia"/>
                      <w:color w:val="auto"/>
                      <w:sz w:val="21"/>
                      <w:szCs w:val="21"/>
                      <w:highlight w:val="none"/>
                      <w:lang w:val="en-US" w:eastAsia="zh-CN"/>
                    </w:rPr>
                  </w:pPr>
                  <w:r>
                    <w:rPr>
                      <w:rFonts w:hint="eastAsia" w:ascii="宋体" w:hAnsi="宋体"/>
                      <w:color w:val="auto"/>
                      <w:sz w:val="21"/>
                      <w:szCs w:val="21"/>
                      <w:highlight w:val="none"/>
                      <w:lang w:val="en-US" w:eastAsia="zh-CN"/>
                    </w:rPr>
                    <w:t>2、办理特种设备使用登记</w:t>
                  </w:r>
                </w:p>
              </w:tc>
              <w:tc>
                <w:tcPr>
                  <w:tcW w:w="568" w:type="dxa"/>
                  <w:vAlign w:val="center"/>
                </w:tcPr>
                <w:p w14:paraId="0F2F93F0">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3</w:t>
                  </w:r>
                </w:p>
              </w:tc>
              <w:tc>
                <w:tcPr>
                  <w:tcW w:w="546" w:type="dxa"/>
                  <w:vAlign w:val="center"/>
                </w:tcPr>
                <w:p w14:paraId="1B97CCCF">
                  <w:pPr>
                    <w:spacing w:line="440" w:lineRule="exact"/>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台</w:t>
                  </w:r>
                </w:p>
              </w:tc>
              <w:tc>
                <w:tcPr>
                  <w:tcW w:w="669" w:type="dxa"/>
                  <w:vAlign w:val="center"/>
                </w:tcPr>
                <w:p w14:paraId="31C78256">
                  <w:pPr>
                    <w:spacing w:line="440" w:lineRule="exact"/>
                    <w:jc w:val="center"/>
                    <w:rPr>
                      <w:rFonts w:ascii="宋体" w:hAnsi="宋体"/>
                      <w:color w:val="auto"/>
                      <w:sz w:val="21"/>
                      <w:szCs w:val="21"/>
                      <w:highlight w:val="none"/>
                    </w:rPr>
                  </w:pPr>
                </w:p>
              </w:tc>
            </w:tr>
            <w:tr w14:paraId="0FFC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vAlign w:val="center"/>
                </w:tcPr>
                <w:p w14:paraId="78610593">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5</w:t>
                  </w:r>
                </w:p>
              </w:tc>
              <w:tc>
                <w:tcPr>
                  <w:tcW w:w="1272" w:type="dxa"/>
                  <w:vAlign w:val="center"/>
                </w:tcPr>
                <w:p w14:paraId="0F1D89BF">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平衡罐</w:t>
                  </w:r>
                </w:p>
              </w:tc>
              <w:tc>
                <w:tcPr>
                  <w:tcW w:w="2169" w:type="dxa"/>
                  <w:vAlign w:val="center"/>
                </w:tcPr>
                <w:p w14:paraId="60A6A0E4">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妇幼楼氧气房</w:t>
                  </w:r>
                </w:p>
              </w:tc>
              <w:tc>
                <w:tcPr>
                  <w:tcW w:w="2345" w:type="dxa"/>
                  <w:vAlign w:val="center"/>
                </w:tcPr>
                <w:p w14:paraId="1B816F08">
                  <w:pPr>
                    <w:jc w:val="center"/>
                    <w:rPr>
                      <w:rFonts w:hint="default" w:eastAsiaTheme="minorEastAsia"/>
                      <w:color w:val="auto"/>
                      <w:sz w:val="21"/>
                      <w:szCs w:val="21"/>
                      <w:highlight w:val="none"/>
                      <w:lang w:val="en-US" w:eastAsia="zh-CN"/>
                    </w:rPr>
                  </w:pPr>
                  <w:r>
                    <w:rPr>
                      <w:rFonts w:hint="eastAsia"/>
                      <w:color w:val="auto"/>
                      <w:sz w:val="21"/>
                      <w:szCs w:val="21"/>
                      <w:highlight w:val="none"/>
                      <w:lang w:val="en-US" w:eastAsia="zh-CN"/>
                    </w:rPr>
                    <w:t>1、办理特种设备使用登记</w:t>
                  </w:r>
                </w:p>
              </w:tc>
              <w:tc>
                <w:tcPr>
                  <w:tcW w:w="568" w:type="dxa"/>
                  <w:vAlign w:val="center"/>
                </w:tcPr>
                <w:p w14:paraId="2128B6A0">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1</w:t>
                  </w:r>
                </w:p>
              </w:tc>
              <w:tc>
                <w:tcPr>
                  <w:tcW w:w="546" w:type="dxa"/>
                  <w:vAlign w:val="center"/>
                </w:tcPr>
                <w:p w14:paraId="0991A680">
                  <w:pPr>
                    <w:spacing w:line="440" w:lineRule="exact"/>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台</w:t>
                  </w:r>
                </w:p>
              </w:tc>
              <w:tc>
                <w:tcPr>
                  <w:tcW w:w="669" w:type="dxa"/>
                  <w:vAlign w:val="center"/>
                </w:tcPr>
                <w:p w14:paraId="5A54EF4C">
                  <w:pPr>
                    <w:spacing w:line="440" w:lineRule="exact"/>
                    <w:jc w:val="center"/>
                    <w:rPr>
                      <w:rFonts w:ascii="宋体" w:hAnsi="宋体"/>
                      <w:color w:val="auto"/>
                      <w:sz w:val="21"/>
                      <w:szCs w:val="21"/>
                      <w:highlight w:val="none"/>
                    </w:rPr>
                  </w:pPr>
                </w:p>
              </w:tc>
            </w:tr>
            <w:tr w14:paraId="27AA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3" w:type="dxa"/>
                  <w:vAlign w:val="center"/>
                </w:tcPr>
                <w:p w14:paraId="0CCFF1F7">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6</w:t>
                  </w:r>
                </w:p>
              </w:tc>
              <w:tc>
                <w:tcPr>
                  <w:tcW w:w="1272" w:type="dxa"/>
                  <w:vAlign w:val="center"/>
                </w:tcPr>
                <w:p w14:paraId="6D83E8FD">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分汽缸</w:t>
                  </w:r>
                </w:p>
              </w:tc>
              <w:tc>
                <w:tcPr>
                  <w:tcW w:w="2169" w:type="dxa"/>
                  <w:vAlign w:val="center"/>
                </w:tcPr>
                <w:p w14:paraId="1CA1CE73">
                  <w:pPr>
                    <w:spacing w:line="440" w:lineRule="exact"/>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妇幼楼中央空调机房</w:t>
                  </w:r>
                </w:p>
              </w:tc>
              <w:tc>
                <w:tcPr>
                  <w:tcW w:w="2345" w:type="dxa"/>
                  <w:vAlign w:val="center"/>
                </w:tcPr>
                <w:p w14:paraId="49CA9DF8">
                  <w:pPr>
                    <w:jc w:val="center"/>
                    <w:rPr>
                      <w:rFonts w:hint="default" w:eastAsiaTheme="minorEastAsia"/>
                      <w:color w:val="auto"/>
                      <w:sz w:val="21"/>
                      <w:szCs w:val="21"/>
                      <w:highlight w:val="none"/>
                      <w:lang w:val="en-US" w:eastAsia="zh-CN"/>
                    </w:rPr>
                  </w:pPr>
                  <w:r>
                    <w:rPr>
                      <w:rFonts w:hint="eastAsia"/>
                      <w:color w:val="auto"/>
                      <w:sz w:val="21"/>
                      <w:szCs w:val="21"/>
                      <w:highlight w:val="none"/>
                      <w:lang w:val="en-US" w:eastAsia="zh-CN"/>
                    </w:rPr>
                    <w:t>1、补办遗失的特种设备使用登记</w:t>
                  </w:r>
                </w:p>
              </w:tc>
              <w:tc>
                <w:tcPr>
                  <w:tcW w:w="568" w:type="dxa"/>
                  <w:vAlign w:val="center"/>
                </w:tcPr>
                <w:p w14:paraId="02A39628">
                  <w:pPr>
                    <w:spacing w:line="440" w:lineRule="exact"/>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1</w:t>
                  </w:r>
                </w:p>
              </w:tc>
              <w:tc>
                <w:tcPr>
                  <w:tcW w:w="546" w:type="dxa"/>
                  <w:vAlign w:val="center"/>
                </w:tcPr>
                <w:p w14:paraId="411941CF">
                  <w:pPr>
                    <w:spacing w:line="440" w:lineRule="exact"/>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台</w:t>
                  </w:r>
                </w:p>
              </w:tc>
              <w:tc>
                <w:tcPr>
                  <w:tcW w:w="669" w:type="dxa"/>
                  <w:vAlign w:val="center"/>
                </w:tcPr>
                <w:p w14:paraId="719D045A">
                  <w:pPr>
                    <w:spacing w:line="440" w:lineRule="exact"/>
                    <w:jc w:val="center"/>
                    <w:rPr>
                      <w:rFonts w:ascii="宋体" w:hAnsi="宋体"/>
                      <w:color w:val="auto"/>
                      <w:sz w:val="21"/>
                      <w:szCs w:val="21"/>
                      <w:highlight w:val="none"/>
                    </w:rPr>
                  </w:pPr>
                </w:p>
              </w:tc>
            </w:tr>
          </w:tbl>
          <w:p w14:paraId="63736BD1">
            <w:pPr>
              <w:spacing w:line="440" w:lineRule="exact"/>
              <w:ind w:firstLine="422" w:firstLineChars="200"/>
              <w:rPr>
                <w:rFonts w:hint="default" w:ascii="宋体" w:hAnsi="宋体" w:eastAsiaTheme="minorEastAsia"/>
                <w:b/>
                <w:bCs/>
                <w:color w:val="auto"/>
                <w:szCs w:val="21"/>
                <w:highlight w:val="none"/>
                <w:lang w:val="en-US" w:eastAsia="zh-CN"/>
              </w:rPr>
            </w:pPr>
            <w:bookmarkStart w:id="0" w:name="_GoBack"/>
            <w:bookmarkEnd w:id="0"/>
            <w:r>
              <w:rPr>
                <w:rFonts w:hint="eastAsia" w:ascii="宋体" w:hAnsi="宋体"/>
                <w:b/>
                <w:bCs/>
                <w:color w:val="auto"/>
                <w:szCs w:val="21"/>
                <w:highlight w:val="none"/>
                <w:lang w:val="en-US" w:eastAsia="zh-CN"/>
              </w:rPr>
              <w:t>有意向参与本项目的供应商，请于2026年9月18日17:00到达中山市小榄人民医院参与统一现场勘测，以便更好了解本项目需求。</w:t>
            </w:r>
          </w:p>
          <w:p w14:paraId="23EBDB20">
            <w:pPr>
              <w:spacing w:line="440" w:lineRule="exact"/>
              <w:rPr>
                <w:rFonts w:ascii="宋体" w:hAnsi="宋体"/>
                <w:b/>
                <w:bCs/>
                <w:color w:val="auto"/>
                <w:szCs w:val="21"/>
                <w:highlight w:val="none"/>
              </w:rPr>
            </w:pPr>
            <w:r>
              <w:rPr>
                <w:rFonts w:hint="eastAsia" w:ascii="宋体" w:hAnsi="宋体"/>
                <w:b/>
                <w:bCs/>
                <w:color w:val="auto"/>
                <w:szCs w:val="21"/>
                <w:highlight w:val="none"/>
              </w:rPr>
              <w:t>二、投标报价要求</w:t>
            </w:r>
          </w:p>
          <w:p w14:paraId="395ECB4B">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1、预算金额为：</w:t>
            </w:r>
            <w:r>
              <w:rPr>
                <w:rFonts w:hint="eastAsia" w:ascii="宋体" w:hAnsi="宋体"/>
                <w:color w:val="auto"/>
                <w:szCs w:val="21"/>
                <w:highlight w:val="none"/>
                <w:lang w:val="en-US" w:eastAsia="zh-CN"/>
              </w:rPr>
              <w:t>80200</w:t>
            </w:r>
            <w:r>
              <w:rPr>
                <w:rFonts w:hint="eastAsia" w:ascii="宋体" w:hAnsi="宋体"/>
                <w:color w:val="auto"/>
                <w:szCs w:val="21"/>
                <w:highlight w:val="none"/>
              </w:rPr>
              <w:t>元，低于（含等于）预算金额的为有效报价，否则为无效报价。</w:t>
            </w:r>
          </w:p>
          <w:p w14:paraId="282811CD">
            <w:pPr>
              <w:widowControl/>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2、本次响应报价应为人民币含税全包价，包括</w:t>
            </w:r>
            <w:r>
              <w:rPr>
                <w:rFonts w:hint="eastAsia" w:ascii="宋体" w:hAnsi="宋体"/>
                <w:color w:val="auto"/>
                <w:szCs w:val="21"/>
                <w:highlight w:val="none"/>
                <w:lang w:val="en-US" w:eastAsia="zh-CN"/>
              </w:rPr>
              <w:t>但不限于：出厂资料补办费、特种设备委托检验费、特种设备使用登记办证代理费、拆装费、</w:t>
            </w:r>
            <w:r>
              <w:rPr>
                <w:rFonts w:hint="eastAsia" w:ascii="宋体" w:hAnsi="宋体"/>
                <w:color w:val="auto"/>
                <w:szCs w:val="21"/>
                <w:highlight w:val="none"/>
              </w:rPr>
              <w:t>人工费、</w:t>
            </w:r>
            <w:r>
              <w:rPr>
                <w:rFonts w:hint="eastAsia" w:ascii="宋体" w:hAnsi="宋体"/>
                <w:color w:val="auto"/>
                <w:szCs w:val="21"/>
                <w:highlight w:val="none"/>
                <w:lang w:val="en-US" w:eastAsia="zh-CN"/>
              </w:rPr>
              <w:t>交通费、</w:t>
            </w:r>
            <w:r>
              <w:rPr>
                <w:rFonts w:hint="eastAsia" w:ascii="宋体" w:hAnsi="宋体"/>
                <w:color w:val="auto"/>
                <w:szCs w:val="21"/>
                <w:highlight w:val="none"/>
              </w:rPr>
              <w:t>税金及响应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商认为需要的其他</w:t>
            </w:r>
            <w:r>
              <w:rPr>
                <w:rFonts w:hint="eastAsia" w:ascii="宋体" w:hAnsi="宋体"/>
                <w:color w:val="auto"/>
                <w:szCs w:val="21"/>
                <w:highlight w:val="none"/>
                <w:lang w:val="en-US" w:eastAsia="zh-CN"/>
              </w:rPr>
              <w:t>一切</w:t>
            </w:r>
            <w:r>
              <w:rPr>
                <w:rFonts w:hint="eastAsia" w:ascii="宋体" w:hAnsi="宋体"/>
                <w:color w:val="auto"/>
                <w:szCs w:val="21"/>
                <w:highlight w:val="none"/>
              </w:rPr>
              <w:t>费用。采购人不再支付任何额外费用。</w:t>
            </w:r>
          </w:p>
          <w:p w14:paraId="318A12C9">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3、供应商单价报价中漏项、少报的费用，视为此项费用已隐含在投标报价中，成交供应商不得再向采购人收取任何费用。</w:t>
            </w:r>
          </w:p>
          <w:p w14:paraId="4AA83758">
            <w:pPr>
              <w:spacing w:line="440" w:lineRule="exact"/>
              <w:rPr>
                <w:rFonts w:ascii="宋体" w:hAnsi="宋体"/>
                <w:b/>
                <w:bCs/>
                <w:color w:val="auto"/>
                <w:szCs w:val="21"/>
                <w:highlight w:val="none"/>
              </w:rPr>
            </w:pPr>
            <w:r>
              <w:rPr>
                <w:rFonts w:hint="eastAsia" w:ascii="宋体" w:hAnsi="宋体"/>
                <w:b/>
                <w:bCs/>
                <w:color w:val="auto"/>
                <w:szCs w:val="21"/>
                <w:highlight w:val="none"/>
              </w:rPr>
              <w:t>三、资质要求</w:t>
            </w:r>
          </w:p>
          <w:p w14:paraId="2A312490">
            <w:pPr>
              <w:widowControl/>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商必须是具有独立承担民事责任能力的在中华人民共和国境内注册的企业法人或其他组织。</w:t>
            </w:r>
          </w:p>
          <w:p w14:paraId="1D0C2B30">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商务须具有有效的</w:t>
            </w:r>
            <w:r>
              <w:rPr>
                <w:rFonts w:hint="eastAsia" w:ascii="宋体" w:hAnsi="宋体"/>
                <w:color w:val="auto"/>
                <w:szCs w:val="21"/>
                <w:highlight w:val="none"/>
                <w:lang w:val="en-US" w:eastAsia="zh-CN"/>
              </w:rPr>
              <w:t>与特种设备有关经营范围的</w:t>
            </w:r>
            <w:r>
              <w:rPr>
                <w:rFonts w:hint="eastAsia" w:ascii="宋体" w:hAnsi="宋体"/>
                <w:color w:val="auto"/>
                <w:szCs w:val="21"/>
                <w:highlight w:val="none"/>
              </w:rPr>
              <w:t>营业执照。</w:t>
            </w:r>
          </w:p>
          <w:p w14:paraId="36C31184">
            <w:pPr>
              <w:widowControl/>
              <w:spacing w:line="360" w:lineRule="auto"/>
              <w:ind w:firstLine="420" w:firstLineChars="200"/>
              <w:jc w:val="left"/>
              <w:rPr>
                <w:rFonts w:hint="default" w:ascii="宋体" w:hAnsi="宋体" w:eastAsiaTheme="minorEastAsia"/>
                <w:color w:val="auto"/>
                <w:szCs w:val="21"/>
                <w:highlight w:val="none"/>
                <w:lang w:val="en-US" w:eastAsia="zh-CN"/>
              </w:rPr>
            </w:pPr>
            <w:r>
              <w:rPr>
                <w:rFonts w:hint="eastAsia" w:ascii="宋体" w:hAnsi="宋体"/>
                <w:color w:val="auto"/>
                <w:szCs w:val="21"/>
                <w:highlight w:val="none"/>
                <w:lang w:val="en-US" w:eastAsia="zh-CN"/>
              </w:rPr>
              <w:t>3、响应供应商具备压力容器设计、制造（含安装、修理、改造）资质，或与具备相应资质的第三方单位有稳定合作关系（须提供资质证书复印件或合作证明文件）。</w:t>
            </w:r>
          </w:p>
          <w:p w14:paraId="4E85F29B">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商应具有项目的承接能力、合同的履约能力、售后服务能力和良好的信誉。</w:t>
            </w:r>
          </w:p>
          <w:p w14:paraId="63467DEB">
            <w:pPr>
              <w:widowControl/>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5、具有良好的商业信誉和健全的财务会计制度。</w:t>
            </w:r>
          </w:p>
          <w:p w14:paraId="0A1686F9">
            <w:pPr>
              <w:widowControl/>
              <w:spacing w:line="360" w:lineRule="auto"/>
              <w:ind w:firstLine="420" w:firstLineChars="200"/>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6、有依法缴纳税收和社会保障资金的良好记录。</w:t>
            </w:r>
          </w:p>
          <w:p w14:paraId="62EC55A5">
            <w:pPr>
              <w:widowControl/>
              <w:numPr>
                <w:ilvl w:val="0"/>
                <w:numId w:val="0"/>
              </w:numPr>
              <w:shd w:val="clear" w:color="auto" w:fill="FFFFFF"/>
              <w:spacing w:after="0" w:line="360" w:lineRule="auto"/>
              <w:ind w:firstLine="420" w:firstLineChars="200"/>
              <w:jc w:val="left"/>
              <w:rPr>
                <w:rFonts w:hint="eastAsia" w:ascii="宋体" w:hAnsi="宋体" w:eastAsia="宋体" w:cs="宋体"/>
                <w:i w:val="0"/>
                <w:iCs w:val="0"/>
                <w:caps w:val="0"/>
                <w:color w:val="auto"/>
                <w:spacing w:val="0"/>
                <w:kern w:val="2"/>
                <w:sz w:val="21"/>
                <w:szCs w:val="21"/>
                <w:highlight w:val="none"/>
                <w:shd w:val="clear"/>
                <w:lang w:val="en-US" w:eastAsia="zh-CN" w:bidi="ar"/>
              </w:rPr>
            </w:pPr>
            <w:r>
              <w:rPr>
                <w:rFonts w:hint="eastAsia" w:ascii="宋体" w:hAnsi="宋体"/>
                <w:color w:val="auto"/>
                <w:szCs w:val="21"/>
                <w:highlight w:val="none"/>
                <w:lang w:val="en-US" w:eastAsia="zh-CN"/>
              </w:rPr>
              <w:t>7</w:t>
            </w:r>
            <w:r>
              <w:rPr>
                <w:rFonts w:hint="eastAsia" w:ascii="宋体" w:hAnsi="宋体"/>
                <w:color w:val="auto"/>
                <w:szCs w:val="21"/>
                <w:highlight w:val="none"/>
              </w:rPr>
              <w:t>、响应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w:t>
            </w:r>
            <w:r>
              <w:rPr>
                <w:rFonts w:hint="eastAsia" w:ascii="宋体" w:hAnsi="宋体" w:eastAsia="宋体" w:cs="宋体"/>
                <w:i w:val="0"/>
                <w:iCs w:val="0"/>
                <w:caps w:val="0"/>
                <w:color w:val="auto"/>
                <w:spacing w:val="0"/>
                <w:kern w:val="2"/>
                <w:sz w:val="21"/>
                <w:szCs w:val="21"/>
                <w:highlight w:val="none"/>
                <w:shd w:val="clear"/>
                <w:lang w:val="en-US" w:eastAsia="zh-CN" w:bidi="ar"/>
              </w:rPr>
              <w:t>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14:paraId="6ED82614">
            <w:pPr>
              <w:widowControl/>
              <w:spacing w:line="360" w:lineRule="auto"/>
              <w:ind w:firstLine="420" w:firstLineChars="200"/>
              <w:jc w:val="left"/>
              <w:rPr>
                <w:rFonts w:hint="eastAsia" w:ascii="宋体" w:hAnsi="宋体"/>
                <w:color w:val="auto"/>
                <w:szCs w:val="21"/>
                <w:highlight w:val="yellow"/>
              </w:rPr>
            </w:pPr>
            <w:r>
              <w:rPr>
                <w:rFonts w:hint="eastAsia" w:ascii="宋体" w:hAnsi="宋体"/>
                <w:color w:val="auto"/>
                <w:szCs w:val="21"/>
                <w:highlight w:val="none"/>
                <w:lang w:val="en-US" w:eastAsia="zh-CN"/>
              </w:rPr>
              <w:t>8</w:t>
            </w:r>
            <w:r>
              <w:rPr>
                <w:rFonts w:hint="eastAsia" w:ascii="宋体" w:hAnsi="宋体"/>
                <w:color w:val="auto"/>
                <w:szCs w:val="21"/>
                <w:highlight w:val="none"/>
              </w:rPr>
              <w:t>、单位负责人为同一人或者存在直接控股、管理关系的不同</w:t>
            </w:r>
            <w:r>
              <w:rPr>
                <w:rFonts w:hint="eastAsia" w:ascii="宋体" w:hAnsi="宋体"/>
                <w:color w:val="auto"/>
                <w:szCs w:val="21"/>
                <w:highlight w:val="none"/>
                <w:lang w:val="en-US" w:eastAsia="zh-CN"/>
              </w:rPr>
              <w:t>供应</w:t>
            </w:r>
            <w:r>
              <w:rPr>
                <w:rFonts w:hint="eastAsia" w:ascii="宋体" w:hAnsi="宋体"/>
                <w:color w:val="auto"/>
                <w:szCs w:val="21"/>
                <w:highlight w:val="none"/>
              </w:rPr>
              <w:t>商，不得参加同一合同项下的采购活动；响应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商须无围标、串标行为。</w:t>
            </w:r>
          </w:p>
          <w:p w14:paraId="712F7BC5">
            <w:pPr>
              <w:widowControl/>
              <w:spacing w:line="360" w:lineRule="auto"/>
              <w:jc w:val="left"/>
              <w:rPr>
                <w:rFonts w:hint="default" w:ascii="宋体" w:hAnsi="宋体"/>
                <w:b/>
                <w:bCs/>
                <w:color w:val="auto"/>
                <w:szCs w:val="21"/>
                <w:highlight w:val="none"/>
                <w:lang w:val="en-US"/>
              </w:rPr>
            </w:pPr>
            <w:r>
              <w:rPr>
                <w:rFonts w:hint="eastAsia" w:ascii="宋体" w:hAnsi="宋体"/>
                <w:b/>
                <w:bCs/>
                <w:color w:val="auto"/>
                <w:szCs w:val="21"/>
                <w:highlight w:val="none"/>
              </w:rPr>
              <w:t>四、</w:t>
            </w:r>
            <w:r>
              <w:rPr>
                <w:rFonts w:hint="eastAsia" w:ascii="宋体" w:hAnsi="宋体"/>
                <w:b/>
                <w:bCs/>
                <w:color w:val="auto"/>
                <w:szCs w:val="21"/>
                <w:highlight w:val="none"/>
                <w:lang w:val="en-US" w:eastAsia="zh-CN"/>
              </w:rPr>
              <w:t>项目服务期要求</w:t>
            </w:r>
          </w:p>
          <w:p w14:paraId="73022FFE">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自合同签订</w:t>
            </w:r>
            <w:r>
              <w:rPr>
                <w:rFonts w:hint="eastAsia" w:ascii="宋体" w:hAnsi="宋体"/>
                <w:color w:val="auto"/>
                <w:szCs w:val="21"/>
                <w:highlight w:val="none"/>
                <w:lang w:val="en-US" w:eastAsia="zh-CN"/>
              </w:rPr>
              <w:t>之日起60个日历天</w:t>
            </w:r>
            <w:r>
              <w:rPr>
                <w:rFonts w:hint="eastAsia" w:ascii="宋体" w:hAnsi="宋体"/>
                <w:color w:val="auto"/>
                <w:szCs w:val="21"/>
                <w:highlight w:val="none"/>
              </w:rPr>
              <w:t>内</w:t>
            </w:r>
            <w:r>
              <w:rPr>
                <w:rFonts w:hint="eastAsia" w:ascii="宋体" w:hAnsi="宋体"/>
                <w:color w:val="auto"/>
                <w:szCs w:val="21"/>
                <w:highlight w:val="none"/>
                <w:lang w:val="en-US" w:eastAsia="zh-CN"/>
              </w:rPr>
              <w:t>完成全部服务内容</w:t>
            </w:r>
            <w:r>
              <w:rPr>
                <w:rFonts w:hint="default" w:ascii="宋体" w:hAnsi="宋体"/>
                <w:color w:val="auto"/>
                <w:szCs w:val="21"/>
                <w:highlight w:val="none"/>
                <w:lang w:val="en-US" w:eastAsia="zh-CN"/>
              </w:rPr>
              <w:t>（该期限已包含特种设备委托检验机构出具检验报告所需的30个日历日）</w:t>
            </w:r>
            <w:r>
              <w:rPr>
                <w:rFonts w:hint="eastAsia" w:ascii="宋体" w:hAnsi="宋体"/>
                <w:color w:val="auto"/>
                <w:szCs w:val="21"/>
                <w:highlight w:val="none"/>
              </w:rPr>
              <w:t>，并取得</w:t>
            </w:r>
            <w:r>
              <w:rPr>
                <w:rFonts w:hint="eastAsia" w:ascii="宋体" w:hAnsi="宋体"/>
                <w:color w:val="auto"/>
                <w:szCs w:val="21"/>
                <w:highlight w:val="none"/>
                <w:lang w:val="en-US" w:eastAsia="zh-CN"/>
              </w:rPr>
              <w:t>全部有效</w:t>
            </w:r>
            <w:r>
              <w:rPr>
                <w:rFonts w:hint="eastAsia" w:ascii="宋体" w:hAnsi="宋体"/>
                <w:color w:val="auto"/>
                <w:szCs w:val="21"/>
                <w:highlight w:val="none"/>
              </w:rPr>
              <w:t>证书和报告。</w:t>
            </w:r>
          </w:p>
          <w:p w14:paraId="276FAB5E">
            <w:pPr>
              <w:widowControl/>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2、供应商应在合同签订后5个工作日内提交详细的服务实施方案及进度计划，经采购人确认后实施。</w:t>
            </w:r>
          </w:p>
          <w:p w14:paraId="0F88830F">
            <w:pPr>
              <w:widowControl/>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3、供应商应合理安排各环节工作，确保委托检验、资料补办、使用登记办理等工序衔接顺畅，不得因自身原因导致服务延误。</w:t>
            </w:r>
          </w:p>
          <w:p w14:paraId="18FBCF6E">
            <w:pPr>
              <w:widowControl/>
              <w:spacing w:line="360" w:lineRule="auto"/>
              <w:ind w:firstLine="420" w:firstLineChars="200"/>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4、如因不可抗力或采购人原因导致服务期延误的，经双方协商可适当顺延服务期，但供应商应在延误事由发生之日起 3 个工作日内书面告知采购人。允许顺延服务期的具体情形包括：</w:t>
            </w:r>
          </w:p>
          <w:p w14:paraId="26686794">
            <w:pPr>
              <w:widowControl/>
              <w:spacing w:line="360" w:lineRule="auto"/>
              <w:ind w:firstLine="420" w:firstLineChars="200"/>
              <w:jc w:val="left"/>
              <w:rPr>
                <w:rFonts w:hint="eastAsia" w:ascii="宋体" w:hAnsi="宋体"/>
                <w:color w:val="auto"/>
                <w:szCs w:val="21"/>
                <w:highlight w:val="none"/>
                <w:lang w:val="en-US" w:eastAsia="zh-CN"/>
              </w:rPr>
            </w:pPr>
            <w:r>
              <w:rPr>
                <w:rFonts w:hint="eastAsia" w:ascii="微软雅黑" w:hAnsi="微软雅黑" w:eastAsia="微软雅黑" w:cs="微软雅黑"/>
                <w:color w:val="auto"/>
                <w:szCs w:val="21"/>
                <w:highlight w:val="none"/>
                <w:lang w:val="en-US" w:eastAsia="zh-CN"/>
              </w:rPr>
              <w:t>①</w:t>
            </w:r>
            <w:r>
              <w:rPr>
                <w:rFonts w:hint="default" w:ascii="宋体" w:hAnsi="宋体"/>
                <w:color w:val="auto"/>
                <w:szCs w:val="21"/>
                <w:highlight w:val="none"/>
                <w:lang w:val="en-US" w:eastAsia="zh-CN"/>
              </w:rPr>
              <w:t>特种设备委托检验机构出具检验报告</w:t>
            </w:r>
            <w:r>
              <w:rPr>
                <w:rFonts w:hint="eastAsia" w:ascii="宋体" w:hAnsi="宋体"/>
                <w:color w:val="auto"/>
                <w:szCs w:val="21"/>
                <w:highlight w:val="none"/>
                <w:lang w:val="en-US" w:eastAsia="zh-CN"/>
              </w:rPr>
              <w:t>的实际用时超出30个日历天；</w:t>
            </w:r>
          </w:p>
          <w:p w14:paraId="14687793">
            <w:pPr>
              <w:widowControl/>
              <w:spacing w:line="360" w:lineRule="auto"/>
              <w:ind w:firstLine="420" w:firstLineChars="200"/>
              <w:jc w:val="left"/>
              <w:rPr>
                <w:rFonts w:hint="eastAsia" w:ascii="宋体" w:hAnsi="宋体"/>
                <w:color w:val="auto"/>
                <w:szCs w:val="21"/>
                <w:highlight w:val="none"/>
                <w:lang w:val="en-US" w:eastAsia="zh-CN"/>
              </w:rPr>
            </w:pPr>
            <w:r>
              <w:rPr>
                <w:rFonts w:hint="eastAsia" w:ascii="微软雅黑" w:hAnsi="微软雅黑" w:eastAsia="微软雅黑" w:cs="微软雅黑"/>
                <w:color w:val="auto"/>
                <w:szCs w:val="21"/>
                <w:highlight w:val="none"/>
                <w:lang w:val="en-US" w:eastAsia="zh-CN"/>
              </w:rPr>
              <w:t>②</w:t>
            </w:r>
            <w:r>
              <w:rPr>
                <w:rFonts w:hint="default" w:ascii="宋体" w:hAnsi="宋体"/>
                <w:color w:val="auto"/>
                <w:szCs w:val="21"/>
                <w:highlight w:val="none"/>
                <w:lang w:val="en-US" w:eastAsia="zh-CN"/>
              </w:rPr>
              <w:t>采购人未能及时提供办理使用登记证所需的授权文件、公章、主体资格证明等必要资料，或未能提供开展检验检测所需的现场条件、配合人员、水电、安全防护等必要条件，而导致的供应商无法正常作业的期间</w:t>
            </w:r>
            <w:r>
              <w:rPr>
                <w:rFonts w:hint="eastAsia" w:ascii="宋体" w:hAnsi="宋体"/>
                <w:color w:val="auto"/>
                <w:szCs w:val="21"/>
                <w:highlight w:val="none"/>
                <w:lang w:val="en-US" w:eastAsia="zh-CN"/>
              </w:rPr>
              <w:t>；</w:t>
            </w:r>
          </w:p>
          <w:p w14:paraId="394C3E66">
            <w:pPr>
              <w:widowControl/>
              <w:spacing w:line="360" w:lineRule="auto"/>
              <w:ind w:firstLine="420" w:firstLineChars="200"/>
              <w:jc w:val="left"/>
              <w:rPr>
                <w:rFonts w:hint="default" w:ascii="宋体" w:hAnsi="宋体"/>
                <w:color w:val="auto"/>
                <w:szCs w:val="21"/>
                <w:highlight w:val="none"/>
                <w:lang w:val="en-US" w:eastAsia="zh-CN"/>
              </w:rPr>
            </w:pPr>
            <w:r>
              <w:rPr>
                <w:rFonts w:hint="eastAsia" w:ascii="微软雅黑" w:hAnsi="微软雅黑" w:eastAsia="微软雅黑" w:cs="微软雅黑"/>
                <w:color w:val="auto"/>
                <w:szCs w:val="21"/>
                <w:highlight w:val="none"/>
                <w:lang w:val="en-US" w:eastAsia="zh-CN"/>
              </w:rPr>
              <w:t>③国家或地方政策调整、突发公共卫生事件、自然灾害等</w:t>
            </w:r>
            <w:r>
              <w:rPr>
                <w:rFonts w:hint="eastAsia" w:ascii="宋体" w:hAnsi="宋体"/>
                <w:color w:val="auto"/>
                <w:szCs w:val="21"/>
                <w:highlight w:val="none"/>
                <w:lang w:val="en-US" w:eastAsia="zh-CN"/>
              </w:rPr>
              <w:t>不可抗力因素。</w:t>
            </w:r>
          </w:p>
          <w:p w14:paraId="7BAEC5E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default" w:ascii="宋体" w:hAnsi="宋体"/>
                <w:b/>
                <w:bCs/>
                <w:color w:val="auto"/>
                <w:szCs w:val="21"/>
                <w:highlight w:val="none"/>
                <w:lang w:val="en-US" w:eastAsia="zh-CN"/>
              </w:rPr>
            </w:pPr>
            <w:r>
              <w:rPr>
                <w:rFonts w:hint="eastAsia" w:ascii="宋体" w:hAnsi="宋体"/>
                <w:b/>
                <w:bCs/>
                <w:color w:val="auto"/>
                <w:szCs w:val="21"/>
                <w:highlight w:val="none"/>
                <w:lang w:val="en-US" w:eastAsia="zh-CN"/>
              </w:rPr>
              <w:t>五、服务具体内容</w:t>
            </w:r>
          </w:p>
          <w:p w14:paraId="26BE4814">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（一）特种设备委托检验</w:t>
            </w:r>
          </w:p>
          <w:p w14:paraId="06A1ADD0">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1、供应商应委托具备相应资质的特种设备检验机构，前往采购人现场对相关压力容器进行委托检验。</w:t>
            </w:r>
          </w:p>
          <w:p w14:paraId="1715D628">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2、检验内容应符合《固定式压力容器安全技术监察规程》（TSG 21）及国家特种设备安全技术规范要求，包括但不限于：外观检查、壁厚测定、安全附件检查、耐压试验（如需要）等。</w:t>
            </w:r>
          </w:p>
          <w:p w14:paraId="3BB0570E">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3、检验完成后，取得合法有效的《特种设备委托检验报告》，改报告作为后续资料补办和使用登记办理的依据。</w:t>
            </w:r>
          </w:p>
          <w:p w14:paraId="5B3CA229">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（二）出厂资料补办</w:t>
            </w:r>
          </w:p>
          <w:p w14:paraId="65CF0E12">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1、供应商需根据现场检验结果、铭牌信息及采购人提供的可用资料，完整补齐产品质量证明文件（含产品合格证、产品数据表、质量证明书等）。</w:t>
            </w:r>
          </w:p>
          <w:p w14:paraId="05B16668">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2、补办的资料应内容完整、数据准确、格式规范，能够通过特种设备使用登记机关的审查，不得出现缺页、错漏或数据矛盾。</w:t>
            </w:r>
          </w:p>
          <w:p w14:paraId="38835675">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3、补办的资料应加盖出具单位公章，具备合法效力；涉及设计文件、计算书等需加盖相应资质印章的，应按规定办理。</w:t>
            </w:r>
          </w:p>
          <w:p w14:paraId="4431A85B">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（三）特种设备使用登记办理</w:t>
            </w:r>
          </w:p>
          <w:p w14:paraId="23069431">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1、供应商应携带全部所需申请材料，前往设备所在地市场监督管理局（或行政服务中心特种设备登记窗口）办理使用登记手续。</w:t>
            </w:r>
          </w:p>
          <w:p w14:paraId="667490DA">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2、针对尚未办理使用登记的设备（妇幼楼冷凝器、蒸发器及平衡罐），办理新设登记手续，领取《特种设备使用登记证》。</w:t>
            </w:r>
          </w:p>
          <w:p w14:paraId="564AA7C2">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3、针对使用登记证原件遗失的设备（综合楼分汽缸），办理补发手续，取得补发的《特种设备使用登记证》。</w:t>
            </w:r>
          </w:p>
          <w:p w14:paraId="26DAF40E">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4、供应商应主动跟踪办证进度，及时领取新的特种设备使用登记证并移交采购人，同时配合采购人完成后续档案归档工作。</w:t>
            </w:r>
          </w:p>
          <w:p w14:paraId="70524DC5">
            <w:pPr>
              <w:spacing w:line="440" w:lineRule="exact"/>
              <w:rPr>
                <w:rFonts w:ascii="宋体" w:hAnsi="宋体"/>
                <w:b/>
                <w:bCs/>
                <w:color w:val="auto"/>
                <w:szCs w:val="21"/>
                <w:highlight w:val="none"/>
              </w:rPr>
            </w:pPr>
            <w:r>
              <w:rPr>
                <w:rFonts w:hint="eastAsia" w:ascii="宋体" w:hAnsi="宋体"/>
                <w:b/>
                <w:bCs/>
                <w:color w:val="auto"/>
                <w:szCs w:val="21"/>
                <w:highlight w:val="none"/>
                <w:lang w:val="en-US" w:eastAsia="zh-CN"/>
              </w:rPr>
              <w:t>六</w:t>
            </w:r>
            <w:r>
              <w:rPr>
                <w:rFonts w:hint="eastAsia" w:ascii="宋体" w:hAnsi="宋体"/>
                <w:b/>
                <w:bCs/>
                <w:color w:val="auto"/>
                <w:szCs w:val="21"/>
                <w:highlight w:val="none"/>
              </w:rPr>
              <w:t>、</w:t>
            </w:r>
            <w:r>
              <w:rPr>
                <w:rFonts w:hint="eastAsia" w:ascii="宋体" w:hAnsi="宋体"/>
                <w:b/>
                <w:bCs/>
                <w:color w:val="auto"/>
                <w:szCs w:val="21"/>
                <w:highlight w:val="none"/>
                <w:lang w:val="en-US" w:eastAsia="zh-CN"/>
              </w:rPr>
              <w:t>项目总体</w:t>
            </w:r>
            <w:r>
              <w:rPr>
                <w:rFonts w:hint="eastAsia" w:ascii="宋体" w:hAnsi="宋体"/>
                <w:b/>
                <w:bCs/>
                <w:color w:val="auto"/>
                <w:szCs w:val="21"/>
                <w:highlight w:val="none"/>
              </w:rPr>
              <w:t>要求</w:t>
            </w:r>
          </w:p>
          <w:p w14:paraId="78ABC9CD">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1、本项目正式实施前，供应商须提交完整的实施方案及进度计划，经采购人书面确认后方可启动。</w:t>
            </w:r>
          </w:p>
          <w:p w14:paraId="6D1BE829">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成交供应商须委派一名项目负责人，该负责人应具备特种设备服务相关经验，熟悉各环节业务流程及行政审批要求，负责与采购人进行资料对接和进度汇报。【响应供应商需提供投入的项目负责人的项目经验资料，包括但不限于：从业时长、项目规模、现场图片、项目实施过程中等可公开的资料】</w:t>
            </w:r>
          </w:p>
          <w:p w14:paraId="0136C1F0">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3、对于本项目涉及的特种设备委托检验机构及出厂资料补办单位的资质，成交供应商应在合同签订后 5 个工作日内向采购人报备，并提供相关资质证明文件。未经采购人书面同意，供应商不得将本项目进行转包或违法分包。</w:t>
            </w:r>
          </w:p>
          <w:p w14:paraId="3B83E275">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4、成交供应商在项项目实施过程中，如涉及与外部单位（如检验机构、登记机关、原设备制造厂等）的沟通协调，供应商应自行负责解决，采购人仅提供必要的协助。</w:t>
            </w:r>
          </w:p>
          <w:p w14:paraId="7DA17E78">
            <w:pPr>
              <w:spacing w:line="440" w:lineRule="exact"/>
              <w:rPr>
                <w:rFonts w:hint="default" w:ascii="宋体" w:hAnsi="宋体" w:eastAsiaTheme="minorEastAsia"/>
                <w:b/>
                <w:bCs/>
                <w:color w:val="auto"/>
                <w:szCs w:val="21"/>
                <w:highlight w:val="none"/>
                <w:lang w:val="en-US" w:eastAsia="zh-CN"/>
              </w:rPr>
            </w:pPr>
            <w:r>
              <w:rPr>
                <w:rFonts w:hint="eastAsia" w:ascii="宋体" w:hAnsi="宋体"/>
                <w:b/>
                <w:bCs/>
                <w:color w:val="auto"/>
                <w:szCs w:val="21"/>
                <w:highlight w:val="none"/>
                <w:lang w:val="en-US" w:eastAsia="zh-CN"/>
              </w:rPr>
              <w:t>七</w:t>
            </w:r>
            <w:r>
              <w:rPr>
                <w:rFonts w:hint="eastAsia" w:ascii="宋体" w:hAnsi="宋体"/>
                <w:b/>
                <w:bCs/>
                <w:color w:val="auto"/>
                <w:szCs w:val="21"/>
                <w:highlight w:val="none"/>
              </w:rPr>
              <w:t>、验收</w:t>
            </w:r>
            <w:r>
              <w:rPr>
                <w:rFonts w:hint="eastAsia" w:ascii="宋体" w:hAnsi="宋体"/>
                <w:b/>
                <w:bCs/>
                <w:color w:val="auto"/>
                <w:szCs w:val="21"/>
                <w:highlight w:val="none"/>
                <w:lang w:val="en-US" w:eastAsia="zh-CN"/>
              </w:rPr>
              <w:t>标准与程序</w:t>
            </w:r>
          </w:p>
          <w:p w14:paraId="551A1B47">
            <w:pPr>
              <w:spacing w:line="440" w:lineRule="exact"/>
              <w:ind w:firstLine="420" w:firstLineChars="200"/>
              <w:rPr>
                <w:rFonts w:hint="eastAsia" w:ascii="宋体" w:hAnsi="宋体"/>
                <w:color w:val="auto"/>
                <w:szCs w:val="21"/>
                <w:highlight w:val="none"/>
                <w:lang w:val="en-US" w:eastAsia="zh-CN"/>
              </w:rPr>
            </w:pPr>
            <w:r>
              <w:rPr>
                <w:rFonts w:hint="eastAsia" w:ascii="宋体" w:hAnsi="宋体" w:eastAsia="宋体"/>
                <w:color w:val="auto"/>
                <w:szCs w:val="21"/>
                <w:highlight w:val="none"/>
              </w:rPr>
              <w:t>★</w:t>
            </w:r>
            <w:r>
              <w:rPr>
                <w:rFonts w:hint="eastAsia" w:ascii="宋体" w:hAnsi="宋体"/>
                <w:color w:val="auto"/>
                <w:szCs w:val="21"/>
                <w:highlight w:val="none"/>
              </w:rPr>
              <w:t>1、</w:t>
            </w:r>
            <w:r>
              <w:rPr>
                <w:rFonts w:hint="eastAsia" w:ascii="宋体" w:hAnsi="宋体"/>
                <w:color w:val="auto"/>
                <w:szCs w:val="21"/>
                <w:highlight w:val="none"/>
                <w:lang w:val="en-US" w:eastAsia="zh-CN"/>
              </w:rPr>
              <w:t>成果文件验收：供应商须提交以下全部成果文件，且内容合法、有效、完整：</w:t>
            </w:r>
          </w:p>
          <w:p w14:paraId="75007C12">
            <w:pPr>
              <w:spacing w:line="440" w:lineRule="exact"/>
              <w:ind w:firstLine="420" w:firstLineChars="200"/>
              <w:rPr>
                <w:rFonts w:hint="eastAsia" w:ascii="宋体" w:hAnsi="宋体" w:eastAsia="宋体"/>
                <w:color w:val="auto"/>
                <w:szCs w:val="21"/>
                <w:highlight w:val="none"/>
                <w:lang w:val="en-US" w:eastAsia="zh-CN"/>
              </w:rPr>
            </w:pPr>
            <w:r>
              <w:rPr>
                <w:rFonts w:hint="eastAsia" w:ascii="微软雅黑" w:hAnsi="微软雅黑" w:eastAsia="微软雅黑" w:cs="微软雅黑"/>
                <w:color w:val="auto"/>
                <w:szCs w:val="21"/>
                <w:highlight w:val="none"/>
                <w:lang w:val="en-US" w:eastAsia="zh-CN"/>
              </w:rPr>
              <w:t>①</w:t>
            </w:r>
            <w:r>
              <w:rPr>
                <w:rFonts w:hint="eastAsia" w:ascii="宋体" w:hAnsi="宋体" w:eastAsia="宋体"/>
                <w:color w:val="auto"/>
                <w:szCs w:val="21"/>
                <w:highlight w:val="none"/>
                <w:lang w:val="en-US" w:eastAsia="zh-CN"/>
              </w:rPr>
              <w:t>所有设备的产品质量证明文件（含产品合格证、产品数据表等）；</w:t>
            </w:r>
          </w:p>
          <w:p w14:paraId="549470D0">
            <w:pPr>
              <w:spacing w:line="440" w:lineRule="exact"/>
              <w:ind w:firstLine="420" w:firstLineChars="200"/>
              <w:rPr>
                <w:rFonts w:hint="eastAsia" w:ascii="宋体" w:hAnsi="宋体" w:eastAsia="宋体"/>
                <w:color w:val="auto"/>
                <w:szCs w:val="21"/>
                <w:highlight w:val="none"/>
                <w:lang w:val="en-US" w:eastAsia="zh-CN"/>
              </w:rPr>
            </w:pPr>
            <w:r>
              <w:rPr>
                <w:rFonts w:hint="eastAsia" w:ascii="微软雅黑" w:hAnsi="微软雅黑" w:eastAsia="微软雅黑" w:cs="微软雅黑"/>
                <w:color w:val="auto"/>
                <w:szCs w:val="21"/>
                <w:highlight w:val="none"/>
                <w:lang w:val="en-US" w:eastAsia="zh-CN"/>
              </w:rPr>
              <w:t>②</w:t>
            </w:r>
            <w:r>
              <w:rPr>
                <w:rFonts w:hint="eastAsia" w:ascii="宋体" w:hAnsi="宋体" w:eastAsia="宋体"/>
                <w:color w:val="auto"/>
                <w:szCs w:val="21"/>
                <w:highlight w:val="none"/>
                <w:lang w:val="en-US" w:eastAsia="zh-CN"/>
              </w:rPr>
              <w:t>所有设备（或需检验设备）的合法有效的《特种设备委托检验报告》；</w:t>
            </w:r>
          </w:p>
          <w:p w14:paraId="0DF0A0B2">
            <w:pPr>
              <w:spacing w:line="440" w:lineRule="exact"/>
              <w:ind w:firstLine="420" w:firstLineChars="200"/>
              <w:rPr>
                <w:rFonts w:hint="eastAsia" w:ascii="宋体" w:hAnsi="宋体" w:eastAsia="宋体"/>
                <w:color w:val="auto"/>
                <w:szCs w:val="21"/>
                <w:highlight w:val="none"/>
                <w:lang w:val="en-US" w:eastAsia="zh-CN"/>
              </w:rPr>
            </w:pPr>
            <w:r>
              <w:rPr>
                <w:rFonts w:hint="eastAsia" w:ascii="微软雅黑" w:hAnsi="微软雅黑" w:eastAsia="微软雅黑" w:cs="微软雅黑"/>
                <w:color w:val="auto"/>
                <w:szCs w:val="21"/>
                <w:highlight w:val="none"/>
                <w:lang w:val="en-US" w:eastAsia="zh-CN"/>
              </w:rPr>
              <w:t>③</w:t>
            </w:r>
            <w:r>
              <w:rPr>
                <w:rFonts w:hint="eastAsia" w:ascii="宋体" w:hAnsi="宋体" w:eastAsia="宋体"/>
                <w:color w:val="auto"/>
                <w:szCs w:val="21"/>
                <w:highlight w:val="none"/>
                <w:lang w:val="en-US" w:eastAsia="zh-CN"/>
              </w:rPr>
              <w:t>需办理使用登记的设备对应的《特种设备使用登记证》（新设或补发）。</w:t>
            </w:r>
          </w:p>
          <w:p w14:paraId="2647199E">
            <w:pPr>
              <w:spacing w:line="440" w:lineRule="exact"/>
              <w:ind w:firstLine="420" w:firstLineChars="200"/>
              <w:rPr>
                <w:rFonts w:hint="eastAsia" w:ascii="宋体" w:hAnsi="宋体" w:eastAsiaTheme="minorEastAsia"/>
                <w:color w:val="auto"/>
                <w:szCs w:val="21"/>
                <w:highlight w:val="none"/>
                <w:lang w:eastAsia="zh-CN"/>
              </w:rPr>
            </w:pPr>
            <w:r>
              <w:rPr>
                <w:rFonts w:hint="eastAsia" w:ascii="宋体" w:hAnsi="宋体" w:eastAsia="宋体"/>
                <w:color w:val="auto"/>
                <w:szCs w:val="21"/>
                <w:highlight w:val="none"/>
              </w:rPr>
              <w:t>★</w:t>
            </w:r>
            <w:r>
              <w:rPr>
                <w:rFonts w:hint="eastAsia" w:ascii="宋体" w:hAnsi="宋体"/>
                <w:color w:val="auto"/>
                <w:szCs w:val="21"/>
                <w:highlight w:val="none"/>
              </w:rPr>
              <w:t>2、补办的出厂资料内容应与设备铭牌信息及现场实际情况一致，数据准确，格式规范，能够通过登记机关存档审查。</w:t>
            </w:r>
          </w:p>
          <w:p w14:paraId="5B0598D5">
            <w:pPr>
              <w:numPr>
                <w:ilvl w:val="0"/>
                <w:numId w:val="0"/>
              </w:numPr>
              <w:spacing w:line="440" w:lineRule="exact"/>
              <w:ind w:firstLine="420" w:firstLineChars="200"/>
              <w:rPr>
                <w:rFonts w:hint="eastAsia" w:ascii="宋体" w:hAnsi="宋体"/>
                <w:color w:val="auto"/>
                <w:szCs w:val="21"/>
                <w:highlight w:val="none"/>
              </w:rPr>
            </w:pPr>
            <w:r>
              <w:rPr>
                <w:rFonts w:hint="eastAsia" w:ascii="宋体" w:hAnsi="宋体" w:eastAsiaTheme="minorEastAsia" w:cstheme="minorBidi"/>
                <w:color w:val="auto"/>
                <w:kern w:val="2"/>
                <w:sz w:val="21"/>
                <w:szCs w:val="21"/>
                <w:highlight w:val="none"/>
                <w:lang w:val="en-US" w:eastAsia="zh-CN" w:bidi="ar-SA"/>
              </w:rPr>
              <w:t>3、供应商在检验及作业过程中，对设备及现场环境造成的临时改动（如拆装、检测标记等）应恢复原状，并确保设备正常运行、现场清洁无遗留物。</w:t>
            </w:r>
          </w:p>
          <w:p w14:paraId="3D4AEA6C">
            <w:pPr>
              <w:spacing w:line="440" w:lineRule="exact"/>
              <w:rPr>
                <w:rFonts w:ascii="宋体" w:hAnsi="宋体"/>
                <w:b/>
                <w:bCs/>
                <w:color w:val="auto"/>
                <w:szCs w:val="21"/>
                <w:highlight w:val="none"/>
              </w:rPr>
            </w:pPr>
            <w:r>
              <w:rPr>
                <w:rFonts w:hint="eastAsia" w:ascii="宋体" w:hAnsi="宋体"/>
                <w:b/>
                <w:bCs/>
                <w:color w:val="auto"/>
                <w:szCs w:val="21"/>
                <w:highlight w:val="none"/>
                <w:lang w:val="en-US" w:eastAsia="zh-CN"/>
              </w:rPr>
              <w:t>八</w:t>
            </w:r>
            <w:r>
              <w:rPr>
                <w:rFonts w:hint="eastAsia" w:ascii="宋体" w:hAnsi="宋体"/>
                <w:b/>
                <w:bCs/>
                <w:color w:val="auto"/>
                <w:szCs w:val="21"/>
                <w:highlight w:val="none"/>
              </w:rPr>
              <w:t>、付款方式</w:t>
            </w:r>
          </w:p>
          <w:p w14:paraId="17DB33CC">
            <w:pPr>
              <w:spacing w:line="44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1、检验费用支付：采购人凭供应商提供的特种设备检验机构出具的正规检验缴费单（或发票），按照实际发生的检验费用据实支付给供应商（该费用已包含在合同总价中）。</w:t>
            </w:r>
          </w:p>
          <w:p w14:paraId="05B4EE0D">
            <w:pPr>
              <w:spacing w:line="440" w:lineRule="exact"/>
              <w:ind w:firstLine="420" w:firstLineChars="20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2、尾款支付：供应商完成全部服务内容、提交所有成果文件并经采购人验收合格后，采购人在 30 个工作日内支付合同剩余款项（即合同总金额扣除已支付检验费用后的余额）。</w:t>
            </w:r>
          </w:p>
          <w:p w14:paraId="7ED3F0FC">
            <w:pPr>
              <w:spacing w:line="440" w:lineRule="exact"/>
              <w:ind w:firstLine="420" w:firstLineChars="200"/>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3、发票要求：供应商每次申请付款前，均须向采购人提供等额合法有效的税务发票。</w:t>
            </w:r>
          </w:p>
          <w:p w14:paraId="550B0403">
            <w:pPr>
              <w:spacing w:line="440" w:lineRule="exact"/>
              <w:rPr>
                <w:rFonts w:hint="default" w:ascii="宋体" w:hAnsi="宋体" w:eastAsiaTheme="minorEastAsia"/>
                <w:b/>
                <w:bCs/>
                <w:color w:val="auto"/>
                <w:szCs w:val="21"/>
                <w:highlight w:val="none"/>
                <w:lang w:val="en-US" w:eastAsia="zh-CN"/>
              </w:rPr>
            </w:pPr>
            <w:r>
              <w:rPr>
                <w:rFonts w:hint="eastAsia" w:ascii="宋体" w:hAnsi="宋体"/>
                <w:b/>
                <w:bCs/>
                <w:color w:val="auto"/>
                <w:szCs w:val="21"/>
                <w:highlight w:val="none"/>
                <w:lang w:val="en-US" w:eastAsia="zh-CN"/>
              </w:rPr>
              <w:t>九、违约责任</w:t>
            </w:r>
          </w:p>
          <w:p w14:paraId="44524F7D">
            <w:pPr>
              <w:pStyle w:val="3"/>
              <w:keepNext w:val="0"/>
              <w:keepLines w:val="0"/>
              <w:pageBreakBefore w:val="0"/>
              <w:widowControl w:val="0"/>
              <w:tabs>
                <w:tab w:val="left" w:pos="848"/>
              </w:tabs>
              <w:kinsoku/>
              <w:wordWrap/>
              <w:overflowPunct/>
              <w:topLinePunct/>
              <w:autoSpaceDE/>
              <w:autoSpaceDN/>
              <w:bidi w:val="0"/>
              <w:adjustRightInd w:val="0"/>
              <w:spacing w:line="360" w:lineRule="auto"/>
              <w:ind w:left="0" w:firstLine="420" w:firstLineChars="200"/>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1、如因成交供应商原因所导致的一切安全事故、责任和后果，由成交供应商承担一切责任，采购人保留追究成交供应商法律责任及赔偿的权利。</w:t>
            </w:r>
          </w:p>
          <w:p w14:paraId="0025384B">
            <w:pPr>
              <w:keepNext w:val="0"/>
              <w:keepLines w:val="0"/>
              <w:pageBreakBefore w:val="0"/>
              <w:widowControl w:val="0"/>
              <w:kinsoku/>
              <w:wordWrap/>
              <w:overflowPunct/>
              <w:autoSpaceDE/>
              <w:autoSpaceDN/>
              <w:bidi w:val="0"/>
              <w:snapToGrid w:val="0"/>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2、成交供应商未按时完成项目，每延误一天按合同总额的5‰向采购人支付违约金，若延误超过30天，采购人有权终止合同，成交供应商应按照合同总金额的30%向采购人支付违约金，并由此引起的经济损失由成交供应商承担。</w:t>
            </w:r>
          </w:p>
          <w:p w14:paraId="564E7893">
            <w:pPr>
              <w:pStyle w:val="4"/>
              <w:keepNext w:val="0"/>
              <w:keepLines w:val="0"/>
              <w:pageBreakBefore w:val="0"/>
              <w:widowControl w:val="0"/>
              <w:tabs>
                <w:tab w:val="left" w:pos="540"/>
              </w:tabs>
              <w:kinsoku/>
              <w:wordWrap/>
              <w:overflowPunct/>
              <w:autoSpaceDE/>
              <w:autoSpaceDN/>
              <w:bidi w:val="0"/>
              <w:adjustRightInd w:val="0"/>
              <w:snapToGrid w:val="0"/>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3、对成交供应商不按规定履行义务，在服务中弄虚作假或严重不负责任的，或转包、分包本服务项目的，采购人有权终止合同。</w:t>
            </w:r>
          </w:p>
          <w:p w14:paraId="619378A1">
            <w:pPr>
              <w:keepNext w:val="0"/>
              <w:keepLines w:val="0"/>
              <w:pageBreakBefore w:val="0"/>
              <w:widowControl w:val="0"/>
              <w:kinsoku/>
              <w:wordWrap/>
              <w:overflowPunct/>
              <w:autoSpaceDE/>
              <w:autoSpaceDN/>
              <w:bidi w:val="0"/>
              <w:spacing w:line="360" w:lineRule="auto"/>
              <w:ind w:firstLine="420" w:firstLineChars="200"/>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4、成交供应商无故放弃成交资格的，向采购人支付成交价的5%的违约金。</w:t>
            </w:r>
          </w:p>
          <w:p w14:paraId="1CEE837B">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5、因供应商原因导致补办的资料有误、不完整或无效的，供应商应无条件负责更正，由此产生的费用由供应商承担。</w:t>
            </w:r>
          </w:p>
          <w:p w14:paraId="33DD158A">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6、因供应商原因导致使用登记未能成功办理的，供应商应继续履行义务直至完成，不另行收费。</w:t>
            </w:r>
          </w:p>
          <w:p w14:paraId="7BC31D48">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7、供应商在检验、拆装等作业过程中，因操作不当造成采购人财产损失或人员伤亡的，供应商应承担全部赔偿责任。</w:t>
            </w:r>
          </w:p>
          <w:p w14:paraId="16C69D99">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8、 因采购人原因导致项目延误的，工期相应顺延，采购人不承担违约责任。</w:t>
            </w:r>
          </w:p>
          <w:p w14:paraId="1EA464C3">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9、其它违约责任按《中华人民共和国民法典》处理。</w:t>
            </w:r>
          </w:p>
          <w:p w14:paraId="6B071C11">
            <w:pPr>
              <w:pStyle w:val="17"/>
              <w:keepNext w:val="0"/>
              <w:keepLines w:val="0"/>
              <w:pageBreakBefore w:val="0"/>
              <w:widowControl/>
              <w:kinsoku/>
              <w:wordWrap/>
              <w:overflowPunct/>
              <w:topLinePunct w:val="0"/>
              <w:autoSpaceDE/>
              <w:autoSpaceDN/>
              <w:bidi w:val="0"/>
              <w:spacing w:line="360" w:lineRule="auto"/>
              <w:jc w:val="left"/>
              <w:textAlignment w:val="auto"/>
              <w:rPr>
                <w:rFonts w:hint="eastAsia" w:ascii="宋体" w:hAnsi="宋体" w:eastAsia="宋体" w:cs="Times New Roman"/>
                <w:b/>
                <w:bCs/>
                <w:color w:val="auto"/>
                <w:kern w:val="2"/>
                <w:sz w:val="21"/>
                <w:szCs w:val="21"/>
                <w:highlight w:val="none"/>
                <w:lang w:val="en-US" w:eastAsia="zh-CN" w:bidi="ar-SA"/>
              </w:rPr>
            </w:pPr>
            <w:r>
              <w:rPr>
                <w:rFonts w:hint="eastAsia" w:ascii="宋体" w:hAnsi="宋体" w:eastAsia="宋体" w:cs="Times New Roman"/>
                <w:b/>
                <w:bCs/>
                <w:color w:val="auto"/>
                <w:kern w:val="2"/>
                <w:sz w:val="21"/>
                <w:szCs w:val="21"/>
                <w:highlight w:val="none"/>
                <w:lang w:val="en-US" w:eastAsia="zh-CN" w:bidi="ar-SA"/>
              </w:rPr>
              <w:t>十、其他事项</w:t>
            </w:r>
          </w:p>
          <w:p w14:paraId="4B302CC3">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1、成交供应商在服务过程中获知的采购人商业信息、技术资料、设备档案等，应严格保密，不得向任何第三方泄露，不得用于本项目以外的用途。保密义务在合同终止后仍然有效。</w:t>
            </w:r>
          </w:p>
          <w:p w14:paraId="7C9244D1">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2、成交供应商应遵守国家及地方有关特种设备安全管理的法律法规、技术规范及行政规章，确保服务全过程合法合规。</w:t>
            </w:r>
          </w:p>
          <w:p w14:paraId="0B974097">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3、成交供应商应以此项目为契机，协助采购人完善特种设备"一机一档"管理制度，将本次补充的资料及后续检验报告统一归入设备技术档案管理。</w:t>
            </w:r>
          </w:p>
          <w:p w14:paraId="72705E16">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4、供应商为本项目编制的工作方案、报告等文件成果，其知识产权归采购人所有，未经采购人书面同意，供应商不得用于其他项目。</w:t>
            </w:r>
          </w:p>
          <w:p w14:paraId="19D00AA4">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5、因本合同引起的或与本合同有关的任何争议，双方应首先友好协商解决；协商不成的，任何一方均可向采购人所在地有管辖权的人民法院提起诉讼。</w:t>
            </w:r>
          </w:p>
          <w:p w14:paraId="5BEA1C79">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6、本需求书未尽事宜，由双方在合同中另行约定。</w:t>
            </w:r>
          </w:p>
          <w:p w14:paraId="0651C114">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eastAsia="宋体" w:cs="Times New Roman"/>
                <w:b w:val="0"/>
                <w:bCs w:val="0"/>
                <w:color w:val="auto"/>
                <w:kern w:val="2"/>
                <w:sz w:val="21"/>
                <w:szCs w:val="21"/>
                <w:highlight w:val="none"/>
                <w:lang w:val="en-US" w:eastAsia="zh-CN" w:bidi="ar-SA"/>
              </w:rPr>
            </w:pPr>
            <w:r>
              <w:rPr>
                <w:rFonts w:hint="eastAsia" w:ascii="宋体" w:hAnsi="宋体" w:eastAsia="宋体" w:cs="Times New Roman"/>
                <w:b w:val="0"/>
                <w:bCs w:val="0"/>
                <w:color w:val="auto"/>
                <w:kern w:val="2"/>
                <w:sz w:val="21"/>
                <w:szCs w:val="21"/>
                <w:highlight w:val="none"/>
                <w:lang w:val="en-US" w:eastAsia="zh-CN" w:bidi="ar-SA"/>
              </w:rPr>
              <w:t>7、本需求书最终解释权归采购人所有。</w:t>
            </w:r>
          </w:p>
        </w:tc>
      </w:tr>
    </w:tbl>
    <w:p w14:paraId="384999C1">
      <w:pPr>
        <w:spacing w:line="440" w:lineRule="exact"/>
        <w:rPr>
          <w:rFonts w:ascii="黑体" w:hAnsi="黑体" w:eastAsia="黑体"/>
          <w:b/>
          <w:color w:val="000000" w:themeColor="text1"/>
          <w:sz w:val="44"/>
          <w:szCs w:val="44"/>
          <w14:textFill>
            <w14:solidFill>
              <w14:schemeClr w14:val="tx1"/>
            </w14:solidFill>
          </w14:textFill>
        </w:rPr>
      </w:pPr>
    </w:p>
    <w:sectPr>
      <w:headerReference r:id="rId4" w:type="first"/>
      <w:headerReference r:id="rId3" w:type="default"/>
      <w:pgSz w:w="11906" w:h="16838"/>
      <w:pgMar w:top="1440" w:right="1797" w:bottom="873" w:left="1797" w:header="851" w:footer="992" w:gutter="0"/>
      <w:pgBorders>
        <w:top w:val="none" w:sz="0" w:space="0"/>
        <w:left w:val="none" w:sz="0" w:space="0"/>
        <w:bottom w:val="none" w:sz="0" w:space="0"/>
        <w:right w:val="none" w:sz="0" w:space="0"/>
      </w:pgBorders>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4B41D">
    <w:pPr>
      <w:pStyle w:val="7"/>
    </w:pPr>
    <w:r>
      <w:rPr>
        <w:rFonts w:hint="eastAsia" w:ascii="黑体" w:hAnsi="黑体" w:eastAsia="黑体"/>
        <w:sz w:val="28"/>
        <w:szCs w:val="28"/>
        <w:u w:val="single"/>
      </w:rPr>
      <w:t>小榄人民医院采购需求书《B类》</w:t>
    </w:r>
  </w:p>
  <w:p w14:paraId="1F972A0B">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83FF1">
    <w:pPr>
      <w:pStyle w:val="7"/>
    </w:pPr>
    <w:r>
      <w:rPr>
        <w:rFonts w:hint="eastAsia" w:ascii="黑体" w:hAnsi="黑体" w:eastAsia="黑体"/>
        <w:sz w:val="28"/>
        <w:szCs w:val="28"/>
        <w:u w:val="single"/>
      </w:rPr>
      <w:t>小榄人民医院采购需求书《B类》</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NhN2FjMTIzOWMwMmUyMDUxYTM5YTAwMTlhYjYyYWQifQ=="/>
  </w:docVars>
  <w:rsids>
    <w:rsidRoot w:val="62D20299"/>
    <w:rsid w:val="00001A90"/>
    <w:rsid w:val="00005147"/>
    <w:rsid w:val="0003142D"/>
    <w:rsid w:val="000354A4"/>
    <w:rsid w:val="000535B0"/>
    <w:rsid w:val="00056719"/>
    <w:rsid w:val="00075637"/>
    <w:rsid w:val="000A41EB"/>
    <w:rsid w:val="000D2B79"/>
    <w:rsid w:val="000D4F36"/>
    <w:rsid w:val="000E0752"/>
    <w:rsid w:val="000F5986"/>
    <w:rsid w:val="00100822"/>
    <w:rsid w:val="00103399"/>
    <w:rsid w:val="00104771"/>
    <w:rsid w:val="001213D3"/>
    <w:rsid w:val="001255D9"/>
    <w:rsid w:val="0012618A"/>
    <w:rsid w:val="00133DFB"/>
    <w:rsid w:val="001455FB"/>
    <w:rsid w:val="00146204"/>
    <w:rsid w:val="00171134"/>
    <w:rsid w:val="00176A69"/>
    <w:rsid w:val="00182319"/>
    <w:rsid w:val="001A72D2"/>
    <w:rsid w:val="001B0961"/>
    <w:rsid w:val="001B206E"/>
    <w:rsid w:val="001C5501"/>
    <w:rsid w:val="001F6F3C"/>
    <w:rsid w:val="00204F13"/>
    <w:rsid w:val="00242798"/>
    <w:rsid w:val="002605DF"/>
    <w:rsid w:val="00264928"/>
    <w:rsid w:val="00266142"/>
    <w:rsid w:val="00274E64"/>
    <w:rsid w:val="002943CF"/>
    <w:rsid w:val="002A74B3"/>
    <w:rsid w:val="002B0267"/>
    <w:rsid w:val="002C4BC7"/>
    <w:rsid w:val="002C5795"/>
    <w:rsid w:val="002D5E50"/>
    <w:rsid w:val="002D7EBD"/>
    <w:rsid w:val="002F14DA"/>
    <w:rsid w:val="002F1D8D"/>
    <w:rsid w:val="002F4E03"/>
    <w:rsid w:val="00302DEF"/>
    <w:rsid w:val="00311469"/>
    <w:rsid w:val="0033063E"/>
    <w:rsid w:val="00337B92"/>
    <w:rsid w:val="003559B8"/>
    <w:rsid w:val="00357792"/>
    <w:rsid w:val="003624E3"/>
    <w:rsid w:val="003777BF"/>
    <w:rsid w:val="0038337F"/>
    <w:rsid w:val="003864BF"/>
    <w:rsid w:val="00391D51"/>
    <w:rsid w:val="00395879"/>
    <w:rsid w:val="003A3C15"/>
    <w:rsid w:val="003D0982"/>
    <w:rsid w:val="003E3ABD"/>
    <w:rsid w:val="003E598C"/>
    <w:rsid w:val="003F7358"/>
    <w:rsid w:val="004029A7"/>
    <w:rsid w:val="00414DE8"/>
    <w:rsid w:val="00422ED9"/>
    <w:rsid w:val="00426B86"/>
    <w:rsid w:val="00443A82"/>
    <w:rsid w:val="0047073F"/>
    <w:rsid w:val="0047407A"/>
    <w:rsid w:val="004B623B"/>
    <w:rsid w:val="004C7C6F"/>
    <w:rsid w:val="004D1D03"/>
    <w:rsid w:val="004D6FEF"/>
    <w:rsid w:val="004F664B"/>
    <w:rsid w:val="00503D56"/>
    <w:rsid w:val="0051069D"/>
    <w:rsid w:val="00524354"/>
    <w:rsid w:val="00533EAC"/>
    <w:rsid w:val="00535A2D"/>
    <w:rsid w:val="0053611E"/>
    <w:rsid w:val="00565534"/>
    <w:rsid w:val="00592C28"/>
    <w:rsid w:val="005A109E"/>
    <w:rsid w:val="005F6E9B"/>
    <w:rsid w:val="00600E1A"/>
    <w:rsid w:val="00607ACC"/>
    <w:rsid w:val="00614258"/>
    <w:rsid w:val="006206E4"/>
    <w:rsid w:val="00620AD2"/>
    <w:rsid w:val="0063522D"/>
    <w:rsid w:val="006751AD"/>
    <w:rsid w:val="00676823"/>
    <w:rsid w:val="006A2AF3"/>
    <w:rsid w:val="006B3EAD"/>
    <w:rsid w:val="006B70A0"/>
    <w:rsid w:val="006B71C9"/>
    <w:rsid w:val="006C22FC"/>
    <w:rsid w:val="006C54AE"/>
    <w:rsid w:val="006D09DE"/>
    <w:rsid w:val="006E1F61"/>
    <w:rsid w:val="006E51F2"/>
    <w:rsid w:val="006E6203"/>
    <w:rsid w:val="0070539B"/>
    <w:rsid w:val="007070F7"/>
    <w:rsid w:val="0072215F"/>
    <w:rsid w:val="00727A71"/>
    <w:rsid w:val="00755FFB"/>
    <w:rsid w:val="00757FB1"/>
    <w:rsid w:val="0076196C"/>
    <w:rsid w:val="00765AA9"/>
    <w:rsid w:val="007667DA"/>
    <w:rsid w:val="007A1166"/>
    <w:rsid w:val="007B284D"/>
    <w:rsid w:val="007B2CB5"/>
    <w:rsid w:val="007C57D0"/>
    <w:rsid w:val="007D257A"/>
    <w:rsid w:val="007D6D63"/>
    <w:rsid w:val="007E085C"/>
    <w:rsid w:val="007E401A"/>
    <w:rsid w:val="007F4D4C"/>
    <w:rsid w:val="00807037"/>
    <w:rsid w:val="00810BA7"/>
    <w:rsid w:val="00813FB5"/>
    <w:rsid w:val="00824AEA"/>
    <w:rsid w:val="00830A31"/>
    <w:rsid w:val="00833CFC"/>
    <w:rsid w:val="00841F5E"/>
    <w:rsid w:val="00846C6B"/>
    <w:rsid w:val="00892A8D"/>
    <w:rsid w:val="008936CE"/>
    <w:rsid w:val="008C3806"/>
    <w:rsid w:val="008D08E7"/>
    <w:rsid w:val="008D5C9A"/>
    <w:rsid w:val="008D5F17"/>
    <w:rsid w:val="008E3BF6"/>
    <w:rsid w:val="008E448D"/>
    <w:rsid w:val="008F3A42"/>
    <w:rsid w:val="008F4D02"/>
    <w:rsid w:val="0091162F"/>
    <w:rsid w:val="0092222B"/>
    <w:rsid w:val="00924EFA"/>
    <w:rsid w:val="009531BB"/>
    <w:rsid w:val="00966A5F"/>
    <w:rsid w:val="00975F6E"/>
    <w:rsid w:val="009779A2"/>
    <w:rsid w:val="00985FD4"/>
    <w:rsid w:val="009874B9"/>
    <w:rsid w:val="0099140E"/>
    <w:rsid w:val="009A05FD"/>
    <w:rsid w:val="009C5154"/>
    <w:rsid w:val="009D272C"/>
    <w:rsid w:val="009D4EF1"/>
    <w:rsid w:val="009F0CE5"/>
    <w:rsid w:val="00A03EA7"/>
    <w:rsid w:val="00A3332B"/>
    <w:rsid w:val="00A409A9"/>
    <w:rsid w:val="00A44A57"/>
    <w:rsid w:val="00A61868"/>
    <w:rsid w:val="00A707A6"/>
    <w:rsid w:val="00A8361D"/>
    <w:rsid w:val="00A87A2A"/>
    <w:rsid w:val="00A9618A"/>
    <w:rsid w:val="00AA063F"/>
    <w:rsid w:val="00AD074A"/>
    <w:rsid w:val="00AD353B"/>
    <w:rsid w:val="00AE6A97"/>
    <w:rsid w:val="00B0651E"/>
    <w:rsid w:val="00B16008"/>
    <w:rsid w:val="00B16E08"/>
    <w:rsid w:val="00B375A3"/>
    <w:rsid w:val="00B42129"/>
    <w:rsid w:val="00B76642"/>
    <w:rsid w:val="00B77686"/>
    <w:rsid w:val="00C1058B"/>
    <w:rsid w:val="00C23789"/>
    <w:rsid w:val="00C261BE"/>
    <w:rsid w:val="00C6702D"/>
    <w:rsid w:val="00C96BF6"/>
    <w:rsid w:val="00CA0710"/>
    <w:rsid w:val="00CB39A0"/>
    <w:rsid w:val="00CE7038"/>
    <w:rsid w:val="00D10244"/>
    <w:rsid w:val="00D227FB"/>
    <w:rsid w:val="00D447B2"/>
    <w:rsid w:val="00D532AF"/>
    <w:rsid w:val="00D54E76"/>
    <w:rsid w:val="00D81E13"/>
    <w:rsid w:val="00DA503E"/>
    <w:rsid w:val="00DA7AF9"/>
    <w:rsid w:val="00DB54F1"/>
    <w:rsid w:val="00DE1DC0"/>
    <w:rsid w:val="00E013D8"/>
    <w:rsid w:val="00E10EE7"/>
    <w:rsid w:val="00E329DA"/>
    <w:rsid w:val="00E6355B"/>
    <w:rsid w:val="00E704AA"/>
    <w:rsid w:val="00E73602"/>
    <w:rsid w:val="00E73B5E"/>
    <w:rsid w:val="00E745AA"/>
    <w:rsid w:val="00E75171"/>
    <w:rsid w:val="00E832A1"/>
    <w:rsid w:val="00E9064E"/>
    <w:rsid w:val="00EA4E46"/>
    <w:rsid w:val="00EB417D"/>
    <w:rsid w:val="00EB55EB"/>
    <w:rsid w:val="00ED6DAA"/>
    <w:rsid w:val="00F05B5B"/>
    <w:rsid w:val="00F05D90"/>
    <w:rsid w:val="00F106EC"/>
    <w:rsid w:val="00F611D5"/>
    <w:rsid w:val="00F616A2"/>
    <w:rsid w:val="00F65A47"/>
    <w:rsid w:val="00F70BB0"/>
    <w:rsid w:val="00F7247F"/>
    <w:rsid w:val="00F7492E"/>
    <w:rsid w:val="00F83CFA"/>
    <w:rsid w:val="00F94FD1"/>
    <w:rsid w:val="00FD057F"/>
    <w:rsid w:val="00FF13D1"/>
    <w:rsid w:val="017B45B5"/>
    <w:rsid w:val="018149ED"/>
    <w:rsid w:val="022078D8"/>
    <w:rsid w:val="03472BF2"/>
    <w:rsid w:val="05263337"/>
    <w:rsid w:val="0A6A0709"/>
    <w:rsid w:val="0DE43052"/>
    <w:rsid w:val="1BAF6547"/>
    <w:rsid w:val="1C3273E1"/>
    <w:rsid w:val="1E9125F9"/>
    <w:rsid w:val="212A5145"/>
    <w:rsid w:val="29EA3C4D"/>
    <w:rsid w:val="3071413F"/>
    <w:rsid w:val="3A7135F2"/>
    <w:rsid w:val="3A762831"/>
    <w:rsid w:val="3D954FB9"/>
    <w:rsid w:val="42E34584"/>
    <w:rsid w:val="43206755"/>
    <w:rsid w:val="44C35E6F"/>
    <w:rsid w:val="5A9771F4"/>
    <w:rsid w:val="5F367573"/>
    <w:rsid w:val="62D20299"/>
    <w:rsid w:val="635D3F98"/>
    <w:rsid w:val="637A4B45"/>
    <w:rsid w:val="68635390"/>
    <w:rsid w:val="6CB17DF5"/>
    <w:rsid w:val="6DD75DD2"/>
    <w:rsid w:val="7202077F"/>
    <w:rsid w:val="78DD6FB3"/>
    <w:rsid w:val="79BE0F4A"/>
    <w:rsid w:val="7A905722"/>
    <w:rsid w:val="7FBF61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0"/>
    <w:pPr>
      <w:jc w:val="left"/>
    </w:pPr>
  </w:style>
  <w:style w:type="paragraph" w:styleId="3">
    <w:name w:val="Body Text Indent"/>
    <w:basedOn w:val="1"/>
    <w:qFormat/>
    <w:uiPriority w:val="0"/>
    <w:pPr>
      <w:spacing w:line="560" w:lineRule="exact"/>
      <w:ind w:left="300"/>
    </w:pPr>
    <w:rPr>
      <w:rFonts w:ascii="Times New Roman" w:hAnsi="Times New Roman" w:eastAsia="宋体" w:cs="Times New Roman"/>
      <w:sz w:val="24"/>
    </w:rPr>
  </w:style>
  <w:style w:type="paragraph" w:styleId="4">
    <w:name w:val="Plain Text"/>
    <w:basedOn w:val="1"/>
    <w:qFormat/>
    <w:uiPriority w:val="0"/>
    <w:rPr>
      <w:rFonts w:ascii="宋体" w:hAnsi="Courier New" w:cs="Courier New"/>
      <w:kern w:val="0"/>
      <w:sz w:val="20"/>
      <w:szCs w:val="21"/>
    </w:rPr>
  </w:style>
  <w:style w:type="paragraph" w:styleId="5">
    <w:name w:val="Balloon Text"/>
    <w:basedOn w:val="1"/>
    <w:link w:val="14"/>
    <w:qFormat/>
    <w:uiPriority w:val="0"/>
    <w:rPr>
      <w:sz w:val="18"/>
      <w:szCs w:val="18"/>
    </w:rPr>
  </w:style>
  <w:style w:type="paragraph" w:styleId="6">
    <w:name w:val="footer"/>
    <w:basedOn w:val="1"/>
    <w:link w:val="13"/>
    <w:qFormat/>
    <w:uiPriority w:val="99"/>
    <w:pPr>
      <w:tabs>
        <w:tab w:val="center" w:pos="4153"/>
        <w:tab w:val="right" w:pos="8306"/>
      </w:tabs>
      <w:snapToGrid w:val="0"/>
      <w:jc w:val="left"/>
    </w:pPr>
    <w:rPr>
      <w:sz w:val="18"/>
    </w:rPr>
  </w:style>
  <w:style w:type="paragraph" w:styleId="7">
    <w:name w:val="header"/>
    <w:basedOn w:val="1"/>
    <w:link w:val="15"/>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basedOn w:val="10"/>
    <w:semiHidden/>
    <w:unhideWhenUsed/>
    <w:qFormat/>
    <w:uiPriority w:val="0"/>
    <w:rPr>
      <w:sz w:val="21"/>
      <w:szCs w:val="21"/>
    </w:rPr>
  </w:style>
  <w:style w:type="paragraph" w:customStyle="1" w:styleId="12">
    <w:name w:val="Body text|1"/>
    <w:basedOn w:val="1"/>
    <w:qFormat/>
    <w:uiPriority w:val="0"/>
    <w:pPr>
      <w:spacing w:line="422" w:lineRule="auto"/>
      <w:ind w:firstLine="360"/>
    </w:pPr>
    <w:rPr>
      <w:rFonts w:ascii="宋体" w:hAnsi="宋体" w:eastAsia="宋体" w:cs="宋体"/>
      <w:sz w:val="18"/>
      <w:szCs w:val="18"/>
      <w:lang w:val="zh-TW" w:eastAsia="zh-TW" w:bidi="zh-TW"/>
    </w:rPr>
  </w:style>
  <w:style w:type="character" w:customStyle="1" w:styleId="13">
    <w:name w:val="页脚 Char"/>
    <w:basedOn w:val="10"/>
    <w:link w:val="6"/>
    <w:qFormat/>
    <w:uiPriority w:val="99"/>
    <w:rPr>
      <w:kern w:val="2"/>
      <w:sz w:val="18"/>
      <w:szCs w:val="24"/>
    </w:rPr>
  </w:style>
  <w:style w:type="character" w:customStyle="1" w:styleId="14">
    <w:name w:val="批注框文本 Char"/>
    <w:basedOn w:val="10"/>
    <w:link w:val="5"/>
    <w:qFormat/>
    <w:uiPriority w:val="0"/>
    <w:rPr>
      <w:kern w:val="2"/>
      <w:sz w:val="18"/>
      <w:szCs w:val="18"/>
    </w:rPr>
  </w:style>
  <w:style w:type="character" w:customStyle="1" w:styleId="15">
    <w:name w:val="页眉 Char"/>
    <w:basedOn w:val="10"/>
    <w:link w:val="7"/>
    <w:qFormat/>
    <w:uiPriority w:val="99"/>
    <w:rPr>
      <w:kern w:val="2"/>
      <w:sz w:val="18"/>
      <w:szCs w:val="24"/>
    </w:rPr>
  </w:style>
  <w:style w:type="paragraph" w:styleId="16">
    <w:name w:val="List Paragraph"/>
    <w:basedOn w:val="1"/>
    <w:unhideWhenUsed/>
    <w:qFormat/>
    <w:uiPriority w:val="99"/>
    <w:pPr>
      <w:ind w:firstLine="420" w:firstLineChars="200"/>
    </w:p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A8898-B4E5-442D-8617-5ABBDAC39E0B}">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6</Pages>
  <Words>3680</Words>
  <Characters>3738</Characters>
  <Lines>3</Lines>
  <Paragraphs>5</Paragraphs>
  <TotalTime>6</TotalTime>
  <ScaleCrop>false</ScaleCrop>
  <LinksUpToDate>false</LinksUpToDate>
  <CharactersWithSpaces>3746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2023-05-26T07:14:00Z</dcterms:created>
  <dc:creator>采购部</dc:creator>
  <cp:lastModifiedBy>ZCB</cp:lastModifiedBy>
  <cp:lastPrinted>2023-05-26T07:23:00Z</cp:lastPrinted>
  <dcterms:modified xsi:type="dcterms:W3CDTF">2026-09-17T08:13:27Z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4D03E55102B449AD95F25937EE49DA71_13</vt:lpwstr>
  </property>
  <property fmtid="{D5CDD505-2E9C-101B-9397-08002B2CF9AE}" pid="4" name="KSOTemplateDocerSaveRecord">
    <vt:lpwstr>eyJoZGlkIjoiMmRhYTY3OGVhYWZmZmExY2IyMTMyNWE4MjA4ZWM1YmUiLCJ1c2VySWQiOiI3MDE0MTUyMzAifQ==</vt:lpwstr>
  </property>
</Properties>
</file>