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5C9159">
      <w:pPr>
        <w:keepNext w:val="0"/>
        <w:keepLines w:val="0"/>
        <w:pageBreakBefore w:val="0"/>
        <w:widowControl w:val="0"/>
        <w:kinsoku/>
        <w:wordWrap/>
        <w:overflowPunct/>
        <w:topLinePunct w:val="0"/>
        <w:autoSpaceDE/>
        <w:autoSpaceDN/>
        <w:bidi w:val="0"/>
        <w:adjustRightInd/>
        <w:snapToGrid/>
        <w:spacing w:line="340" w:lineRule="exact"/>
        <w:ind w:left="0"/>
        <w:jc w:val="center"/>
        <w:textAlignment w:val="auto"/>
        <w:rPr>
          <w:rFonts w:hint="eastAsia" w:ascii="宋体" w:hAnsi="宋体" w:eastAsia="宋体" w:cs="宋体"/>
          <w:b/>
          <w:sz w:val="32"/>
          <w:szCs w:val="32"/>
          <w:lang w:val="en-US" w:eastAsia="zh-CN"/>
        </w:rPr>
      </w:pPr>
      <w:bookmarkStart w:id="0" w:name="heading_3"/>
      <w:r>
        <w:rPr>
          <w:rFonts w:hint="eastAsia" w:ascii="宋体" w:hAnsi="宋体" w:eastAsia="宋体" w:cs="宋体"/>
          <w:b/>
          <w:sz w:val="32"/>
          <w:szCs w:val="32"/>
        </w:rPr>
        <w:t>中山市东升医院2026年度常年法律顾问服务</w:t>
      </w:r>
      <w:r>
        <w:rPr>
          <w:rFonts w:hint="eastAsia" w:ascii="宋体" w:hAnsi="宋体" w:eastAsia="宋体" w:cs="宋体"/>
          <w:b/>
          <w:sz w:val="32"/>
          <w:szCs w:val="32"/>
          <w:lang w:val="en-US" w:eastAsia="zh-CN"/>
        </w:rPr>
        <w:t>项目（二次）</w:t>
      </w:r>
    </w:p>
    <w:p w14:paraId="38D8233B">
      <w:pPr>
        <w:keepNext w:val="0"/>
        <w:keepLines w:val="0"/>
        <w:pageBreakBefore w:val="0"/>
        <w:widowControl w:val="0"/>
        <w:kinsoku/>
        <w:wordWrap/>
        <w:overflowPunct/>
        <w:topLinePunct w:val="0"/>
        <w:autoSpaceDE/>
        <w:autoSpaceDN/>
        <w:bidi w:val="0"/>
        <w:adjustRightInd/>
        <w:snapToGrid/>
        <w:spacing w:line="340" w:lineRule="exact"/>
        <w:ind w:left="0"/>
        <w:jc w:val="center"/>
        <w:textAlignment w:val="auto"/>
        <w:rPr>
          <w:rFonts w:hint="default" w:ascii="宋体" w:hAnsi="宋体" w:eastAsia="宋体" w:cs="宋体"/>
          <w:b/>
          <w:sz w:val="32"/>
          <w:szCs w:val="32"/>
          <w:lang w:val="en-US" w:eastAsia="zh-CN"/>
        </w:rPr>
      </w:pPr>
      <w:r>
        <w:rPr>
          <w:rFonts w:hint="eastAsia" w:ascii="宋体" w:hAnsi="宋体" w:eastAsia="宋体" w:cs="宋体"/>
          <w:b/>
          <w:sz w:val="32"/>
          <w:szCs w:val="32"/>
          <w:lang w:val="en-US" w:eastAsia="zh-CN"/>
        </w:rPr>
        <w:t>院内采购公告</w:t>
      </w:r>
    </w:p>
    <w:p w14:paraId="529D66EB">
      <w:pPr>
        <w:keepNext w:val="0"/>
        <w:keepLines w:val="0"/>
        <w:pageBreakBefore w:val="0"/>
        <w:widowControl w:val="0"/>
        <w:kinsoku/>
        <w:wordWrap/>
        <w:overflowPunct/>
        <w:topLinePunct w:val="0"/>
        <w:autoSpaceDE/>
        <w:autoSpaceDN/>
        <w:bidi w:val="0"/>
        <w:adjustRightInd/>
        <w:snapToGrid/>
        <w:spacing w:before="0" w:beforeLines="50" w:line="430" w:lineRule="exact"/>
        <w:ind w:left="0"/>
        <w:jc w:val="left"/>
        <w:textAlignment w:val="auto"/>
        <w:outlineLvl w:val="1"/>
        <w:rPr>
          <w:rFonts w:hint="eastAsia" w:ascii="宋体" w:hAnsi="宋体" w:eastAsia="宋体" w:cs="宋体"/>
          <w:sz w:val="24"/>
          <w:szCs w:val="24"/>
          <w:highlight w:val="none"/>
        </w:rPr>
      </w:pPr>
      <w:bookmarkStart w:id="1" w:name="heading_2"/>
      <w:r>
        <w:rPr>
          <w:rFonts w:hint="eastAsia" w:ascii="宋体" w:hAnsi="宋体" w:eastAsia="宋体" w:cs="宋体"/>
          <w:b/>
          <w:sz w:val="24"/>
          <w:szCs w:val="24"/>
          <w:highlight w:val="none"/>
          <w:lang w:val="en-US" w:eastAsia="zh-CN"/>
        </w:rPr>
        <w:t>一、</w:t>
      </w:r>
      <w:r>
        <w:rPr>
          <w:rFonts w:hint="eastAsia" w:ascii="宋体" w:hAnsi="宋体" w:eastAsia="宋体" w:cs="宋体"/>
          <w:b/>
          <w:sz w:val="24"/>
          <w:szCs w:val="24"/>
          <w:highlight w:val="none"/>
        </w:rPr>
        <w:t>项目概况</w:t>
      </w:r>
      <w:bookmarkEnd w:id="1"/>
    </w:p>
    <w:p w14:paraId="15F0E5A3">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 </w:t>
      </w:r>
      <w:r>
        <w:rPr>
          <w:rFonts w:hint="eastAsia" w:ascii="宋体" w:hAnsi="宋体" w:eastAsia="宋体" w:cs="宋体"/>
          <w:sz w:val="24"/>
          <w:szCs w:val="24"/>
          <w:highlight w:val="none"/>
        </w:rPr>
        <w:t>项目名称：中山市东升医院2026年度常年法律顾问服务项目</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二次）</w:t>
      </w:r>
    </w:p>
    <w:p w14:paraId="501CF371">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 项目编号：FW-YW-YW-2026076</w:t>
      </w:r>
    </w:p>
    <w:p w14:paraId="3E42F984">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 服务期限：</w:t>
      </w:r>
    </w:p>
    <w:p w14:paraId="486855CB">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b/>
          <w:bCs/>
          <w:sz w:val="24"/>
          <w:szCs w:val="24"/>
          <w:highlight w:val="none"/>
          <w:u w:val="single"/>
          <w:lang w:val="en-US" w:eastAsia="zh-CN"/>
        </w:rPr>
        <w:t>常年法律顾问基础服务</w:t>
      </w:r>
      <w:r>
        <w:rPr>
          <w:rFonts w:hint="eastAsia" w:ascii="宋体" w:hAnsi="宋体" w:eastAsia="宋体" w:cs="宋体"/>
          <w:sz w:val="24"/>
          <w:szCs w:val="24"/>
          <w:highlight w:val="none"/>
          <w:lang w:val="en-US" w:eastAsia="zh-CN"/>
        </w:rPr>
        <w:t>自合同签订生效之日起1年。</w:t>
      </w:r>
    </w:p>
    <w:p w14:paraId="0B8F4B43">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b/>
          <w:bCs/>
          <w:sz w:val="24"/>
          <w:szCs w:val="24"/>
          <w:highlight w:val="none"/>
          <w:u w:val="single"/>
          <w:lang w:val="en-US" w:eastAsia="zh-CN"/>
        </w:rPr>
        <w:t>专项法律服务</w:t>
      </w:r>
      <w:r>
        <w:rPr>
          <w:rFonts w:hint="eastAsia" w:ascii="宋体" w:hAnsi="宋体" w:eastAsia="宋体" w:cs="宋体"/>
          <w:sz w:val="24"/>
          <w:szCs w:val="24"/>
          <w:highlight w:val="none"/>
          <w:lang w:val="en-US" w:eastAsia="zh-CN"/>
        </w:rPr>
        <w:t>出现下列任一条件时，该项服务自动终止：</w:t>
      </w:r>
    </w:p>
    <w:p w14:paraId="28B419A9">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 服务期内采购金额累计达到本项目预算总金额；</w:t>
      </w:r>
    </w:p>
    <w:p w14:paraId="58FB1221">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 自合同签订生效之日起，服务期满一年；</w:t>
      </w:r>
    </w:p>
    <w:p w14:paraId="38F7A54E">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 剩余预算不足以采购清单内任一服务时，合同自动终止。</w:t>
      </w:r>
    </w:p>
    <w:p w14:paraId="0B70ED33">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 </w:t>
      </w:r>
      <w:r>
        <w:rPr>
          <w:rFonts w:hint="eastAsia" w:ascii="宋体" w:hAnsi="宋体" w:eastAsia="宋体" w:cs="宋体"/>
          <w:sz w:val="24"/>
          <w:szCs w:val="24"/>
          <w:highlight w:val="none"/>
        </w:rPr>
        <w:t>服务地点：中山市东升医院院内及相关业务延伸场地</w:t>
      </w:r>
    </w:p>
    <w:p w14:paraId="3777249F">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 服务内容</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本项目旨在通过采购专业法律服务机构提供的常年法律顾问服务，以规范医院内部运营管理，防范医疗及经营法律风险，妥善处理各类涉法事务，并开展普法宣传教育工作；如需诉讼、非诉讼专项法律服务，亦同步配套相应的专业服务支持。</w:t>
      </w:r>
    </w:p>
    <w:p w14:paraId="36C5F91D">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 项目预算：43000元(含税价)。</w:t>
      </w:r>
    </w:p>
    <w:p w14:paraId="20F2F665">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b/>
          <w:bCs/>
          <w:sz w:val="24"/>
          <w:szCs w:val="24"/>
          <w:highlight w:val="none"/>
          <w:u w:val="single"/>
          <w:lang w:val="en-US" w:eastAsia="zh-CN"/>
        </w:rPr>
        <w:t>常年法律顾问基础服务</w:t>
      </w:r>
      <w:r>
        <w:rPr>
          <w:rFonts w:hint="eastAsia" w:ascii="宋体" w:hAnsi="宋体" w:eastAsia="宋体" w:cs="宋体"/>
          <w:sz w:val="24"/>
          <w:szCs w:val="24"/>
          <w:highlight w:val="none"/>
          <w:lang w:val="en-US" w:eastAsia="zh-CN"/>
        </w:rPr>
        <w:t>含税总价上限为18000元/年。</w:t>
      </w:r>
    </w:p>
    <w:p w14:paraId="7E6F61EE">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b/>
          <w:bCs/>
          <w:sz w:val="24"/>
          <w:szCs w:val="24"/>
          <w:highlight w:val="none"/>
          <w:u w:val="single"/>
          <w:lang w:val="en-US" w:eastAsia="zh-CN"/>
        </w:rPr>
        <w:t>专项法律服务</w:t>
      </w:r>
      <w:r>
        <w:rPr>
          <w:rFonts w:hint="eastAsia" w:ascii="宋体" w:hAnsi="宋体" w:eastAsia="宋体" w:cs="宋体"/>
          <w:sz w:val="24"/>
          <w:szCs w:val="24"/>
          <w:highlight w:val="none"/>
          <w:lang w:val="en-US" w:eastAsia="zh-CN"/>
        </w:rPr>
        <w:t>：如诉讼代理、非诉讼专项法律服务等，参照关于印发《广东省物价局、司法厅律师服务收费管理实施办法》的通知粤价〔2006〕298号收费标准下浮率不低于25%结算，具体工作量、费用由双方另行签订专项服务协议约定。</w:t>
      </w:r>
      <w:bookmarkEnd w:id="0"/>
    </w:p>
    <w:p w14:paraId="60446AE3">
      <w:pPr>
        <w:keepNext w:val="0"/>
        <w:keepLines w:val="0"/>
        <w:pageBreakBefore w:val="0"/>
        <w:widowControl w:val="0"/>
        <w:kinsoku/>
        <w:wordWrap/>
        <w:overflowPunct/>
        <w:topLinePunct w:val="0"/>
        <w:autoSpaceDE/>
        <w:autoSpaceDN/>
        <w:bidi w:val="0"/>
        <w:adjustRightInd/>
        <w:snapToGrid/>
        <w:spacing w:line="43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 报价要求：</w:t>
      </w:r>
    </w:p>
    <w:p w14:paraId="2FA8D9E0">
      <w:pPr>
        <w:keepNext w:val="0"/>
        <w:keepLines w:val="0"/>
        <w:pageBreakBefore w:val="0"/>
        <w:widowControl w:val="0"/>
        <w:kinsoku/>
        <w:wordWrap/>
        <w:overflowPunct/>
        <w:topLinePunct w:val="0"/>
        <w:autoSpaceDE/>
        <w:autoSpaceDN/>
        <w:bidi w:val="0"/>
        <w:adjustRightInd/>
        <w:snapToGrid/>
        <w:spacing w:line="430" w:lineRule="exact"/>
        <w:textAlignment w:val="auto"/>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（1）</w:t>
      </w:r>
      <w:r>
        <w:rPr>
          <w:rFonts w:hint="eastAsia" w:ascii="宋体" w:hAnsi="宋体" w:eastAsia="宋体" w:cs="宋体"/>
          <w:b/>
          <w:bCs/>
          <w:sz w:val="24"/>
          <w:szCs w:val="24"/>
          <w:highlight w:val="none"/>
          <w:u w:val="single"/>
          <w:lang w:val="en-US" w:eastAsia="zh-CN"/>
        </w:rPr>
        <w:t>常年法律顾问基础服务</w:t>
      </w:r>
      <w:r>
        <w:rPr>
          <w:rFonts w:hint="eastAsia" w:ascii="宋体" w:hAnsi="宋体" w:eastAsia="宋体" w:cs="宋体"/>
          <w:b w:val="0"/>
          <w:bCs w:val="0"/>
          <w:sz w:val="24"/>
          <w:szCs w:val="24"/>
          <w:highlight w:val="none"/>
          <w:u w:val="none"/>
          <w:lang w:val="en-US" w:eastAsia="zh-CN"/>
        </w:rPr>
        <w:t>报价不得超过该项预算上限18000元（含税）。</w:t>
      </w:r>
    </w:p>
    <w:p w14:paraId="460697BD">
      <w:pPr>
        <w:keepNext w:val="0"/>
        <w:keepLines w:val="0"/>
        <w:pageBreakBefore w:val="0"/>
        <w:widowControl w:val="0"/>
        <w:kinsoku/>
        <w:wordWrap/>
        <w:overflowPunct/>
        <w:topLinePunct w:val="0"/>
        <w:autoSpaceDE/>
        <w:autoSpaceDN/>
        <w:bidi w:val="0"/>
        <w:adjustRightInd/>
        <w:snapToGrid/>
        <w:spacing w:line="430" w:lineRule="exact"/>
        <w:textAlignment w:val="auto"/>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（2）</w:t>
      </w:r>
      <w:r>
        <w:rPr>
          <w:rFonts w:hint="eastAsia" w:ascii="宋体" w:hAnsi="宋体" w:eastAsia="宋体" w:cs="宋体"/>
          <w:b/>
          <w:bCs/>
          <w:sz w:val="24"/>
          <w:szCs w:val="24"/>
          <w:highlight w:val="none"/>
          <w:u w:val="single"/>
          <w:lang w:val="en-US" w:eastAsia="zh-CN"/>
        </w:rPr>
        <w:t>专项法律服务</w:t>
      </w:r>
      <w:r>
        <w:rPr>
          <w:rFonts w:hint="eastAsia" w:ascii="宋体" w:hAnsi="宋体" w:eastAsia="宋体" w:cs="宋体"/>
          <w:b w:val="0"/>
          <w:bCs w:val="0"/>
          <w:sz w:val="24"/>
          <w:szCs w:val="24"/>
          <w:highlight w:val="none"/>
          <w:u w:val="none"/>
          <w:lang w:val="en-US" w:eastAsia="zh-CN"/>
        </w:rPr>
        <w:t>（含诉讼代理、非诉讼专项法律服务等）：以粤价〔2006〕298号文收费标准下浮率不低于25%结算，服务商填报的专项服务响应下浮率取值范围在25%-50%之间，含25%和50%。实际发生费用按照“粤价〔2006〕298 号文收费标准×(1-响应下浮率)”计算，累计达到本项目预算总金额时自动终止。具体工作量、服务内容及费用由双方另行签订专项服务协议约定。</w:t>
      </w:r>
    </w:p>
    <w:p w14:paraId="3082D763">
      <w:pPr>
        <w:keepNext w:val="0"/>
        <w:keepLines w:val="0"/>
        <w:pageBreakBefore w:val="0"/>
        <w:widowControl w:val="0"/>
        <w:kinsoku/>
        <w:wordWrap/>
        <w:overflowPunct/>
        <w:topLinePunct w:val="0"/>
        <w:autoSpaceDE/>
        <w:autoSpaceDN/>
        <w:bidi w:val="0"/>
        <w:adjustRightInd/>
        <w:snapToGrid/>
        <w:spacing w:line="430" w:lineRule="exact"/>
        <w:textAlignment w:val="auto"/>
        <w:rPr>
          <w:rFonts w:hint="default"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u w:val="none"/>
          <w:lang w:val="en-US" w:eastAsia="zh-CN"/>
        </w:rPr>
        <w:t>（3）报价文件格式详见附件三《响应文件模板》。</w:t>
      </w:r>
    </w:p>
    <w:p w14:paraId="43A8ACF6">
      <w:pPr>
        <w:keepNext w:val="0"/>
        <w:keepLines w:val="0"/>
        <w:pageBreakBefore w:val="0"/>
        <w:widowControl w:val="0"/>
        <w:kinsoku/>
        <w:wordWrap/>
        <w:overflowPunct/>
        <w:topLinePunct w:val="0"/>
        <w:autoSpaceDE/>
        <w:autoSpaceDN/>
        <w:bidi w:val="0"/>
        <w:adjustRightInd/>
        <w:snapToGrid/>
        <w:spacing w:before="0" w:beforeLines="50" w:line="430" w:lineRule="exact"/>
        <w:ind w:left="0"/>
        <w:jc w:val="left"/>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二</w:t>
      </w:r>
      <w:r>
        <w:rPr>
          <w:rFonts w:hint="eastAsia" w:ascii="宋体" w:hAnsi="宋体" w:eastAsia="宋体" w:cs="宋体"/>
          <w:b/>
          <w:sz w:val="24"/>
          <w:szCs w:val="24"/>
          <w:highlight w:val="none"/>
        </w:rPr>
        <w:t>、常年法律顾问基础服务核心服务内容</w:t>
      </w:r>
    </w:p>
    <w:p w14:paraId="44DD1909">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1"/>
        <w:rPr>
          <w:rFonts w:hint="eastAsia" w:ascii="宋体" w:hAnsi="宋体" w:eastAsia="宋体" w:cs="宋体"/>
          <w:sz w:val="24"/>
          <w:szCs w:val="24"/>
          <w:highlight w:val="none"/>
        </w:rPr>
      </w:pPr>
      <w:bookmarkStart w:id="2" w:name="heading_4"/>
      <w:r>
        <w:rPr>
          <w:rFonts w:hint="eastAsia" w:ascii="宋体" w:hAnsi="宋体" w:eastAsia="宋体" w:cs="宋体"/>
          <w:b/>
          <w:sz w:val="24"/>
          <w:szCs w:val="24"/>
          <w:highlight w:val="none"/>
        </w:rPr>
        <w:t>（一）日常法律事务服务</w:t>
      </w:r>
      <w:bookmarkEnd w:id="2"/>
    </w:p>
    <w:p w14:paraId="12047039">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全天候承接医院口头</w:t>
      </w:r>
      <w:r>
        <w:rPr>
          <w:rFonts w:hint="eastAsia" w:ascii="宋体" w:hAnsi="宋体" w:eastAsia="宋体" w:cs="宋体"/>
          <w:sz w:val="24"/>
          <w:szCs w:val="24"/>
          <w:highlight w:val="none"/>
          <w:lang w:eastAsia="zh-CN"/>
        </w:rPr>
        <w:t>及</w:t>
      </w:r>
      <w:r>
        <w:rPr>
          <w:rFonts w:hint="eastAsia" w:ascii="宋体" w:hAnsi="宋体" w:eastAsia="宋体" w:cs="宋体"/>
          <w:sz w:val="24"/>
          <w:szCs w:val="24"/>
          <w:highlight w:val="none"/>
        </w:rPr>
        <w:t>书面法律咨询，针对医疗纠纷、人事用工、对外合作、行政管理、招投标、医疗文书规范等各类</w:t>
      </w:r>
      <w:r>
        <w:rPr>
          <w:rFonts w:hint="eastAsia" w:ascii="宋体" w:hAnsi="宋体" w:eastAsia="宋体" w:cs="宋体"/>
          <w:sz w:val="24"/>
          <w:szCs w:val="24"/>
          <w:highlight w:val="none"/>
          <w:lang w:eastAsia="zh-CN"/>
        </w:rPr>
        <w:t>事项</w:t>
      </w:r>
      <w:r>
        <w:rPr>
          <w:rFonts w:hint="eastAsia" w:ascii="宋体" w:hAnsi="宋体" w:eastAsia="宋体" w:cs="宋体"/>
          <w:sz w:val="24"/>
          <w:szCs w:val="24"/>
          <w:highlight w:val="none"/>
        </w:rPr>
        <w:t>提供专业法律解答。</w:t>
      </w:r>
    </w:p>
    <w:p w14:paraId="3ABD03DE">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医院依法执业专项服务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配合医院开展依法执业风险监测、评估</w:t>
      </w:r>
      <w:r>
        <w:rPr>
          <w:rFonts w:hint="eastAsia" w:ascii="宋体" w:hAnsi="宋体" w:eastAsia="宋体" w:cs="宋体"/>
          <w:sz w:val="24"/>
          <w:szCs w:val="24"/>
          <w:highlight w:val="none"/>
          <w:lang w:eastAsia="zh-CN"/>
        </w:rPr>
        <w:t>及</w:t>
      </w:r>
      <w:r>
        <w:rPr>
          <w:rFonts w:hint="eastAsia" w:ascii="宋体" w:hAnsi="宋体" w:eastAsia="宋体" w:cs="宋体"/>
          <w:sz w:val="24"/>
          <w:szCs w:val="24"/>
          <w:highlight w:val="none"/>
        </w:rPr>
        <w:t>常态化防控；定期</w:t>
      </w:r>
      <w:r>
        <w:rPr>
          <w:rFonts w:hint="eastAsia" w:ascii="宋体" w:hAnsi="宋体" w:eastAsia="宋体" w:cs="宋体"/>
          <w:sz w:val="24"/>
          <w:szCs w:val="24"/>
          <w:highlight w:val="none"/>
          <w:lang w:eastAsia="zh-CN"/>
        </w:rPr>
        <w:t>组织</w:t>
      </w:r>
      <w:r>
        <w:rPr>
          <w:rFonts w:hint="eastAsia" w:ascii="宋体" w:hAnsi="宋体" w:eastAsia="宋体" w:cs="宋体"/>
          <w:sz w:val="24"/>
          <w:szCs w:val="24"/>
          <w:highlight w:val="none"/>
        </w:rPr>
        <w:t>全院全面合规自查，全年提供日常合规风险动态法律支撑，</w:t>
      </w:r>
      <w:r>
        <w:rPr>
          <w:rFonts w:hint="eastAsia" w:ascii="宋体" w:hAnsi="宋体" w:eastAsia="宋体" w:cs="宋体"/>
          <w:sz w:val="24"/>
          <w:szCs w:val="24"/>
          <w:highlight w:val="none"/>
          <w:lang w:eastAsia="zh-CN"/>
        </w:rPr>
        <w:t>并</w:t>
      </w:r>
      <w:r>
        <w:rPr>
          <w:rFonts w:hint="eastAsia" w:ascii="宋体" w:hAnsi="宋体" w:eastAsia="宋体" w:cs="宋体"/>
          <w:sz w:val="24"/>
          <w:szCs w:val="24"/>
          <w:highlight w:val="none"/>
        </w:rPr>
        <w:t>出具</w:t>
      </w:r>
      <w:r>
        <w:rPr>
          <w:rFonts w:hint="eastAsia" w:ascii="宋体" w:hAnsi="宋体" w:eastAsia="宋体" w:cs="宋体"/>
          <w:sz w:val="24"/>
          <w:szCs w:val="24"/>
          <w:highlight w:val="none"/>
          <w:lang w:eastAsia="zh-CN"/>
        </w:rPr>
        <w:t>相应的</w:t>
      </w:r>
      <w:r>
        <w:rPr>
          <w:rFonts w:hint="eastAsia" w:ascii="宋体" w:hAnsi="宋体" w:eastAsia="宋体" w:cs="宋体"/>
          <w:sz w:val="24"/>
          <w:szCs w:val="24"/>
          <w:highlight w:val="none"/>
        </w:rPr>
        <w:t>风险防控法律意见。</w:t>
      </w:r>
    </w:p>
    <w:p w14:paraId="32287E58">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lang w:val="en-US" w:eastAsia="zh-CN"/>
        </w:rPr>
        <w:t xml:space="preserve"> 医院制度合法性审查：依据现行法律法规及卫健部门规章，对医院新增内部制度进行合法性审查，并对过时、不适用之旧制度逐条出具修订或废止的专项法律建议。</w:t>
      </w:r>
    </w:p>
    <w:p w14:paraId="76B553DD">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重大事项、决策法律支持</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针对医院重大经营、诊疗、采购、合作</w:t>
      </w:r>
      <w:r>
        <w:rPr>
          <w:rFonts w:hint="eastAsia" w:ascii="宋体" w:hAnsi="宋体" w:eastAsia="宋体" w:cs="宋体"/>
          <w:sz w:val="24"/>
          <w:szCs w:val="24"/>
          <w:highlight w:val="none"/>
          <w:lang w:eastAsia="zh-CN"/>
        </w:rPr>
        <w:t>等</w:t>
      </w:r>
      <w:r>
        <w:rPr>
          <w:rFonts w:hint="eastAsia" w:ascii="宋体" w:hAnsi="宋体" w:eastAsia="宋体" w:cs="宋体"/>
          <w:sz w:val="24"/>
          <w:szCs w:val="24"/>
          <w:highlight w:val="none"/>
        </w:rPr>
        <w:t>事项，按需出具专项法律意见。</w:t>
      </w:r>
    </w:p>
    <w:p w14:paraId="2659104E">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合同、文件审核</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对工程建设、外包服务、设备采购、合作经营类合同</w:t>
      </w:r>
      <w:r>
        <w:rPr>
          <w:rFonts w:hint="eastAsia" w:ascii="宋体" w:hAnsi="宋体" w:eastAsia="宋体" w:cs="宋体"/>
          <w:sz w:val="24"/>
          <w:szCs w:val="24"/>
          <w:highlight w:val="none"/>
          <w:lang w:eastAsia="zh-CN"/>
        </w:rPr>
        <w:t>及</w:t>
      </w:r>
      <w:r>
        <w:rPr>
          <w:rFonts w:hint="eastAsia" w:ascii="宋体" w:hAnsi="宋体" w:eastAsia="宋体" w:cs="宋体"/>
          <w:sz w:val="24"/>
          <w:szCs w:val="24"/>
          <w:highlight w:val="none"/>
        </w:rPr>
        <w:t>招投标文件等高风险专业合同开展审查，逐条梳理履约、追责、合规风险，</w:t>
      </w:r>
      <w:r>
        <w:rPr>
          <w:rFonts w:hint="eastAsia" w:ascii="宋体" w:hAnsi="宋体" w:eastAsia="宋体" w:cs="宋体"/>
          <w:sz w:val="24"/>
          <w:szCs w:val="24"/>
          <w:highlight w:val="none"/>
          <w:lang w:eastAsia="zh-CN"/>
        </w:rPr>
        <w:t>并</w:t>
      </w:r>
      <w:r>
        <w:rPr>
          <w:rFonts w:hint="eastAsia" w:ascii="宋体" w:hAnsi="宋体" w:eastAsia="宋体" w:cs="宋体"/>
          <w:sz w:val="24"/>
          <w:szCs w:val="24"/>
          <w:highlight w:val="none"/>
        </w:rPr>
        <w:t>出具修改版本及风险提示。</w:t>
      </w:r>
    </w:p>
    <w:p w14:paraId="281879DA">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1"/>
        <w:rPr>
          <w:rFonts w:hint="eastAsia" w:ascii="宋体" w:hAnsi="宋体" w:eastAsia="宋体" w:cs="宋体"/>
          <w:sz w:val="24"/>
          <w:szCs w:val="24"/>
          <w:highlight w:val="none"/>
        </w:rPr>
      </w:pPr>
      <w:bookmarkStart w:id="3" w:name="heading_5"/>
      <w:r>
        <w:rPr>
          <w:rFonts w:hint="eastAsia" w:ascii="宋体" w:hAnsi="宋体" w:eastAsia="宋体" w:cs="宋体"/>
          <w:b/>
          <w:sz w:val="24"/>
          <w:szCs w:val="24"/>
          <w:highlight w:val="none"/>
        </w:rPr>
        <w:t>（二）函件、法律文书出具</w:t>
      </w:r>
      <w:bookmarkEnd w:id="3"/>
    </w:p>
    <w:p w14:paraId="3F52105C">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律师函：按需出具律师函，资料齐全后2个工作日内完成起草、修改；</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常规法律意见书：按需出具各类常规法律意见书，简单事项1个工作</w:t>
      </w:r>
      <w:r>
        <w:rPr>
          <w:rFonts w:hint="eastAsia" w:ascii="宋体" w:hAnsi="宋体" w:eastAsia="宋体" w:cs="宋体"/>
          <w:sz w:val="24"/>
          <w:szCs w:val="24"/>
          <w:highlight w:val="none"/>
          <w:lang w:eastAsia="zh-CN"/>
        </w:rPr>
        <w:t>日内</w:t>
      </w:r>
      <w:r>
        <w:rPr>
          <w:rFonts w:hint="eastAsia" w:ascii="宋体" w:hAnsi="宋体" w:eastAsia="宋体" w:cs="宋体"/>
          <w:sz w:val="24"/>
          <w:szCs w:val="24"/>
          <w:highlight w:val="none"/>
        </w:rPr>
        <w:t>答复，复杂疑难事项3-5个工作日出具完整书面意见。</w:t>
      </w:r>
    </w:p>
    <w:p w14:paraId="6FB1264C">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1"/>
        <w:rPr>
          <w:rFonts w:hint="eastAsia" w:ascii="宋体" w:hAnsi="宋体" w:eastAsia="宋体" w:cs="宋体"/>
          <w:sz w:val="24"/>
          <w:szCs w:val="24"/>
          <w:highlight w:val="none"/>
        </w:rPr>
      </w:pPr>
      <w:bookmarkStart w:id="4" w:name="heading_6"/>
      <w:r>
        <w:rPr>
          <w:rFonts w:hint="eastAsia" w:ascii="宋体" w:hAnsi="宋体" w:eastAsia="宋体" w:cs="宋体"/>
          <w:b/>
          <w:sz w:val="24"/>
          <w:szCs w:val="24"/>
          <w:highlight w:val="none"/>
        </w:rPr>
        <w:t>（三）</w:t>
      </w:r>
      <w:r>
        <w:rPr>
          <w:rFonts w:hint="eastAsia" w:ascii="宋体" w:hAnsi="宋体" w:eastAsia="宋体" w:cs="宋体"/>
          <w:b/>
          <w:sz w:val="24"/>
          <w:szCs w:val="24"/>
          <w:highlight w:val="none"/>
          <w:lang w:eastAsia="zh-CN"/>
        </w:rPr>
        <w:t>法治宣传</w:t>
      </w:r>
      <w:r>
        <w:rPr>
          <w:rFonts w:hint="eastAsia" w:ascii="宋体" w:hAnsi="宋体" w:eastAsia="宋体" w:cs="宋体"/>
          <w:b/>
          <w:sz w:val="24"/>
          <w:szCs w:val="24"/>
          <w:highlight w:val="none"/>
        </w:rPr>
        <w:t>与法律培训服务</w:t>
      </w:r>
      <w:bookmarkEnd w:id="4"/>
    </w:p>
    <w:p w14:paraId="72E7C0C4">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结合医疗卫生行业法律法规、典型医疗纠纷案例、医院现存及潜在法律风险定制普法内容，定期开展院内法律培训。</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定期组织全院职工法律法规线下普法讲座；</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按月产出图文普法宣传素材，结合医疗热点、既往医患纠纷以案释法；普法主题可根据医院需求定制，或配合国家法定法治宣传节点同步制作宣传资料。</w:t>
      </w:r>
    </w:p>
    <w:p w14:paraId="3B848161">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1"/>
        <w:rPr>
          <w:rFonts w:hint="eastAsia" w:ascii="宋体" w:hAnsi="宋体" w:eastAsia="宋体" w:cs="宋体"/>
          <w:sz w:val="24"/>
          <w:szCs w:val="24"/>
          <w:highlight w:val="none"/>
        </w:rPr>
      </w:pPr>
      <w:bookmarkStart w:id="5" w:name="heading_7"/>
      <w:r>
        <w:rPr>
          <w:rFonts w:hint="eastAsia" w:ascii="宋体" w:hAnsi="宋体" w:eastAsia="宋体" w:cs="宋体"/>
          <w:b/>
          <w:sz w:val="24"/>
          <w:szCs w:val="24"/>
          <w:highlight w:val="none"/>
        </w:rPr>
        <w:t>（四）医疗纠纷处置</w:t>
      </w:r>
      <w:bookmarkEnd w:id="5"/>
    </w:p>
    <w:p w14:paraId="4D6B3C27">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全年协助医院处置各类医患纠纷，提供调解、沟通法律意见，针对重大疑难纠纷出具专项书面处置方案。</w:t>
      </w:r>
    </w:p>
    <w:p w14:paraId="12316E76">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1"/>
        <w:rPr>
          <w:rFonts w:hint="eastAsia" w:ascii="宋体" w:hAnsi="宋体" w:eastAsia="宋体" w:cs="宋体"/>
          <w:sz w:val="24"/>
          <w:szCs w:val="24"/>
          <w:highlight w:val="none"/>
        </w:rPr>
      </w:pPr>
      <w:bookmarkStart w:id="6" w:name="heading_8"/>
      <w:r>
        <w:rPr>
          <w:rFonts w:hint="eastAsia" w:ascii="宋体" w:hAnsi="宋体" w:eastAsia="宋体" w:cs="宋体"/>
          <w:b/>
          <w:sz w:val="24"/>
          <w:szCs w:val="24"/>
          <w:highlight w:val="none"/>
        </w:rPr>
        <w:t>（五）应急及群体性事件处置服务</w:t>
      </w:r>
      <w:bookmarkEnd w:id="6"/>
    </w:p>
    <w:p w14:paraId="447019C4">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当医院发生医患冲突、突发涉法事件或群体维权事件时，服务机构须迅速到场处置，第一时间出具应急处置法律方案，现场进行法律法规解读，事后提交书面法律意见，并配合医院对接公安、卫健、司法等行政主管部门。</w:t>
      </w:r>
    </w:p>
    <w:p w14:paraId="64F3CB81">
      <w:pPr>
        <w:keepNext w:val="0"/>
        <w:keepLines w:val="0"/>
        <w:pageBreakBefore w:val="0"/>
        <w:widowControl w:val="0"/>
        <w:kinsoku/>
        <w:wordWrap/>
        <w:overflowPunct/>
        <w:topLinePunct w:val="0"/>
        <w:autoSpaceDE/>
        <w:autoSpaceDN/>
        <w:bidi w:val="0"/>
        <w:adjustRightInd/>
        <w:snapToGrid/>
        <w:spacing w:before="0" w:beforeLines="50" w:line="430" w:lineRule="exact"/>
        <w:ind w:left="0"/>
        <w:jc w:val="left"/>
        <w:textAlignment w:val="auto"/>
        <w:outlineLvl w:val="0"/>
        <w:rPr>
          <w:rFonts w:hint="eastAsia" w:ascii="宋体" w:hAnsi="宋体" w:eastAsia="宋体" w:cs="宋体"/>
          <w:sz w:val="24"/>
          <w:szCs w:val="24"/>
          <w:highlight w:val="none"/>
        </w:rPr>
      </w:pPr>
      <w:bookmarkStart w:id="7" w:name="heading_9"/>
      <w:r>
        <w:rPr>
          <w:rFonts w:hint="eastAsia" w:ascii="宋体" w:hAnsi="宋体" w:eastAsia="宋体" w:cs="宋体"/>
          <w:b/>
          <w:sz w:val="24"/>
          <w:szCs w:val="24"/>
          <w:highlight w:val="none"/>
          <w:lang w:val="en-US" w:eastAsia="zh-CN"/>
        </w:rPr>
        <w:t>三</w:t>
      </w:r>
      <w:r>
        <w:rPr>
          <w:rFonts w:hint="eastAsia" w:ascii="宋体" w:hAnsi="宋体" w:eastAsia="宋体" w:cs="宋体"/>
          <w:b/>
          <w:sz w:val="24"/>
          <w:szCs w:val="24"/>
          <w:highlight w:val="none"/>
        </w:rPr>
        <w:t>、专项法律服务</w:t>
      </w:r>
      <w:bookmarkEnd w:id="7"/>
    </w:p>
    <w:p w14:paraId="69B8DCEB">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除基础常年法律顾问服务外，医院可按需采购诉讼代理、非诉讼专项法律服务</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按照专项法律服务报价响应下浮率进行结算，具体工作量、费用由双方另行签订专项服务协议约定。</w:t>
      </w:r>
    </w:p>
    <w:p w14:paraId="1FD13607">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具体需求及费用计算如下：</w:t>
      </w:r>
    </w:p>
    <w:p w14:paraId="7D4FBA25">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1"/>
        <w:rPr>
          <w:rFonts w:hint="eastAsia" w:ascii="宋体" w:hAnsi="宋体" w:eastAsia="宋体" w:cs="宋体"/>
          <w:sz w:val="24"/>
          <w:szCs w:val="24"/>
          <w:highlight w:val="none"/>
        </w:rPr>
      </w:pPr>
      <w:bookmarkStart w:id="8" w:name="heading_10"/>
      <w:r>
        <w:rPr>
          <w:rFonts w:hint="eastAsia" w:ascii="宋体" w:hAnsi="宋体" w:eastAsia="宋体" w:cs="宋体"/>
          <w:b/>
          <w:sz w:val="24"/>
          <w:szCs w:val="24"/>
          <w:highlight w:val="none"/>
        </w:rPr>
        <w:t>（一）诉讼、仲裁案件代理服务</w:t>
      </w:r>
      <w:bookmarkEnd w:id="8"/>
    </w:p>
    <w:p w14:paraId="319324B1">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服务范围：医疗损害纠纷、劳动人事争议、合同纠纷、侵权纠纷、行政争议等全部一审、二审、再审、重审、执行案件全程代理。</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全流程工作要求：案件资料调取、证据固定、诉讼文书撰写、立案、出庭、调解、文书签收、强制执行、执行和解等全环节专人全程跟进。</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诉讼标的金额基础收费标准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（一审案件）</w:t>
      </w:r>
    </w:p>
    <w:p w14:paraId="79A65189">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5万元及以下5000元</w:t>
      </w:r>
    </w:p>
    <w:p w14:paraId="6C88D7CC">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5万-10万元（含10</w:t>
      </w:r>
      <w:r>
        <w:rPr>
          <w:rFonts w:hint="eastAsia" w:ascii="宋体" w:hAnsi="宋体" w:eastAsia="宋体" w:cs="宋体"/>
          <w:sz w:val="24"/>
          <w:szCs w:val="24"/>
          <w:highlight w:val="none"/>
          <w:lang w:eastAsia="zh-CN"/>
        </w:rPr>
        <w:t>万元</w:t>
      </w:r>
      <w:r>
        <w:rPr>
          <w:rFonts w:hint="eastAsia" w:ascii="宋体" w:hAnsi="宋体" w:eastAsia="宋体" w:cs="宋体"/>
          <w:sz w:val="24"/>
          <w:szCs w:val="24"/>
          <w:highlight w:val="none"/>
        </w:rPr>
        <w:t>）标的额8%</w:t>
      </w:r>
    </w:p>
    <w:p w14:paraId="522DB7E1">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10万-50万元（含50万）标的额5%</w:t>
      </w:r>
    </w:p>
    <w:p w14:paraId="2B252B52">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50万-100万元（含100万）标的额4%</w:t>
      </w:r>
    </w:p>
    <w:p w14:paraId="3B4237CE">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100万-500万元（含500万）标的额3%</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配套计费约定</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（1）基础折扣双重约定：常年法律顾问合作单位，</w:t>
      </w:r>
      <w:r>
        <w:rPr>
          <w:rFonts w:hint="eastAsia" w:ascii="宋体" w:hAnsi="宋体" w:eastAsia="宋体" w:cs="宋体"/>
          <w:sz w:val="24"/>
          <w:szCs w:val="24"/>
          <w:highlight w:val="none"/>
          <w:lang w:val="en-US" w:eastAsia="zh-CN"/>
        </w:rPr>
        <w:t>按照专项法律服务报价响应下浮率进行结算</w:t>
      </w:r>
      <w:r>
        <w:rPr>
          <w:rFonts w:hint="eastAsia" w:ascii="宋体" w:hAnsi="宋体" w:eastAsia="宋体" w:cs="宋体"/>
          <w:sz w:val="24"/>
          <w:szCs w:val="24"/>
          <w:highlight w:val="none"/>
        </w:rPr>
        <w:t>；</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（2）案件审理中变更诉讼请求的，以最终诉求总金额核算律师费；</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（3）二审、再审、发回重审程序律师费，按一审最终确认费用减半收取；</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（4）前往律师事务所</w:t>
      </w:r>
      <w:r>
        <w:rPr>
          <w:rFonts w:hint="eastAsia" w:ascii="宋体" w:hAnsi="宋体" w:eastAsia="宋体" w:cs="宋体"/>
          <w:sz w:val="24"/>
          <w:szCs w:val="24"/>
          <w:highlight w:val="none"/>
          <w:lang w:eastAsia="zh-CN"/>
        </w:rPr>
        <w:t>办公</w:t>
      </w:r>
      <w:r>
        <w:rPr>
          <w:rFonts w:hint="eastAsia" w:ascii="宋体" w:hAnsi="宋体" w:eastAsia="宋体" w:cs="宋体"/>
          <w:sz w:val="24"/>
          <w:szCs w:val="24"/>
          <w:highlight w:val="none"/>
        </w:rPr>
        <w:t>所在</w:t>
      </w:r>
      <w:r>
        <w:rPr>
          <w:rFonts w:hint="eastAsia" w:ascii="宋体" w:hAnsi="宋体" w:eastAsia="宋体" w:cs="宋体"/>
          <w:sz w:val="24"/>
          <w:szCs w:val="24"/>
          <w:highlight w:val="none"/>
          <w:lang w:eastAsia="zh-CN"/>
        </w:rPr>
        <w:t>城市</w:t>
      </w:r>
      <w:r>
        <w:rPr>
          <w:rFonts w:hint="eastAsia" w:ascii="宋体" w:hAnsi="宋体" w:eastAsia="宋体" w:cs="宋体"/>
          <w:sz w:val="24"/>
          <w:szCs w:val="24"/>
          <w:highlight w:val="none"/>
        </w:rPr>
        <w:t>以外地区办案产生的交通、食宿等差旅费用实报实销。</w:t>
      </w:r>
    </w:p>
    <w:p w14:paraId="4ADA665D">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1"/>
        <w:rPr>
          <w:rFonts w:hint="eastAsia" w:ascii="宋体" w:hAnsi="宋体" w:eastAsia="宋体" w:cs="宋体"/>
          <w:sz w:val="24"/>
          <w:szCs w:val="24"/>
          <w:highlight w:val="none"/>
        </w:rPr>
      </w:pPr>
      <w:bookmarkStart w:id="9" w:name="heading_11"/>
      <w:r>
        <w:rPr>
          <w:rFonts w:hint="eastAsia" w:ascii="宋体" w:hAnsi="宋体" w:eastAsia="宋体" w:cs="宋体"/>
          <w:b/>
          <w:sz w:val="24"/>
          <w:szCs w:val="24"/>
          <w:highlight w:val="none"/>
        </w:rPr>
        <w:t>（二）院内会议专项法律服务</w:t>
      </w:r>
      <w:bookmarkEnd w:id="9"/>
    </w:p>
    <w:p w14:paraId="11C399E7">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根据医院需求列席、参与病例研讨会议、伦理委员会会议、医患纠纷协调会、职工管理会议等各类院内工作会议，现场提供法律支撑；服务时长根据事项复杂程度、律师执业资历据实核算。</w:t>
      </w:r>
    </w:p>
    <w:p w14:paraId="7F34D3BD">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1"/>
        <w:rPr>
          <w:rFonts w:hint="eastAsia" w:ascii="宋体" w:hAnsi="宋体" w:eastAsia="宋体" w:cs="宋体"/>
          <w:sz w:val="24"/>
          <w:szCs w:val="24"/>
          <w:highlight w:val="none"/>
        </w:rPr>
      </w:pPr>
      <w:bookmarkStart w:id="10" w:name="heading_12"/>
      <w:r>
        <w:rPr>
          <w:rFonts w:hint="eastAsia" w:ascii="宋体" w:hAnsi="宋体" w:eastAsia="宋体" w:cs="宋体"/>
          <w:b/>
          <w:sz w:val="24"/>
          <w:szCs w:val="24"/>
          <w:highlight w:val="none"/>
        </w:rPr>
        <w:t>（三）其他非诉讼专项法律服务</w:t>
      </w:r>
      <w:bookmarkEnd w:id="10"/>
    </w:p>
    <w:p w14:paraId="09DD0CE7">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包含尽职调查、专项法律意见书、投融资合作、资质申报、专项谈判、合规整改评估、出具律师函等非诉讼专项业务，具体工作量、费用由双方另行签订专项服务协议约定。</w:t>
      </w:r>
    </w:p>
    <w:p w14:paraId="5423B1B8">
      <w:pPr>
        <w:keepNext w:val="0"/>
        <w:keepLines w:val="0"/>
        <w:pageBreakBefore w:val="0"/>
        <w:widowControl w:val="0"/>
        <w:kinsoku/>
        <w:wordWrap/>
        <w:overflowPunct/>
        <w:topLinePunct w:val="0"/>
        <w:autoSpaceDE/>
        <w:autoSpaceDN/>
        <w:bidi w:val="0"/>
        <w:adjustRightInd/>
        <w:snapToGrid/>
        <w:spacing w:before="0" w:beforeLines="50" w:line="430" w:lineRule="exact"/>
        <w:ind w:left="0"/>
        <w:jc w:val="left"/>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四</w:t>
      </w:r>
      <w:r>
        <w:rPr>
          <w:rFonts w:hint="eastAsia" w:ascii="宋体" w:hAnsi="宋体" w:eastAsia="宋体" w:cs="宋体"/>
          <w:b/>
          <w:sz w:val="24"/>
          <w:szCs w:val="24"/>
          <w:highlight w:val="none"/>
        </w:rPr>
        <w:t>、常年法律顾问基础年费要求</w:t>
      </w:r>
    </w:p>
    <w:p w14:paraId="2649C27B">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en-US" w:eastAsia="zh-CN"/>
        </w:rPr>
        <w:t xml:space="preserve"> </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报价包含全年基础法律顾问全部服务内容含税总价，报价上限1</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000元/年</w:t>
      </w:r>
      <w:r>
        <w:rPr>
          <w:rFonts w:hint="eastAsia" w:ascii="宋体" w:hAnsi="宋体" w:eastAsia="宋体" w:cs="宋体"/>
          <w:sz w:val="24"/>
          <w:szCs w:val="24"/>
          <w:highlight w:val="none"/>
          <w:lang w:eastAsia="zh-CN"/>
        </w:rPr>
        <w:t>。【</w:t>
      </w:r>
      <w:r>
        <w:rPr>
          <w:rFonts w:hint="eastAsia" w:ascii="宋体" w:hAnsi="宋体" w:eastAsia="宋体" w:cs="宋体"/>
          <w:b/>
          <w:sz w:val="24"/>
          <w:szCs w:val="24"/>
          <w:highlight w:val="none"/>
        </w:rPr>
        <w:t>若投标人投标报价超过本上限，按实质性条款负偏离处理，直接判定为无效投标，不进入后续评审环节。</w:t>
      </w:r>
      <w:r>
        <w:rPr>
          <w:rFonts w:hint="eastAsia" w:ascii="宋体" w:hAnsi="宋体" w:eastAsia="宋体" w:cs="宋体"/>
          <w:b/>
          <w:sz w:val="24"/>
          <w:szCs w:val="24"/>
          <w:highlight w:val="none"/>
          <w:lang w:eastAsia="zh-CN"/>
        </w:rPr>
        <w:t>】</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基础年费包含本需求书第</w:t>
      </w:r>
      <w:r>
        <w:rPr>
          <w:rFonts w:hint="eastAsia" w:ascii="宋体" w:hAnsi="宋体" w:eastAsia="宋体" w:cs="宋体"/>
          <w:sz w:val="24"/>
          <w:szCs w:val="24"/>
          <w:highlight w:val="none"/>
          <w:lang w:eastAsia="zh-CN"/>
        </w:rPr>
        <w:t>二点所列</w:t>
      </w:r>
      <w:r>
        <w:rPr>
          <w:rFonts w:hint="eastAsia" w:ascii="宋体" w:hAnsi="宋体" w:eastAsia="宋体" w:cs="宋体"/>
          <w:sz w:val="24"/>
          <w:szCs w:val="24"/>
          <w:highlight w:val="none"/>
        </w:rPr>
        <w:t>全部基础服务</w:t>
      </w:r>
      <w:r>
        <w:rPr>
          <w:rFonts w:hint="eastAsia" w:ascii="宋体" w:hAnsi="宋体" w:eastAsia="宋体" w:cs="宋体"/>
          <w:sz w:val="24"/>
          <w:szCs w:val="24"/>
          <w:highlight w:val="none"/>
          <w:lang w:eastAsia="zh-CN"/>
        </w:rPr>
        <w:t>费用，包括但不限于</w:t>
      </w:r>
      <w:r>
        <w:rPr>
          <w:rFonts w:hint="eastAsia" w:ascii="宋体" w:hAnsi="宋体" w:eastAsia="宋体" w:cs="宋体"/>
          <w:sz w:val="24"/>
          <w:szCs w:val="24"/>
          <w:highlight w:val="none"/>
        </w:rPr>
        <w:t>：日常法律咨询、全院依法执业自查、制度审查、重大事项法律支持、合同审核、律师函、常规法律意见书、年度普法讲座、月度普法素材、医疗纠纷处置、应急事件处置服务等全部基础工作</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基础年费不含以下费用：</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（1）诉讼、仲裁、专项非诉讼法律服务费用；</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（2）法院诉讼费、仲裁费、不动产查册费等行政事业性收费；</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（3）鉴定、评估、审计等第三方机构出具报告的服务费用；</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（4）服务机构前往律师事务所</w:t>
      </w:r>
      <w:r>
        <w:rPr>
          <w:rFonts w:hint="eastAsia" w:ascii="宋体" w:hAnsi="宋体" w:eastAsia="宋体" w:cs="宋体"/>
          <w:sz w:val="24"/>
          <w:szCs w:val="24"/>
          <w:highlight w:val="none"/>
          <w:lang w:eastAsia="zh-CN"/>
        </w:rPr>
        <w:t>办公</w:t>
      </w:r>
      <w:r>
        <w:rPr>
          <w:rFonts w:hint="eastAsia" w:ascii="宋体" w:hAnsi="宋体" w:eastAsia="宋体" w:cs="宋体"/>
          <w:sz w:val="24"/>
          <w:szCs w:val="24"/>
          <w:highlight w:val="none"/>
        </w:rPr>
        <w:t>所在</w:t>
      </w:r>
      <w:r>
        <w:rPr>
          <w:rFonts w:hint="eastAsia" w:ascii="宋体" w:hAnsi="宋体" w:eastAsia="宋体" w:cs="宋体"/>
          <w:sz w:val="24"/>
          <w:szCs w:val="24"/>
          <w:highlight w:val="none"/>
          <w:lang w:eastAsia="zh-CN"/>
        </w:rPr>
        <w:t>城市</w:t>
      </w:r>
      <w:r>
        <w:rPr>
          <w:rFonts w:hint="eastAsia" w:ascii="宋体" w:hAnsi="宋体" w:eastAsia="宋体" w:cs="宋体"/>
          <w:sz w:val="24"/>
          <w:szCs w:val="24"/>
          <w:highlight w:val="none"/>
        </w:rPr>
        <w:t>以外区域提供服务产生的交通费、住宿费、餐饮费、通讯费等差旅费，该类费用据实由医院承担。</w:t>
      </w:r>
    </w:p>
    <w:p w14:paraId="61001B80">
      <w:pPr>
        <w:keepNext w:val="0"/>
        <w:keepLines w:val="0"/>
        <w:pageBreakBefore w:val="0"/>
        <w:widowControl w:val="0"/>
        <w:kinsoku/>
        <w:wordWrap/>
        <w:overflowPunct/>
        <w:topLinePunct w:val="0"/>
        <w:autoSpaceDE/>
        <w:autoSpaceDN/>
        <w:bidi w:val="0"/>
        <w:adjustRightInd/>
        <w:snapToGrid/>
        <w:spacing w:before="0" w:beforeLines="50" w:line="430" w:lineRule="exact"/>
        <w:ind w:left="0"/>
        <w:jc w:val="left"/>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五</w:t>
      </w:r>
      <w:r>
        <w:rPr>
          <w:rFonts w:hint="eastAsia" w:ascii="宋体" w:hAnsi="宋体" w:eastAsia="宋体" w:cs="宋体"/>
          <w:b/>
          <w:sz w:val="24"/>
          <w:szCs w:val="24"/>
          <w:highlight w:val="none"/>
        </w:rPr>
        <w:t>、服务商服务能力与保障要求</w:t>
      </w:r>
    </w:p>
    <w:p w14:paraId="790245B2">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一）</w:t>
      </w:r>
      <w:r>
        <w:rPr>
          <w:rFonts w:hint="eastAsia" w:ascii="宋体" w:hAnsi="宋体" w:eastAsia="宋体" w:cs="宋体"/>
          <w:b/>
          <w:sz w:val="24"/>
          <w:szCs w:val="24"/>
          <w:highlight w:val="none"/>
        </w:rPr>
        <w:t>★人员团队配置要求</w:t>
      </w:r>
    </w:p>
    <w:p w14:paraId="3B3DC4DA">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服务商须组建专属医院法律服务固定团队，团队内包含主办律师、辅助律师及律师助理，团队成员具备医疗卫生法律相关从业经验；主办律师具备3年以上医疗卫生行业法律服务经验。建立人员临时替补机制，保障法律服务不间断；实行包案责任制：所有诉讼、专项非诉讼业务确定承办律师后，无重大特殊情况或医院书面要求不得更换，承办律师对案件全流程质量全权负责。</w:t>
      </w:r>
      <w:r>
        <w:rPr>
          <w:rFonts w:hint="eastAsia" w:ascii="宋体" w:hAnsi="宋体" w:eastAsia="宋体" w:cs="宋体"/>
          <w:sz w:val="24"/>
          <w:szCs w:val="24"/>
          <w:highlight w:val="none"/>
          <w:lang w:eastAsia="zh-CN"/>
        </w:rPr>
        <w:t>【</w:t>
      </w:r>
      <w:r>
        <w:rPr>
          <w:rFonts w:hint="eastAsia" w:ascii="宋体" w:hAnsi="宋体" w:eastAsia="宋体" w:cs="宋体"/>
          <w:b/>
          <w:sz w:val="24"/>
          <w:szCs w:val="24"/>
          <w:highlight w:val="none"/>
        </w:rPr>
        <w:t>投标人须出具加盖投标人公章的《年度法律服务履约承诺函》，足额承诺完成制度审查、合同审核、普法、纠纷处置以及附件1清单所列全部服务工作；无法提供该加盖公章承诺函或未承诺完成全部服务内容的，按实质性条款负偏离处理，直接判定为无效投标，不进入后续评审环节。</w:t>
      </w:r>
      <w:r>
        <w:rPr>
          <w:rFonts w:hint="eastAsia" w:ascii="宋体" w:hAnsi="宋体" w:eastAsia="宋体" w:cs="宋体"/>
          <w:b/>
          <w:sz w:val="24"/>
          <w:szCs w:val="24"/>
          <w:highlight w:val="none"/>
          <w:lang w:eastAsia="zh-CN"/>
        </w:rPr>
        <w:t>】</w:t>
      </w:r>
    </w:p>
    <w:p w14:paraId="26454D3B">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二）</w:t>
      </w:r>
      <w:r>
        <w:rPr>
          <w:rFonts w:hint="eastAsia" w:ascii="宋体" w:hAnsi="宋体" w:eastAsia="宋体" w:cs="宋体"/>
          <w:b/>
          <w:sz w:val="24"/>
          <w:szCs w:val="24"/>
          <w:highlight w:val="none"/>
        </w:rPr>
        <w:t>▲响应时效硬性标准</w:t>
      </w:r>
    </w:p>
    <w:p w14:paraId="68B3694D">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简单无案件关联口头法律咨询：即时口头答复；涉具体案件的常规咨询、书面咨询：1个工作日内出具答复意见；律师函起草（资料齐全）：2个工作日内完成；复杂疑难咨询、常规法律意见书（不含专项尽调法律意见书）：3‑5个工作日出具完整书面意见；</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突发、群体性涉法事件：接到通知后当日工作时段内抵达现场，同步出具应急法律处置方案。</w:t>
      </w:r>
    </w:p>
    <w:p w14:paraId="48A9AD19">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三）</w:t>
      </w:r>
      <w:r>
        <w:rPr>
          <w:rFonts w:hint="eastAsia" w:ascii="宋体" w:hAnsi="宋体" w:eastAsia="宋体" w:cs="宋体"/>
          <w:b/>
          <w:sz w:val="24"/>
          <w:szCs w:val="24"/>
          <w:highlight w:val="none"/>
        </w:rPr>
        <w:t>▲日常沟通与回访机制</w:t>
      </w:r>
    </w:p>
    <w:p w14:paraId="0F51AD95">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服务周期内</w:t>
      </w:r>
      <w:r>
        <w:rPr>
          <w:rFonts w:hint="eastAsia" w:ascii="宋体" w:hAnsi="宋体" w:eastAsia="宋体" w:cs="宋体"/>
          <w:sz w:val="24"/>
          <w:szCs w:val="24"/>
          <w:highlight w:val="none"/>
          <w:lang w:eastAsia="zh-CN"/>
        </w:rPr>
        <w:t>，服务商</w:t>
      </w:r>
      <w:r>
        <w:rPr>
          <w:rFonts w:hint="eastAsia" w:ascii="宋体" w:hAnsi="宋体" w:eastAsia="宋体" w:cs="宋体"/>
          <w:sz w:val="24"/>
          <w:szCs w:val="24"/>
          <w:highlight w:val="none"/>
        </w:rPr>
        <w:t>每年不少于2次上门回访，梳理全年法律服务工作，出具回访总结报告，对照本文件全部服务内容核对完成情况，根据医院需求优化法律服务流程与工作模式</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日常工作中发现管理法律漏洞</w:t>
      </w:r>
      <w:r>
        <w:rPr>
          <w:rFonts w:hint="eastAsia" w:ascii="宋体" w:hAnsi="宋体" w:eastAsia="宋体" w:cs="宋体"/>
          <w:sz w:val="24"/>
          <w:szCs w:val="24"/>
          <w:highlight w:val="none"/>
          <w:lang w:eastAsia="zh-CN"/>
        </w:rPr>
        <w:t>，需</w:t>
      </w:r>
      <w:r>
        <w:rPr>
          <w:rFonts w:hint="eastAsia" w:ascii="宋体" w:hAnsi="宋体" w:eastAsia="宋体" w:cs="宋体"/>
          <w:sz w:val="24"/>
          <w:szCs w:val="24"/>
          <w:highlight w:val="none"/>
        </w:rPr>
        <w:t>主动向医院专项汇报。</w:t>
      </w:r>
    </w:p>
    <w:p w14:paraId="546DB9D2">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四）</w:t>
      </w:r>
      <w:r>
        <w:rPr>
          <w:rFonts w:hint="eastAsia" w:ascii="宋体" w:hAnsi="宋体" w:eastAsia="宋体" w:cs="宋体"/>
          <w:b/>
          <w:sz w:val="24"/>
          <w:szCs w:val="24"/>
          <w:highlight w:val="none"/>
        </w:rPr>
        <w:t>★执业规范与职业道德要求</w:t>
      </w:r>
    </w:p>
    <w:p w14:paraId="3E098A5A">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全体服务人员严格遵守国家法律法规、律师行业管理规范，勤勉履职，最大限度维护医院合法权益；服务期间不得代理与本院存在利益冲突的第三方开展诉讼、仲裁及非诉讼法律事务；严格按照双方约定标准收取法律服务费用，</w:t>
      </w:r>
      <w:r>
        <w:rPr>
          <w:rFonts w:hint="eastAsia" w:ascii="宋体" w:hAnsi="宋体" w:eastAsia="宋体" w:cs="宋体"/>
          <w:sz w:val="24"/>
          <w:szCs w:val="24"/>
          <w:highlight w:val="none"/>
          <w:lang w:eastAsia="zh-CN"/>
        </w:rPr>
        <w:t>无隐性收费</w:t>
      </w:r>
      <w:r>
        <w:rPr>
          <w:rFonts w:hint="eastAsia" w:ascii="宋体" w:hAnsi="宋体" w:eastAsia="宋体" w:cs="宋体"/>
          <w:sz w:val="24"/>
          <w:szCs w:val="24"/>
          <w:highlight w:val="none"/>
        </w:rPr>
        <w:t>、乱收费行为。</w:t>
      </w:r>
      <w:r>
        <w:rPr>
          <w:rFonts w:hint="eastAsia" w:ascii="宋体" w:hAnsi="宋体" w:eastAsia="宋体" w:cs="宋体"/>
          <w:sz w:val="24"/>
          <w:szCs w:val="24"/>
          <w:highlight w:val="none"/>
          <w:lang w:eastAsia="zh-CN"/>
        </w:rPr>
        <w:t>【</w:t>
      </w:r>
      <w:r>
        <w:rPr>
          <w:rFonts w:hint="eastAsia" w:ascii="宋体" w:hAnsi="宋体" w:eastAsia="宋体" w:cs="宋体"/>
          <w:b/>
          <w:sz w:val="24"/>
          <w:szCs w:val="24"/>
          <w:highlight w:val="none"/>
        </w:rPr>
        <w:t>投标人须出具加盖投标人公章的《利益冲突规避承诺函》；无法提供该加盖公章承诺函、不满足本条款要求的，按实质性条款负偏离处理，直接判定为无效投标，不进入后续评审环节。</w:t>
      </w:r>
      <w:r>
        <w:rPr>
          <w:rFonts w:hint="eastAsia" w:ascii="宋体" w:hAnsi="宋体" w:eastAsia="宋体" w:cs="宋体"/>
          <w:b/>
          <w:sz w:val="24"/>
          <w:szCs w:val="24"/>
          <w:highlight w:val="none"/>
          <w:lang w:eastAsia="zh-CN"/>
        </w:rPr>
        <w:t>】</w:t>
      </w:r>
    </w:p>
    <w:p w14:paraId="7B7E8570">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五）</w:t>
      </w:r>
      <w:r>
        <w:rPr>
          <w:rFonts w:hint="eastAsia" w:ascii="宋体" w:hAnsi="宋体" w:eastAsia="宋体" w:cs="宋体"/>
          <w:b/>
          <w:sz w:val="24"/>
          <w:szCs w:val="24"/>
          <w:highlight w:val="none"/>
        </w:rPr>
        <w:t>★保密管理要求</w:t>
      </w:r>
    </w:p>
    <w:p w14:paraId="2F4153A5">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服务商及全体服务团队对服务过程中获取的医院医疗数据、医患信息、内部管理制度、财务、合作项目、人事资料等全部内部信息承担永久保密义务；未经医院书面许可，不得向任何第三方泄露涉密资料，仅司法、行政机关依法调取情形除外；所有涉密材料仅可用于为本院提供法律服务，不得挪作其他用途；服务商所有投标、报价、工作资料需对医院需求全程保密。</w:t>
      </w:r>
      <w:r>
        <w:rPr>
          <w:rFonts w:hint="eastAsia" w:ascii="宋体" w:hAnsi="宋体" w:eastAsia="宋体" w:cs="宋体"/>
          <w:sz w:val="24"/>
          <w:szCs w:val="24"/>
          <w:highlight w:val="none"/>
          <w:lang w:eastAsia="zh-CN"/>
        </w:rPr>
        <w:t>【</w:t>
      </w:r>
      <w:r>
        <w:rPr>
          <w:rFonts w:hint="eastAsia" w:ascii="宋体" w:hAnsi="宋体" w:eastAsia="宋体" w:cs="宋体"/>
          <w:b/>
          <w:sz w:val="24"/>
          <w:szCs w:val="24"/>
          <w:highlight w:val="none"/>
        </w:rPr>
        <w:t>投标人须出具加盖投标人公章的《永久保密承诺函》；无法提供该加盖公章承诺函、不满足本条款保密要求的，按实质性条款负偏离处理，直接判定为无效投标，不进入后续评审环节。</w:t>
      </w:r>
      <w:r>
        <w:rPr>
          <w:rFonts w:hint="eastAsia" w:ascii="宋体" w:hAnsi="宋体" w:eastAsia="宋体" w:cs="宋体"/>
          <w:b/>
          <w:sz w:val="24"/>
          <w:szCs w:val="24"/>
          <w:highlight w:val="none"/>
          <w:lang w:eastAsia="zh-CN"/>
        </w:rPr>
        <w:t>】</w:t>
      </w:r>
    </w:p>
    <w:p w14:paraId="0452AA6C">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六）</w:t>
      </w:r>
      <w:r>
        <w:rPr>
          <w:rFonts w:hint="eastAsia" w:ascii="宋体" w:hAnsi="宋体" w:eastAsia="宋体" w:cs="宋体"/>
          <w:b/>
          <w:sz w:val="24"/>
          <w:szCs w:val="24"/>
          <w:highlight w:val="none"/>
        </w:rPr>
        <w:t>服务质量管控机制</w:t>
      </w:r>
    </w:p>
    <w:p w14:paraId="3B83C872">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商内部建立完整服务考核制度，定期对承办律师服务时效、文书质量、案件处理结果、本文件约定全部服务内容完成情况进行考核，确保整体服务质量达到行业优质标准；因承办律师履职疏漏、未按期完成服务工作造成医院损失的，服务商需承担对应赔偿责任。</w:t>
      </w:r>
    </w:p>
    <w:p w14:paraId="77C2AAEE">
      <w:pPr>
        <w:keepNext w:val="0"/>
        <w:keepLines w:val="0"/>
        <w:pageBreakBefore w:val="0"/>
        <w:widowControl w:val="0"/>
        <w:kinsoku/>
        <w:wordWrap/>
        <w:overflowPunct/>
        <w:topLinePunct w:val="0"/>
        <w:autoSpaceDE/>
        <w:autoSpaceDN/>
        <w:bidi w:val="0"/>
        <w:adjustRightInd/>
        <w:snapToGrid/>
        <w:spacing w:before="0" w:beforeLines="50" w:line="430" w:lineRule="exact"/>
        <w:ind w:left="0"/>
        <w:jc w:val="left"/>
        <w:textAlignment w:val="auto"/>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六</w:t>
      </w:r>
      <w:r>
        <w:rPr>
          <w:rFonts w:hint="eastAsia" w:ascii="宋体" w:hAnsi="宋体" w:eastAsia="宋体" w:cs="宋体"/>
          <w:b/>
          <w:sz w:val="24"/>
          <w:szCs w:val="24"/>
          <w:highlight w:val="none"/>
        </w:rPr>
        <w:t>、其他采购约束条款</w:t>
      </w:r>
    </w:p>
    <w:p w14:paraId="58CB9775">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所有服务报价、计费标准、优惠政策、年度服务工作内容均需书面固化至服务合同，费用核算规则、年度服务工作标准清晰无歧义；</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所有外出服务、第三方机构费用、差旅支出需提供正规票据，据实结算；</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服务周期届满前，服务商需完成全年法律服务汇总报告，逐条对照本文件服务清单梳理全年完成工作：合同审核、制度审查、律师函/法律意见书出具、普法场次与素材、医疗纠纷处置、会议服务时长、诉讼案件等全部工作内容；</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服务商</w:t>
      </w:r>
      <w:r>
        <w:rPr>
          <w:rFonts w:hint="eastAsia" w:ascii="宋体" w:hAnsi="宋体" w:eastAsia="宋体" w:cs="宋体"/>
          <w:sz w:val="24"/>
          <w:szCs w:val="24"/>
          <w:highlight w:val="none"/>
          <w:lang w:eastAsia="zh-CN"/>
        </w:rPr>
        <w:t>须</w:t>
      </w:r>
      <w:r>
        <w:rPr>
          <w:rFonts w:hint="eastAsia" w:ascii="宋体" w:hAnsi="宋体" w:eastAsia="宋体" w:cs="宋体"/>
          <w:sz w:val="24"/>
          <w:szCs w:val="24"/>
          <w:highlight w:val="none"/>
        </w:rPr>
        <w:t>具备正规法律服务执业资质，拥有规模化专业团队，具备处理医疗纠纷、医疗机构合规管理相关成熟服务经验。</w:t>
      </w:r>
      <w:r>
        <w:rPr>
          <w:rFonts w:hint="eastAsia" w:ascii="宋体" w:hAnsi="宋体" w:eastAsia="宋体" w:cs="宋体"/>
          <w:sz w:val="24"/>
          <w:szCs w:val="24"/>
          <w:highlight w:val="none"/>
          <w:lang w:eastAsia="zh-CN"/>
        </w:rPr>
        <w:t>【</w:t>
      </w:r>
      <w:r>
        <w:rPr>
          <w:rFonts w:hint="eastAsia" w:ascii="宋体" w:hAnsi="宋体" w:eastAsia="宋体" w:cs="宋体"/>
          <w:b/>
          <w:sz w:val="24"/>
          <w:szCs w:val="24"/>
          <w:highlight w:val="none"/>
        </w:rPr>
        <w:t>不具备合法有效的律师事务所执业许可证的，按实质性条款负偏离处理，直接判定为无效投标，不进入后续评审环节。</w:t>
      </w:r>
      <w:r>
        <w:rPr>
          <w:rFonts w:hint="eastAsia" w:ascii="宋体" w:hAnsi="宋体" w:eastAsia="宋体" w:cs="宋体"/>
          <w:b/>
          <w:sz w:val="24"/>
          <w:szCs w:val="24"/>
          <w:highlight w:val="none"/>
          <w:lang w:eastAsia="zh-CN"/>
        </w:rPr>
        <w:t>】</w:t>
      </w:r>
    </w:p>
    <w:p w14:paraId="43E5D50B">
      <w:pPr>
        <w:keepNext w:val="0"/>
        <w:keepLines w:val="0"/>
        <w:pageBreakBefore w:val="0"/>
        <w:widowControl w:val="0"/>
        <w:kinsoku/>
        <w:wordWrap/>
        <w:overflowPunct/>
        <w:topLinePunct w:val="0"/>
        <w:autoSpaceDE/>
        <w:autoSpaceDN/>
        <w:bidi w:val="0"/>
        <w:adjustRightInd/>
        <w:snapToGrid/>
        <w:spacing w:before="0" w:beforeLines="50" w:line="430" w:lineRule="exact"/>
        <w:ind w:left="0"/>
        <w:jc w:val="left"/>
        <w:textAlignment w:val="auto"/>
        <w:outlineLvl w:val="2"/>
        <w:rPr>
          <w:rFonts w:hint="eastAsia" w:ascii="宋体" w:hAnsi="宋体" w:eastAsia="宋体" w:cs="宋体"/>
          <w:b/>
          <w:bCs w:val="0"/>
          <w:sz w:val="24"/>
          <w:szCs w:val="24"/>
          <w:highlight w:val="none"/>
          <w:lang w:val="en-US" w:eastAsia="zh-CN"/>
        </w:rPr>
      </w:pPr>
      <w:bookmarkStart w:id="11" w:name="heading_23"/>
      <w:r>
        <w:rPr>
          <w:rFonts w:hint="eastAsia" w:ascii="宋体" w:hAnsi="宋体" w:eastAsia="宋体" w:cs="宋体"/>
          <w:b/>
          <w:sz w:val="24"/>
          <w:szCs w:val="24"/>
          <w:highlight w:val="none"/>
          <w:lang w:val="en-US" w:eastAsia="zh-CN"/>
        </w:rPr>
        <w:t>七、违约责任、不可抗力及争议解决</w:t>
      </w:r>
    </w:p>
    <w:p w14:paraId="6A7B2F0E">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outlineLvl w:val="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1. 服务时效违约责任</w:t>
      </w:r>
    </w:p>
    <w:p w14:paraId="2EE9DD91">
      <w:pPr>
        <w:keepNext w:val="0"/>
        <w:keepLines w:val="0"/>
        <w:pageBreakBefore w:val="0"/>
        <w:widowControl w:val="0"/>
        <w:kinsoku/>
        <w:wordWrap/>
        <w:overflowPunct/>
        <w:topLinePunct w:val="0"/>
        <w:autoSpaceDE/>
        <w:autoSpaceDN/>
        <w:bidi w:val="0"/>
        <w:adjustRightInd/>
        <w:snapToGrid/>
        <w:spacing w:before="0" w:line="430" w:lineRule="exact"/>
        <w:ind w:left="0" w:firstLine="480" w:firstLineChars="200"/>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中标服务商未满足本需求书标注▲的响应时效硬性标准，未按期完成法律咨询答复、律师函起草、法律意见书出具、突发涉法事件到场处置等约定服务义务的，采购人有权向中标服务商发出书面整改通知；中标服务商收到整改通知后仍未按期纠正的，每逾期一日，应当按当年常年法律顾问基础服务费的万分之三向采购人支付违约金；单次时效违约违约金最高不超过当年常年法律顾问基础服务费的5%。</w:t>
      </w:r>
    </w:p>
    <w:p w14:paraId="16310F98">
      <w:pPr>
        <w:keepNext w:val="0"/>
        <w:keepLines w:val="0"/>
        <w:pageBreakBefore w:val="0"/>
        <w:widowControl w:val="0"/>
        <w:kinsoku/>
        <w:wordWrap/>
        <w:overflowPunct/>
        <w:topLinePunct w:val="0"/>
        <w:autoSpaceDE/>
        <w:autoSpaceDN/>
        <w:bidi w:val="0"/>
        <w:adjustRightInd/>
        <w:snapToGrid/>
        <w:spacing w:before="0" w:line="430" w:lineRule="exact"/>
        <w:ind w:left="0" w:firstLine="480" w:firstLineChars="200"/>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注：因采购人迟延提交必要服务资料、提供信息不完整、配合不到位，导致中标服务商工作成果逾期交付的，中标服务商不承担本项时效违约责任。</w:t>
      </w:r>
    </w:p>
    <w:p w14:paraId="5CD45D68">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2. 服务质量与履职违约责任</w:t>
      </w:r>
    </w:p>
    <w:p w14:paraId="1CC4CC4C">
      <w:pPr>
        <w:keepNext w:val="0"/>
        <w:keepLines w:val="0"/>
        <w:pageBreakBefore w:val="0"/>
        <w:widowControl w:val="0"/>
        <w:kinsoku/>
        <w:wordWrap/>
        <w:overflowPunct/>
        <w:topLinePunct w:val="0"/>
        <w:autoSpaceDE/>
        <w:autoSpaceDN/>
        <w:bidi w:val="0"/>
        <w:adjustRightInd/>
        <w:snapToGrid/>
        <w:spacing w:before="0" w:line="430" w:lineRule="exact"/>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中标服务商未落实本需求书约定的日常沟通与回访机制，未完成每年不少于2次的上门回访工作、未按时出具合规回访总结报告；或在服务过程中出现法律文书错漏、工作重大疏漏、未按约定完成基础法律服务等情形的，采购人有权要求中标服务商限期整改。因中标服务商故意或重大过失的履职过错，直接造成采购人经济损失的，中标服务商应当全额赔偿采购人对应的直接经济损失。</w:t>
      </w:r>
    </w:p>
    <w:p w14:paraId="1F1CC6F5">
      <w:pPr>
        <w:keepNext w:val="0"/>
        <w:keepLines w:val="0"/>
        <w:pageBreakBefore w:val="0"/>
        <w:widowControl w:val="0"/>
        <w:kinsoku/>
        <w:wordWrap/>
        <w:overflowPunct/>
        <w:topLinePunct w:val="0"/>
        <w:autoSpaceDE/>
        <w:autoSpaceDN/>
        <w:bidi w:val="0"/>
        <w:adjustRightInd/>
        <w:snapToGrid/>
        <w:spacing w:before="0" w:line="430" w:lineRule="exact"/>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中标服务商违反本需求书约定的执业规范、利益冲突规避、永久保密义务等核心条款的，采购人有权书面通知中标服务商限期整改；中标服务商拒不整改，或其违约行为造成采购人名誉受损、经济损失的，采购人有权单方解除本合同。同时，中标服务商需赔偿采购人全部实际直接损失，并按当年常年法律顾问基础服务费的30%向采购人支付违约金。本项履职违约违约金与前述时效违约违约金合计总额，最高不超过当年常年法律顾问基础服务费总额。</w:t>
      </w:r>
    </w:p>
    <w:p w14:paraId="5FB5E621">
      <w:pPr>
        <w:keepNext w:val="0"/>
        <w:keepLines w:val="0"/>
        <w:pageBreakBefore w:val="0"/>
        <w:widowControl w:val="0"/>
        <w:kinsoku/>
        <w:wordWrap/>
        <w:overflowPunct/>
        <w:topLinePunct w:val="0"/>
        <w:autoSpaceDE/>
        <w:autoSpaceDN/>
        <w:bidi w:val="0"/>
        <w:adjustRightInd/>
        <w:snapToGrid/>
        <w:spacing w:before="0" w:line="430" w:lineRule="exact"/>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中标服务商未经采购人书面同意，擅自更换固定主办律师，或未落实人员替补机制导致法律服务中断、服务质量无法保障的，采购人有权要求中标服务商限期调整、补齐服务团队人员；逾期未完成调整、持续影响服务开展的，采购人有权单方解除本合同。</w:t>
      </w:r>
    </w:p>
    <w:p w14:paraId="71ABEF65">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3. 专项服务违约责任</w:t>
      </w:r>
    </w:p>
    <w:p w14:paraId="4AA596AA">
      <w:pPr>
        <w:keepNext w:val="0"/>
        <w:keepLines w:val="0"/>
        <w:pageBreakBefore w:val="0"/>
        <w:widowControl w:val="0"/>
        <w:kinsoku/>
        <w:wordWrap/>
        <w:overflowPunct/>
        <w:topLinePunct w:val="0"/>
        <w:autoSpaceDE/>
        <w:autoSpaceDN/>
        <w:bidi w:val="0"/>
        <w:adjustRightInd/>
        <w:snapToGrid/>
        <w:spacing w:before="0" w:line="430" w:lineRule="exact"/>
        <w:ind w:left="0" w:firstLine="480" w:firstLineChars="200"/>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中标服务商承接本项目诉讼、仲裁及其他专项法律服务的，应当严格按照专项服务协议约定履行义务、完成全部服务工作。因中标服务商故意或重大过失履职不当，给采购人造成直接经济损失的，中标服务商应当严格按照专项服务协议约定承担赔偿及违约责任。</w:t>
      </w:r>
    </w:p>
    <w:p w14:paraId="5B92FE9E">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4. 采购人逾期付款责任</w:t>
      </w:r>
    </w:p>
    <w:p w14:paraId="6D35D7D6">
      <w:pPr>
        <w:keepNext w:val="0"/>
        <w:keepLines w:val="0"/>
        <w:pageBreakBefore w:val="0"/>
        <w:widowControl w:val="0"/>
        <w:kinsoku/>
        <w:wordWrap/>
        <w:overflowPunct/>
        <w:topLinePunct w:val="0"/>
        <w:autoSpaceDE/>
        <w:autoSpaceDN/>
        <w:bidi w:val="0"/>
        <w:adjustRightInd/>
        <w:snapToGrid/>
        <w:spacing w:before="0" w:line="430" w:lineRule="exact"/>
        <w:ind w:left="0" w:firstLine="480" w:firstLineChars="200"/>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采购人无正当理由拒绝接受服务、到期拒付服务款项的，采购人按应付未付款3%的数额向中标服务商支付违约金。采购人逾期付款，则每日按应付未付款万分之四的数额向中标服务商偿付违约金，但违约金总额不超过应付未付款项的5%。</w:t>
      </w:r>
    </w:p>
    <w:p w14:paraId="6738C52E">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outlineLvl w:val="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5. 违约金与赔偿金的支付</w:t>
      </w:r>
    </w:p>
    <w:p w14:paraId="309D44EE">
      <w:pPr>
        <w:keepNext w:val="0"/>
        <w:keepLines w:val="0"/>
        <w:pageBreakBefore w:val="0"/>
        <w:widowControl w:val="0"/>
        <w:kinsoku/>
        <w:wordWrap/>
        <w:overflowPunct/>
        <w:topLinePunct w:val="0"/>
        <w:autoSpaceDE/>
        <w:autoSpaceDN/>
        <w:bidi w:val="0"/>
        <w:adjustRightInd/>
        <w:snapToGrid/>
        <w:spacing w:before="0" w:line="430" w:lineRule="exact"/>
        <w:ind w:left="0" w:firstLine="480" w:firstLineChars="200"/>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本章约定的违约金和赔偿金，采购人有权从应付中标服务商的任何费用（包括但不限于顾问费、专项服务费等）中直接扣除。扣除后仍不足以弥补采购人损失的，采购人保留继续向中标服务商追偿的权利。中标服务商对此不持异议。</w:t>
      </w:r>
    </w:p>
    <w:p w14:paraId="0781FC8E">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6. 其他违约责任</w:t>
      </w:r>
    </w:p>
    <w:p w14:paraId="58660C57">
      <w:pPr>
        <w:keepNext w:val="0"/>
        <w:keepLines w:val="0"/>
        <w:pageBreakBefore w:val="0"/>
        <w:widowControl w:val="0"/>
        <w:kinsoku/>
        <w:wordWrap/>
        <w:overflowPunct/>
        <w:topLinePunct w:val="0"/>
        <w:autoSpaceDE/>
        <w:autoSpaceDN/>
        <w:bidi w:val="0"/>
        <w:adjustRightInd/>
        <w:snapToGrid/>
        <w:spacing w:before="0" w:line="430" w:lineRule="exact"/>
        <w:ind w:left="0" w:firstLine="480" w:firstLineChars="200"/>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其他未约定事宜，按《中华人民共和国民法典》及相关法律法规处理。</w:t>
      </w:r>
    </w:p>
    <w:p w14:paraId="1DB7DD52">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outlineLvl w:val="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7. 合同解除权的行使</w:t>
      </w:r>
    </w:p>
    <w:p w14:paraId="2D177567">
      <w:pPr>
        <w:keepNext w:val="0"/>
        <w:keepLines w:val="0"/>
        <w:pageBreakBefore w:val="0"/>
        <w:widowControl w:val="0"/>
        <w:kinsoku/>
        <w:wordWrap/>
        <w:overflowPunct/>
        <w:topLinePunct w:val="0"/>
        <w:autoSpaceDE/>
        <w:autoSpaceDN/>
        <w:bidi w:val="0"/>
        <w:adjustRightInd/>
        <w:snapToGrid/>
        <w:spacing w:before="0" w:line="430" w:lineRule="exact"/>
        <w:ind w:left="0" w:firstLine="480" w:firstLineChars="200"/>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发生本条约定的可解除合同情形时，采购人有权向中标服务商发送书面解除通知，通知送达之日合同解除。合同解除后，中标服务商应当配合采购人进行工作交接，已支付的服务费，中标服务商应按未提供服务的时间比例退还采购人；采购人尚未支付的服务费，有权在扣除违约金及损失赔偿后，仅就已验收合格且中标服务商已完成的服务部分进行结算。</w:t>
      </w:r>
    </w:p>
    <w:p w14:paraId="318DDFF0">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outlineLvl w:val="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8. 不可抗力</w:t>
      </w:r>
    </w:p>
    <w:p w14:paraId="5C2CDB69">
      <w:pPr>
        <w:keepNext w:val="0"/>
        <w:keepLines w:val="0"/>
        <w:pageBreakBefore w:val="0"/>
        <w:widowControl w:val="0"/>
        <w:kinsoku/>
        <w:wordWrap/>
        <w:overflowPunct/>
        <w:topLinePunct w:val="0"/>
        <w:autoSpaceDE/>
        <w:autoSpaceDN/>
        <w:bidi w:val="0"/>
        <w:adjustRightInd/>
        <w:snapToGrid/>
        <w:spacing w:before="0" w:line="430" w:lineRule="exact"/>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（1）本条款所称不可抗力，是指不能预见、不能避免且不能克服的客观情况，包括但不限于自然灾害、战争、政府管制、司法行政机关政策重大调整等情形。</w:t>
      </w:r>
    </w:p>
    <w:p w14:paraId="7B926BD6">
      <w:pPr>
        <w:keepNext w:val="0"/>
        <w:keepLines w:val="0"/>
        <w:pageBreakBefore w:val="0"/>
        <w:widowControl w:val="0"/>
        <w:kinsoku/>
        <w:wordWrap/>
        <w:overflowPunct/>
        <w:topLinePunct w:val="0"/>
        <w:autoSpaceDE/>
        <w:autoSpaceDN/>
        <w:bidi w:val="0"/>
        <w:adjustRightInd/>
        <w:snapToGrid/>
        <w:spacing w:before="0" w:line="430" w:lineRule="exact"/>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发生不可抗力一方应当于事件发生后3个工作日内书面通知对方，并提供有效证明文件。受不可抗力影响一方可部分或者全部免除相应违约责任，但应当尽最大努力降低损失。若不可抗力导致合同目的无法实现，采购人有权单方解除合同，并按照中标服务商实际已经提供服务的时长据实结算服务费用。</w:t>
      </w:r>
    </w:p>
    <w:p w14:paraId="3039F8B8">
      <w:pPr>
        <w:keepNext w:val="0"/>
        <w:keepLines w:val="0"/>
        <w:pageBreakBefore w:val="0"/>
        <w:widowControl w:val="0"/>
        <w:kinsoku/>
        <w:wordWrap/>
        <w:overflowPunct/>
        <w:topLinePunct w:val="0"/>
        <w:autoSpaceDE/>
        <w:autoSpaceDN/>
        <w:bidi w:val="0"/>
        <w:adjustRightInd/>
        <w:snapToGrid/>
        <w:spacing w:before="0" w:line="430" w:lineRule="exact"/>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（3）中标服务商主张不可抗力免责的，不免除其已提供服务部分存在质量问题的责任，也不免除其在本协议项下的保密义务。</w:t>
      </w:r>
    </w:p>
    <w:p w14:paraId="23E02710">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9. 争议解决</w:t>
      </w:r>
    </w:p>
    <w:p w14:paraId="12CBD47B">
      <w:pPr>
        <w:keepNext w:val="0"/>
        <w:keepLines w:val="0"/>
        <w:pageBreakBefore w:val="0"/>
        <w:widowControl w:val="0"/>
        <w:kinsoku/>
        <w:wordWrap/>
        <w:overflowPunct/>
        <w:topLinePunct w:val="0"/>
        <w:autoSpaceDE/>
        <w:autoSpaceDN/>
        <w:bidi w:val="0"/>
        <w:adjustRightInd/>
        <w:snapToGrid/>
        <w:spacing w:before="0" w:line="430" w:lineRule="exact"/>
        <w:ind w:left="0" w:firstLine="480" w:firstLineChars="200"/>
        <w:jc w:val="left"/>
        <w:textAlignment w:val="auto"/>
        <w:outlineLvl w:val="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因本项目合同履行产生的一切争议，双方优先友好协商解决；协商不成的，任何一方均有权向采购人所在地人民法院提起诉讼。</w:t>
      </w:r>
    </w:p>
    <w:p w14:paraId="409D27E3">
      <w:pPr>
        <w:keepNext w:val="0"/>
        <w:keepLines w:val="0"/>
        <w:pageBreakBefore w:val="0"/>
        <w:widowControl w:val="0"/>
        <w:kinsoku/>
        <w:wordWrap/>
        <w:overflowPunct/>
        <w:topLinePunct w:val="0"/>
        <w:autoSpaceDE/>
        <w:autoSpaceDN/>
        <w:bidi w:val="0"/>
        <w:adjustRightInd/>
        <w:snapToGrid/>
        <w:spacing w:before="0" w:beforeLines="50" w:line="430" w:lineRule="exact"/>
        <w:ind w:left="0"/>
        <w:jc w:val="left"/>
        <w:textAlignment w:val="auto"/>
        <w:outlineLvl w:val="0"/>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八</w:t>
      </w:r>
      <w:r>
        <w:rPr>
          <w:rFonts w:hint="eastAsia" w:ascii="宋体" w:hAnsi="宋体" w:eastAsia="宋体" w:cs="宋体"/>
          <w:b/>
          <w:sz w:val="24"/>
          <w:szCs w:val="24"/>
          <w:highlight w:val="none"/>
        </w:rPr>
        <w:t>、投标评审要求</w:t>
      </w:r>
      <w:bookmarkEnd w:id="11"/>
    </w:p>
    <w:p w14:paraId="44366B1F">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1"/>
        <w:rPr>
          <w:rFonts w:hint="eastAsia" w:ascii="宋体" w:hAnsi="宋体" w:eastAsia="宋体" w:cs="宋体"/>
          <w:sz w:val="24"/>
          <w:szCs w:val="24"/>
          <w:highlight w:val="none"/>
        </w:rPr>
      </w:pPr>
      <w:bookmarkStart w:id="12" w:name="heading_24"/>
      <w:r>
        <w:rPr>
          <w:rFonts w:hint="eastAsia" w:ascii="宋体" w:hAnsi="宋体" w:eastAsia="宋体" w:cs="宋体"/>
          <w:b/>
          <w:sz w:val="24"/>
          <w:szCs w:val="24"/>
          <w:highlight w:val="none"/>
        </w:rPr>
        <w:t>（一）无效投标（废标）判定规则（全部源自采购需求★实质性条款）</w:t>
      </w:r>
      <w:bookmarkEnd w:id="12"/>
    </w:p>
    <w:p w14:paraId="61B0CBAB">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标注“★”标识的条款为实质性要求，投标人必须全面响应并满足；任意一条★实质性条款存在负偏离、不响应、未按要求提供承诺函、未承诺完成全部服务内容的，直接判定为无效投标，不进入后续评审环节，具体情形包括：</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常年法律顾问基础年费报价超过1</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000元/年上限的；</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无法出具加盖投标人公章的《年度法律服务履约承诺函》，未承诺足额完成制度审查、合同审核、普法、纠纷处置等全部服务工作的；</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无法出具加盖投标人公章的《利益冲突规避承诺函》，不满足★执业规范条款要求的；</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无法出具加盖投标人公章的《永久保密承诺函》，不满足★保密管理条款要求的；</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不具备合法有效的律师事务所执业许可证，不满足★执业资质要求的；</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未出具加盖投标人公章的《无围标串标承诺书》，违反廉洁采购条款要求的。</w:t>
      </w:r>
    </w:p>
    <w:p w14:paraId="040D27EC">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outlineLvl w:val="1"/>
        <w:rPr>
          <w:rFonts w:hint="eastAsia" w:ascii="宋体" w:hAnsi="宋体" w:eastAsia="宋体" w:cs="宋体"/>
          <w:sz w:val="24"/>
          <w:szCs w:val="24"/>
          <w:highlight w:val="none"/>
        </w:rPr>
      </w:pPr>
      <w:bookmarkStart w:id="13" w:name="heading_25"/>
      <w:r>
        <w:rPr>
          <w:rFonts w:hint="eastAsia" w:ascii="宋体" w:hAnsi="宋体" w:eastAsia="宋体" w:cs="宋体"/>
          <w:b/>
          <w:sz w:val="24"/>
          <w:szCs w:val="24"/>
          <w:highlight w:val="none"/>
        </w:rPr>
        <w:t>（二）统一材料佐证扣分规则</w:t>
      </w:r>
      <w:bookmarkEnd w:id="13"/>
      <w:r>
        <w:rPr>
          <w:rFonts w:hint="eastAsia" w:ascii="宋体" w:hAnsi="宋体" w:eastAsia="宋体" w:cs="宋体"/>
          <w:b/>
          <w:bCs w:val="0"/>
          <w:sz w:val="24"/>
          <w:szCs w:val="24"/>
          <w:highlight w:val="none"/>
          <w:lang w:eastAsia="zh-CN"/>
        </w:rPr>
        <w:t>（</w:t>
      </w:r>
      <w:r>
        <w:rPr>
          <w:rFonts w:hint="eastAsia" w:ascii="宋体" w:hAnsi="宋体" w:eastAsia="宋体" w:cs="宋体"/>
          <w:b/>
          <w:bCs w:val="0"/>
          <w:sz w:val="24"/>
          <w:szCs w:val="24"/>
          <w:highlight w:val="none"/>
        </w:rPr>
        <w:t>本项目所有投标佐证材料统一遵循以下认定与扣分规则，适用于全部技术、商务评分项</w:t>
      </w:r>
      <w:r>
        <w:rPr>
          <w:rFonts w:hint="eastAsia" w:ascii="宋体" w:hAnsi="宋体" w:eastAsia="宋体" w:cs="宋体"/>
          <w:b/>
          <w:bCs w:val="0"/>
          <w:sz w:val="24"/>
          <w:szCs w:val="24"/>
          <w:highlight w:val="none"/>
          <w:lang w:eastAsia="zh-CN"/>
        </w:rPr>
        <w:t>，</w:t>
      </w:r>
      <w:r>
        <w:rPr>
          <w:rFonts w:hint="eastAsia" w:ascii="宋体" w:hAnsi="宋体" w:eastAsia="宋体" w:cs="宋体"/>
          <w:b/>
          <w:bCs w:val="0"/>
          <w:sz w:val="24"/>
          <w:szCs w:val="24"/>
          <w:highlight w:val="none"/>
          <w:lang w:val="en-US" w:eastAsia="zh-CN"/>
        </w:rPr>
        <w:t>详情见附件二《项目评分表》</w:t>
      </w:r>
      <w:r>
        <w:rPr>
          <w:rFonts w:hint="eastAsia" w:ascii="宋体" w:hAnsi="宋体" w:eastAsia="宋体" w:cs="宋体"/>
          <w:b/>
          <w:bCs w:val="0"/>
          <w:sz w:val="24"/>
          <w:szCs w:val="24"/>
          <w:highlight w:val="none"/>
          <w:lang w:eastAsia="zh-CN"/>
        </w:rPr>
        <w:t>）</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所有资质证书、服务业绩合同、社保证明、承诺函、官方查询截图、法律服务实施方案等材料，均需加盖投标人公章，未加盖公章的对应评分项按0分计算；</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承诺函存在虚假承诺（包括但不限于响应时效、人员配置、收费标准、服务能力、年度服务工作内容等）的，对应评分项按0分计算；中标后查实存在虚假承诺、未足额完成年度服务工作的，直接取消中标资格，并由投标人承担由此造成的全部损失；</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相关资质证书处于过期状态、司法行政机关/律师协会查询状态为撤销/暂停</w:t>
      </w:r>
      <w:r>
        <w:rPr>
          <w:rFonts w:hint="eastAsia" w:ascii="宋体" w:hAnsi="宋体" w:eastAsia="宋体" w:cs="宋体"/>
          <w:sz w:val="24"/>
          <w:szCs w:val="24"/>
          <w:highlight w:val="none"/>
          <w:lang w:eastAsia="zh-CN"/>
        </w:rPr>
        <w:t>或</w:t>
      </w:r>
      <w:r>
        <w:rPr>
          <w:rFonts w:hint="eastAsia" w:ascii="宋体" w:hAnsi="宋体" w:eastAsia="宋体" w:cs="宋体"/>
          <w:sz w:val="24"/>
          <w:szCs w:val="24"/>
          <w:highlight w:val="none"/>
        </w:rPr>
        <w:t>为第三方关联机构名下证书而非投标人自有证书的，对应评分项不予计分。</w:t>
      </w:r>
    </w:p>
    <w:p w14:paraId="16BA5DD8">
      <w:pPr>
        <w:keepNext w:val="0"/>
        <w:keepLines w:val="0"/>
        <w:pageBreakBefore w:val="0"/>
        <w:widowControl w:val="0"/>
        <w:kinsoku/>
        <w:wordWrap/>
        <w:overflowPunct/>
        <w:topLinePunct w:val="0"/>
        <w:autoSpaceDE/>
        <w:autoSpaceDN/>
        <w:bidi w:val="0"/>
        <w:adjustRightInd/>
        <w:snapToGrid/>
        <w:spacing w:before="0" w:beforeLines="50" w:line="430" w:lineRule="exact"/>
        <w:ind w:left="0"/>
        <w:jc w:val="lef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九、付款方式</w:t>
      </w:r>
    </w:p>
    <w:p w14:paraId="0A76DE1D">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（一）结算规则</w:t>
      </w:r>
    </w:p>
    <w:p w14:paraId="498349C8">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 常年法律顾问基础服务费：对应完成全部基础法律顾问服务工作，按完整服务年度结算。</w:t>
      </w:r>
    </w:p>
    <w:p w14:paraId="2915DC38">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 诉讼、仲裁、各类非诉讼专项法律服务：严格依据双方签署生效的《专项服务协议》约定进行结算；无双方签字盖章的专项服务协议，采购人不予结算、不予支付任何专项服务费。</w:t>
      </w:r>
    </w:p>
    <w:p w14:paraId="2BE1DDC2">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 差旅、第三方机构费用（诉讼费、仲裁费、查册费、鉴定、评估、审计等）不属于顾问年费及专项服务费范畴，按照本需求书第四条第3点约定，凭中标服务商提供的合法有效增值税票据据实结算。</w:t>
      </w:r>
    </w:p>
    <w:p w14:paraId="50BB7BAC">
      <w:pPr>
        <w:keepNext w:val="0"/>
        <w:keepLines w:val="0"/>
        <w:pageBreakBefore w:val="0"/>
        <w:widowControl w:val="0"/>
        <w:kinsoku/>
        <w:wordWrap/>
        <w:overflowPunct/>
        <w:topLinePunct w:val="0"/>
        <w:autoSpaceDE/>
        <w:autoSpaceDN/>
        <w:bidi w:val="0"/>
        <w:adjustRightInd/>
        <w:snapToGrid/>
        <w:spacing w:before="0" w:beforeLines="30" w:line="430" w:lineRule="exact"/>
        <w:ind w:left="0"/>
        <w:jc w:val="lef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（二）支付流程</w:t>
      </w:r>
    </w:p>
    <w:p w14:paraId="720C87A6">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 服务周期全部届满后，中标服务商须向采购人提交全套结算资料：全年法律服务汇总报告+服务数量结算明细台账清单；采购人收到全套结算资料后开展履约考核与资料审核；如服务期内服务质量内部考核均达标，审核确认无误后，通知中标服务商开具合法有效的增值税发票；采购人收到合规</w:t>
      </w:r>
      <w:r>
        <w:rPr>
          <w:rFonts w:hint="eastAsia" w:ascii="宋体" w:hAnsi="宋体" w:eastAsia="宋体" w:cs="宋体"/>
          <w:b w:val="0"/>
          <w:bCs w:val="0"/>
          <w:color w:val="auto"/>
          <w:sz w:val="24"/>
          <w:szCs w:val="24"/>
          <w:highlight w:val="none"/>
          <w:lang w:val="en-US" w:eastAsia="zh-CN"/>
        </w:rPr>
        <w:t>发票后6个月内，如果是中小企则按有关规定执行最长不超60天转账支</w:t>
      </w:r>
      <w:r>
        <w:rPr>
          <w:rFonts w:hint="eastAsia" w:ascii="宋体" w:hAnsi="宋体" w:eastAsia="宋体" w:cs="宋体"/>
          <w:b w:val="0"/>
          <w:bCs w:val="0"/>
          <w:sz w:val="24"/>
          <w:szCs w:val="24"/>
          <w:highlight w:val="none"/>
          <w:lang w:val="en-US" w:eastAsia="zh-CN"/>
        </w:rPr>
        <w:t>付常年法律顾问基础服务费。</w:t>
      </w:r>
    </w:p>
    <w:p w14:paraId="27144DBF">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 专项法律服务费用，严格按照对应专项服务协议约定的交付成果、验收条件、付款节点执行。</w:t>
      </w:r>
    </w:p>
    <w:p w14:paraId="42493C5F">
      <w:pPr>
        <w:keepNext w:val="0"/>
        <w:keepLines w:val="0"/>
        <w:pageBreakBefore w:val="0"/>
        <w:widowControl w:val="0"/>
        <w:kinsoku/>
        <w:wordWrap/>
        <w:overflowPunct/>
        <w:topLinePunct w:val="0"/>
        <w:autoSpaceDE/>
        <w:autoSpaceDN/>
        <w:bidi w:val="0"/>
        <w:adjustRightInd/>
        <w:snapToGrid/>
        <w:spacing w:before="0" w:line="430" w:lineRule="exact"/>
        <w:ind w:left="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 所有款项均对公转账至中标服务商律师事务所对公账户，严禁向律师个人账户支付任何服务费。</w:t>
      </w:r>
    </w:p>
    <w:p w14:paraId="618F796A">
      <w:pPr>
        <w:keepNext w:val="0"/>
        <w:keepLines w:val="0"/>
        <w:pageBreakBefore w:val="0"/>
        <w:widowControl w:val="0"/>
        <w:kinsoku/>
        <w:wordWrap/>
        <w:overflowPunct/>
        <w:topLinePunct w:val="0"/>
        <w:autoSpaceDE/>
        <w:autoSpaceDN/>
        <w:bidi w:val="0"/>
        <w:adjustRightInd/>
        <w:snapToGrid/>
        <w:spacing w:before="0" w:beforeLines="50" w:line="430" w:lineRule="exact"/>
        <w:ind w:left="0"/>
        <w:jc w:val="lef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十、评审方式</w:t>
      </w:r>
    </w:p>
    <w:p w14:paraId="2B6F2DF4">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本项目的评审采用</w:t>
      </w:r>
      <w:r>
        <w:rPr>
          <w:rFonts w:hint="eastAsia" w:ascii="宋体" w:hAnsi="宋体" w:eastAsia="宋体" w:cs="宋体"/>
          <w:b/>
          <w:bCs/>
          <w:sz w:val="24"/>
          <w:szCs w:val="24"/>
          <w:highlight w:val="none"/>
          <w:u w:val="single"/>
          <w:lang w:val="en-US" w:eastAsia="zh-CN"/>
        </w:rPr>
        <w:t>综合评分法</w:t>
      </w:r>
      <w:r>
        <w:rPr>
          <w:rFonts w:hint="eastAsia" w:ascii="宋体" w:hAnsi="宋体" w:eastAsia="宋体" w:cs="宋体"/>
          <w:sz w:val="24"/>
          <w:szCs w:val="24"/>
          <w:highlight w:val="none"/>
          <w:lang w:val="en-US" w:eastAsia="zh-CN"/>
        </w:rPr>
        <w:t>，最低报价并非唯一评定标准（评分标准详见附件二《项目评分表》）。本项目评审流程为先开展资格性、符合性初审，评审合格方可进入商务、技术及价格综合详细评审；项目评审总分100分，其中商务部分分值45分，技术部分分值45分，价格部分分值10分，综合得分最高者确定为拟中选法律服务服务商。若出现两家及以上供应商综合得分相同，优先按照投标报价由低至高排序；报价仍一致的，以平台响应报名时间更早者优先。</w:t>
      </w:r>
    </w:p>
    <w:p w14:paraId="1DDDA49C">
      <w:pPr>
        <w:keepNext w:val="0"/>
        <w:keepLines w:val="0"/>
        <w:pageBreakBefore w:val="0"/>
        <w:widowControl w:val="0"/>
        <w:kinsoku/>
        <w:wordWrap/>
        <w:overflowPunct/>
        <w:topLinePunct w:val="0"/>
        <w:autoSpaceDE/>
        <w:autoSpaceDN/>
        <w:bidi w:val="0"/>
        <w:adjustRightInd/>
        <w:snapToGrid/>
        <w:spacing w:before="0" w:beforeLines="50" w:line="430" w:lineRule="exact"/>
        <w:ind w:left="0"/>
        <w:jc w:val="lef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十一、提交方式</w:t>
      </w:r>
    </w:p>
    <w:p w14:paraId="0FE52E0E">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请于2026年9月24日17:00前，将上述资料（招标文件格式详见附件三《响应文件模板（二次）</w:t>
      </w:r>
      <w:bookmarkStart w:id="14" w:name="_GoBack"/>
      <w:bookmarkEnd w:id="14"/>
      <w:r>
        <w:rPr>
          <w:rFonts w:hint="eastAsia" w:ascii="宋体" w:hAnsi="宋体" w:eastAsia="宋体" w:cs="宋体"/>
          <w:sz w:val="24"/>
          <w:szCs w:val="24"/>
          <w:highlight w:val="none"/>
          <w:lang w:val="en-US" w:eastAsia="zh-CN"/>
        </w:rPr>
        <w:t>》）一式三份（正本一份、副本两份）密封并加盖公章，并在投递资料封面注明项目名称、供应商名称、联系人及联系电话。资料可通过现场提交或邮寄方式递交。所有递交的资料均不予退还。</w:t>
      </w:r>
    </w:p>
    <w:p w14:paraId="66247B5E">
      <w:pPr>
        <w:keepNext w:val="0"/>
        <w:keepLines w:val="0"/>
        <w:pageBreakBefore w:val="0"/>
        <w:widowControl w:val="0"/>
        <w:kinsoku/>
        <w:wordWrap/>
        <w:overflowPunct/>
        <w:topLinePunct w:val="0"/>
        <w:autoSpaceDE/>
        <w:autoSpaceDN/>
        <w:bidi w:val="0"/>
        <w:adjustRightInd/>
        <w:snapToGrid/>
        <w:spacing w:before="0" w:line="430" w:lineRule="exact"/>
        <w:ind w:left="0" w:firstLine="482" w:firstLineChars="200"/>
        <w:jc w:val="lef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递交地址：中山市小榄镇兆隆路一号东升医院行政楼七楼采购办。</w:t>
      </w:r>
    </w:p>
    <w:p w14:paraId="209DAC67">
      <w:pPr>
        <w:keepNext w:val="0"/>
        <w:keepLines w:val="0"/>
        <w:pageBreakBefore w:val="0"/>
        <w:widowControl w:val="0"/>
        <w:kinsoku/>
        <w:wordWrap/>
        <w:overflowPunct/>
        <w:topLinePunct w:val="0"/>
        <w:autoSpaceDE/>
        <w:autoSpaceDN/>
        <w:bidi w:val="0"/>
        <w:adjustRightInd/>
        <w:snapToGrid/>
        <w:spacing w:before="0" w:line="430" w:lineRule="exact"/>
        <w:ind w:left="0" w:firstLine="482" w:firstLineChars="200"/>
        <w:jc w:val="lef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超过项目截止时间为止，逾期送达或者未送达指定地点或未按要求密封和加写标记的投标文件，招标人均不予受理。</w:t>
      </w:r>
    </w:p>
    <w:p w14:paraId="723937B3">
      <w:pPr>
        <w:keepNext w:val="0"/>
        <w:keepLines w:val="0"/>
        <w:pageBreakBefore w:val="0"/>
        <w:widowControl w:val="0"/>
        <w:kinsoku/>
        <w:wordWrap/>
        <w:overflowPunct/>
        <w:topLinePunct w:val="0"/>
        <w:autoSpaceDE/>
        <w:autoSpaceDN/>
        <w:bidi w:val="0"/>
        <w:adjustRightInd/>
        <w:snapToGrid/>
        <w:spacing w:before="0" w:line="430" w:lineRule="exact"/>
        <w:ind w:left="0" w:firstLine="482" w:firstLineChars="200"/>
        <w:jc w:val="lef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供应商应在医院采购平台</w:t>
      </w:r>
      <w:r>
        <w:rPr>
          <w:rFonts w:hint="eastAsia" w:ascii="宋体" w:hAnsi="宋体" w:eastAsia="宋体" w:cs="宋体"/>
          <w:b/>
          <w:bCs/>
          <w:sz w:val="24"/>
          <w:szCs w:val="24"/>
          <w:highlight w:val="none"/>
          <w:lang w:val="en-US" w:eastAsia="zh-CN"/>
        </w:rPr>
        <w:fldChar w:fldCharType="begin"/>
      </w:r>
      <w:r>
        <w:rPr>
          <w:rFonts w:hint="eastAsia" w:ascii="宋体" w:hAnsi="宋体" w:eastAsia="宋体" w:cs="宋体"/>
          <w:b/>
          <w:bCs/>
          <w:sz w:val="24"/>
          <w:szCs w:val="24"/>
          <w:highlight w:val="none"/>
          <w:lang w:val="en-US" w:eastAsia="zh-CN"/>
        </w:rPr>
        <w:instrText xml:space="preserve"> HYPERLINK "https://www.cotenders.cn/" </w:instrText>
      </w:r>
      <w:r>
        <w:rPr>
          <w:rFonts w:hint="eastAsia" w:ascii="宋体" w:hAnsi="宋体" w:eastAsia="宋体" w:cs="宋体"/>
          <w:b/>
          <w:bCs/>
          <w:sz w:val="24"/>
          <w:szCs w:val="24"/>
          <w:highlight w:val="none"/>
          <w:lang w:val="en-US" w:eastAsia="zh-CN"/>
        </w:rPr>
        <w:fldChar w:fldCharType="separate"/>
      </w:r>
      <w:r>
        <w:rPr>
          <w:rFonts w:hint="eastAsia" w:ascii="宋体" w:hAnsi="宋体" w:eastAsia="宋体" w:cs="宋体"/>
          <w:b/>
          <w:bCs/>
          <w:sz w:val="24"/>
          <w:szCs w:val="24"/>
          <w:highlight w:val="none"/>
          <w:lang w:val="en-US" w:eastAsia="zh-CN"/>
        </w:rPr>
        <w:t>https://www.cotenders.cn/</w:t>
      </w:r>
      <w:r>
        <w:rPr>
          <w:rFonts w:hint="eastAsia" w:ascii="宋体" w:hAnsi="宋体" w:eastAsia="宋体" w:cs="宋体"/>
          <w:b/>
          <w:bCs/>
          <w:sz w:val="24"/>
          <w:szCs w:val="24"/>
          <w:highlight w:val="none"/>
          <w:lang w:val="en-US" w:eastAsia="zh-CN"/>
        </w:rPr>
        <w:fldChar w:fldCharType="end"/>
      </w:r>
      <w:r>
        <w:rPr>
          <w:rFonts w:hint="eastAsia" w:ascii="宋体" w:hAnsi="宋体" w:eastAsia="宋体" w:cs="宋体"/>
          <w:b/>
          <w:bCs/>
          <w:sz w:val="24"/>
          <w:szCs w:val="24"/>
          <w:highlight w:val="none"/>
          <w:lang w:val="en-US" w:eastAsia="zh-CN"/>
        </w:rPr>
        <w:t>完成项目响应登记并上传电子文件。</w:t>
      </w:r>
    </w:p>
    <w:p w14:paraId="5BEBAA6E">
      <w:pPr>
        <w:keepNext w:val="0"/>
        <w:keepLines w:val="0"/>
        <w:pageBreakBefore w:val="0"/>
        <w:widowControl w:val="0"/>
        <w:kinsoku/>
        <w:wordWrap/>
        <w:overflowPunct/>
        <w:topLinePunct w:val="0"/>
        <w:autoSpaceDE/>
        <w:autoSpaceDN/>
        <w:bidi w:val="0"/>
        <w:adjustRightInd/>
        <w:snapToGrid/>
        <w:spacing w:line="430" w:lineRule="exact"/>
        <w:ind w:left="0"/>
        <w:jc w:val="left"/>
        <w:textAlignment w:val="auto"/>
        <w:rPr>
          <w:rFonts w:hint="eastAsia" w:ascii="宋体" w:hAnsi="宋体" w:eastAsia="宋体" w:cs="宋体"/>
          <w:sz w:val="24"/>
          <w:szCs w:val="24"/>
          <w:highlight w:val="none"/>
          <w:lang w:val="en-US" w:eastAsia="zh-CN"/>
        </w:rPr>
      </w:pPr>
    </w:p>
    <w:p w14:paraId="7AF634F2">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联系人：杨老师</w:t>
      </w:r>
    </w:p>
    <w:p w14:paraId="525A12D6">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联系电话：0760-22896930</w:t>
      </w:r>
    </w:p>
    <w:p w14:paraId="64917D5F">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纪检联系人：吴老师</w:t>
      </w:r>
    </w:p>
    <w:p w14:paraId="3A1BF712">
      <w:pPr>
        <w:keepNext w:val="0"/>
        <w:keepLines w:val="0"/>
        <w:pageBreakBefore w:val="0"/>
        <w:widowControl w:val="0"/>
        <w:kinsoku/>
        <w:wordWrap/>
        <w:overflowPunct/>
        <w:topLinePunct w:val="0"/>
        <w:autoSpaceDE/>
        <w:autoSpaceDN/>
        <w:bidi w:val="0"/>
        <w:adjustRightInd/>
        <w:snapToGrid/>
        <w:spacing w:line="430" w:lineRule="exact"/>
        <w:ind w:left="0"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联系电话：0760-222825236</w:t>
      </w:r>
    </w:p>
    <w:sectPr>
      <w:headerReference r:id="rId3" w:type="default"/>
      <w:footerReference r:id="rId4" w:type="default"/>
      <w:pgSz w:w="11905" w:h="16840"/>
      <w:pgMar w:top="1100" w:right="1009" w:bottom="1100" w:left="1009" w:header="720" w:footer="720"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0387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DCED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81A6F"/>
    <w:rsid w:val="01A94F97"/>
    <w:rsid w:val="04892A7F"/>
    <w:rsid w:val="060C0025"/>
    <w:rsid w:val="0A4D4BA7"/>
    <w:rsid w:val="0B2A20CC"/>
    <w:rsid w:val="0DDE11F1"/>
    <w:rsid w:val="104430E9"/>
    <w:rsid w:val="107E2A3A"/>
    <w:rsid w:val="10C674DC"/>
    <w:rsid w:val="12A72EC2"/>
    <w:rsid w:val="1602382A"/>
    <w:rsid w:val="162B0FD3"/>
    <w:rsid w:val="18E10F09"/>
    <w:rsid w:val="22A83BEE"/>
    <w:rsid w:val="232B271B"/>
    <w:rsid w:val="261D6844"/>
    <w:rsid w:val="275F4CFD"/>
    <w:rsid w:val="2B464111"/>
    <w:rsid w:val="2E116711"/>
    <w:rsid w:val="2EB07346"/>
    <w:rsid w:val="2EDF01FA"/>
    <w:rsid w:val="30F90559"/>
    <w:rsid w:val="33754E96"/>
    <w:rsid w:val="39D505B7"/>
    <w:rsid w:val="3A935D24"/>
    <w:rsid w:val="3D724C86"/>
    <w:rsid w:val="419543F3"/>
    <w:rsid w:val="47FF00FF"/>
    <w:rsid w:val="4BB70DD3"/>
    <w:rsid w:val="4BE12949"/>
    <w:rsid w:val="4F3B724B"/>
    <w:rsid w:val="51A0391C"/>
    <w:rsid w:val="5227141D"/>
    <w:rsid w:val="540C54BB"/>
    <w:rsid w:val="55B04912"/>
    <w:rsid w:val="5C774E9F"/>
    <w:rsid w:val="64494531"/>
    <w:rsid w:val="664408C2"/>
    <w:rsid w:val="668734C3"/>
    <w:rsid w:val="66BC0678"/>
    <w:rsid w:val="68210EBB"/>
    <w:rsid w:val="6871772B"/>
    <w:rsid w:val="717812F3"/>
    <w:rsid w:val="72D05F4C"/>
    <w:rsid w:val="73387BA9"/>
    <w:rsid w:val="75920106"/>
    <w:rsid w:val="78EE69F9"/>
    <w:rsid w:val="7F012D7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paragraph" w:styleId="2">
    <w:name w:val="heading 3"/>
    <w:basedOn w:val="1"/>
    <w:next w:val="1"/>
    <w:qFormat/>
    <w:uiPriority w:val="0"/>
    <w:pPr>
      <w:keepNext/>
      <w:keepLines/>
      <w:spacing w:before="260" w:after="260" w:line="413" w:lineRule="auto"/>
      <w:outlineLvl w:val="2"/>
    </w:pPr>
    <w:rPr>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Normal Indent"/>
    <w:basedOn w:val="1"/>
    <w:next w:val="1"/>
    <w:qFormat/>
    <w:uiPriority w:val="0"/>
    <w:pPr>
      <w:spacing w:line="360" w:lineRule="auto"/>
      <w:ind w:firstLine="420"/>
    </w:p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7318</Words>
  <Characters>7538</Characters>
  <TotalTime>0</TotalTime>
  <ScaleCrop>false</ScaleCrop>
  <LinksUpToDate>false</LinksUpToDate>
  <CharactersWithSpaces>7593</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2026-08-16T03:28:00Z</dcterms:created>
  <dc:creator>Apache POI</dc:creator>
  <cp:lastModifiedBy>Lily</cp:lastModifiedBy>
  <cp:lastPrinted>2026-09-08T10:26:00Z</cp:lastPrinted>
  <dcterms:modified xsi:type="dcterms:W3CDTF">2026-09-18T01:05:04Z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{"Label":"1","ContentProducer":"001191110102MACQD9K64010000","ProduceID":"7674466091661822914","ReservedCode1":"","ContentPropagator":"","PropagateID":"","ReservedCode2":""}</vt:lpwstr>
  </property>
  <property fmtid="{D5CDD505-2E9C-101B-9397-08002B2CF9AE}" pid="3" name="KSOTemplateDocerSaveRecord">
    <vt:lpwstr>eyJoZGlkIjoiZjMxODI1ZDk1NTM3ZThjZDIyMDM0N2Q4Njc3ODMwMjMiLCJ1c2VySWQiOiIyNjI5MDY5MzEifQ==</vt:lpwstr>
  </property>
  <property fmtid="{D5CDD505-2E9C-101B-9397-08002B2CF9AE}" pid="4" name="KSOProductBuildVer">
    <vt:lpwstr>2052-12.1.0.28505</vt:lpwstr>
  </property>
  <property fmtid="{D5CDD505-2E9C-101B-9397-08002B2CF9AE}" pid="5" name="ICV">
    <vt:lpwstr>D77815584F2D4F16B6871F6841D5C369_13</vt:lpwstr>
  </property>
</Properties>
</file>