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C333F">
      <w:pPr>
        <w:pStyle w:val="3"/>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36"/>
          <w:szCs w:val="36"/>
          <w:highlight w:val="none"/>
          <w:lang w:val="en-US" w:eastAsia="zh-CN"/>
        </w:rPr>
      </w:pPr>
      <w:r>
        <w:rPr>
          <w:rFonts w:hint="eastAsia" w:ascii="宋体" w:hAnsi="宋体" w:eastAsia="宋体" w:cs="宋体"/>
          <w:b/>
          <w:bCs/>
          <w:color w:val="auto"/>
          <w:kern w:val="2"/>
          <w:sz w:val="36"/>
          <w:szCs w:val="36"/>
          <w:highlight w:val="none"/>
          <w:lang w:val="en-US" w:eastAsia="zh-CN" w:bidi="ar-SA"/>
        </w:rPr>
        <w:t>附件二 项目评分表</w:t>
      </w:r>
    </w:p>
    <w:p w14:paraId="33D287FF">
      <w:pPr>
        <w:keepNext w:val="0"/>
        <w:keepLines w:val="0"/>
        <w:pageBreakBefore w:val="0"/>
        <w:widowControl w:val="0"/>
        <w:kinsoku/>
        <w:wordWrap/>
        <w:overflowPunct/>
        <w:topLinePunct w:val="0"/>
        <w:autoSpaceDE/>
        <w:autoSpaceDN/>
        <w:bidi w:val="0"/>
        <w:adjustRightInd/>
        <w:snapToGrid/>
        <w:spacing w:before="313" w:beforeLines="100" w:line="400" w:lineRule="exac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分值</w:t>
      </w:r>
      <w:r>
        <w:rPr>
          <w:rFonts w:hint="eastAsia" w:ascii="宋体" w:hAnsi="宋体" w:eastAsia="宋体" w:cs="宋体"/>
          <w:b/>
          <w:bCs/>
          <w:color w:val="auto"/>
          <w:sz w:val="28"/>
          <w:szCs w:val="28"/>
          <w:highlight w:val="none"/>
          <w:lang w:val="en-US" w:eastAsia="zh-CN"/>
        </w:rPr>
        <w:t>分配</w:t>
      </w:r>
      <w:r>
        <w:rPr>
          <w:rFonts w:hint="eastAsia" w:ascii="宋体" w:hAnsi="宋体" w:eastAsia="宋体" w:cs="宋体"/>
          <w:b/>
          <w:bCs/>
          <w:color w:val="auto"/>
          <w:sz w:val="28"/>
          <w:szCs w:val="28"/>
          <w:highlight w:val="none"/>
        </w:rPr>
        <w:t>：</w:t>
      </w:r>
    </w:p>
    <w:p w14:paraId="05323F0F">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总分=商务评审+技术评审</w:t>
      </w:r>
    </w:p>
    <w:tbl>
      <w:tblPr>
        <w:tblStyle w:val="11"/>
        <w:tblpPr w:leftFromText="180" w:rightFromText="180" w:vertAnchor="text" w:horzAnchor="page" w:tblpXSpec="center" w:tblpY="321"/>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4"/>
        <w:gridCol w:w="2101"/>
        <w:gridCol w:w="1895"/>
        <w:gridCol w:w="1923"/>
        <w:gridCol w:w="1929"/>
      </w:tblGrid>
      <w:tr w14:paraId="2671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025" w:type="pct"/>
            <w:vAlign w:val="center"/>
          </w:tcPr>
          <w:p w14:paraId="03D47EDC">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评审</w:t>
            </w:r>
          </w:p>
        </w:tc>
        <w:tc>
          <w:tcPr>
            <w:tcW w:w="1064" w:type="pct"/>
            <w:vAlign w:val="center"/>
          </w:tcPr>
          <w:p w14:paraId="096F3183">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评审</w:t>
            </w:r>
          </w:p>
        </w:tc>
        <w:tc>
          <w:tcPr>
            <w:tcW w:w="960" w:type="pct"/>
            <w:vAlign w:val="center"/>
          </w:tcPr>
          <w:p w14:paraId="6DAE87F1">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价格</w:t>
            </w:r>
          </w:p>
        </w:tc>
        <w:tc>
          <w:tcPr>
            <w:tcW w:w="974" w:type="pct"/>
            <w:vAlign w:val="center"/>
          </w:tcPr>
          <w:p w14:paraId="5D1870E8">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投资金额</w:t>
            </w:r>
          </w:p>
        </w:tc>
        <w:tc>
          <w:tcPr>
            <w:tcW w:w="1661" w:type="dxa"/>
            <w:vAlign w:val="center"/>
          </w:tcPr>
          <w:p w14:paraId="22165B12">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总分</w:t>
            </w:r>
          </w:p>
        </w:tc>
      </w:tr>
      <w:tr w14:paraId="7C5F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25" w:type="pct"/>
            <w:vAlign w:val="center"/>
          </w:tcPr>
          <w:p w14:paraId="18C59C47">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40分</w:t>
            </w:r>
          </w:p>
        </w:tc>
        <w:tc>
          <w:tcPr>
            <w:tcW w:w="1064" w:type="pct"/>
            <w:vAlign w:val="center"/>
          </w:tcPr>
          <w:p w14:paraId="72F6F7F5">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960" w:type="pct"/>
            <w:vAlign w:val="center"/>
          </w:tcPr>
          <w:p w14:paraId="16D6EB32">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974" w:type="pct"/>
            <w:vAlign w:val="center"/>
          </w:tcPr>
          <w:p w14:paraId="292ED446">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20分</w:t>
            </w:r>
          </w:p>
        </w:tc>
        <w:tc>
          <w:tcPr>
            <w:tcW w:w="1661" w:type="dxa"/>
            <w:vAlign w:val="center"/>
          </w:tcPr>
          <w:p w14:paraId="6231E52B">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100分</w:t>
            </w:r>
          </w:p>
        </w:tc>
      </w:tr>
    </w:tbl>
    <w:tbl>
      <w:tblPr>
        <w:tblStyle w:val="11"/>
        <w:tblpPr w:leftFromText="180" w:rightFromText="180" w:vertAnchor="text" w:horzAnchor="page" w:tblpX="1105" w:tblpY="294"/>
        <w:tblOverlap w:val="never"/>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1140"/>
        <w:gridCol w:w="1680"/>
        <w:gridCol w:w="894"/>
        <w:gridCol w:w="6186"/>
      </w:tblGrid>
      <w:tr w14:paraId="01FC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33" w:hRule="atLeast"/>
        </w:trPr>
        <w:tc>
          <w:tcPr>
            <w:tcW w:w="1140" w:type="dxa"/>
            <w:vAlign w:val="center"/>
          </w:tcPr>
          <w:p w14:paraId="5B77E189">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8760" w:type="dxa"/>
            <w:gridSpan w:val="3"/>
            <w:vAlign w:val="center"/>
          </w:tcPr>
          <w:p w14:paraId="321F7CFC">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评审条款</w:t>
            </w:r>
          </w:p>
        </w:tc>
      </w:tr>
      <w:tr w14:paraId="7486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1038" w:hRule="atLeast"/>
        </w:trPr>
        <w:tc>
          <w:tcPr>
            <w:tcW w:w="1140" w:type="dxa"/>
            <w:vAlign w:val="center"/>
          </w:tcPr>
          <w:p w14:paraId="79354E9D">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p w14:paraId="3C149D4B">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构成</w:t>
            </w:r>
          </w:p>
        </w:tc>
        <w:tc>
          <w:tcPr>
            <w:tcW w:w="8760" w:type="dxa"/>
            <w:gridSpan w:val="3"/>
            <w:vAlign w:val="center"/>
          </w:tcPr>
          <w:p w14:paraId="5EEDA54A">
            <w:pPr>
              <w:pStyle w:val="4"/>
              <w:spacing w:line="240" w:lineRule="auto"/>
              <w:ind w:left="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1.技术部分</w:t>
            </w:r>
            <w:r>
              <w:rPr>
                <w:rFonts w:hint="eastAsia" w:ascii="宋体" w:hAnsi="宋体" w:eastAsia="宋体" w:cs="宋体"/>
                <w:color w:val="auto"/>
                <w:sz w:val="21"/>
                <w:szCs w:val="21"/>
                <w:highlight w:val="none"/>
                <w:shd w:val="clear" w:color="auto" w:fill="FFFFFF"/>
                <w:lang w:val="en-US" w:eastAsia="zh-CN"/>
              </w:rPr>
              <w:t>40</w:t>
            </w:r>
            <w:r>
              <w:rPr>
                <w:rFonts w:hint="eastAsia" w:ascii="宋体" w:hAnsi="宋体" w:eastAsia="宋体" w:cs="宋体"/>
                <w:color w:val="auto"/>
                <w:sz w:val="21"/>
                <w:szCs w:val="21"/>
                <w:highlight w:val="none"/>
                <w:shd w:val="clear" w:color="auto" w:fill="FFFFFF"/>
              </w:rPr>
              <w:t>分</w:t>
            </w:r>
          </w:p>
          <w:p w14:paraId="1CCF15B0">
            <w:pPr>
              <w:pStyle w:val="4"/>
              <w:spacing w:line="240" w:lineRule="auto"/>
              <w:ind w:left="0"/>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2.商务部分</w:t>
            </w:r>
            <w:r>
              <w:rPr>
                <w:rFonts w:hint="eastAsia" w:ascii="宋体" w:hAnsi="宋体" w:eastAsia="宋体" w:cs="宋体"/>
                <w:color w:val="auto"/>
                <w:sz w:val="21"/>
                <w:szCs w:val="21"/>
                <w:highlight w:val="none"/>
                <w:shd w:val="clear" w:color="auto" w:fill="FFFFFF"/>
                <w:lang w:val="en-US" w:eastAsia="zh-CN"/>
              </w:rPr>
              <w:t>30分</w:t>
            </w:r>
          </w:p>
          <w:p w14:paraId="3797FA67">
            <w:pPr>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3.价格部分10分</w:t>
            </w:r>
          </w:p>
          <w:p w14:paraId="118541CC">
            <w:pPr>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4.投资金额部分20分</w:t>
            </w:r>
          </w:p>
        </w:tc>
      </w:tr>
      <w:tr w14:paraId="52CE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87" w:hRule="atLeast"/>
        </w:trPr>
        <w:tc>
          <w:tcPr>
            <w:tcW w:w="1140" w:type="dxa"/>
            <w:vMerge w:val="restart"/>
            <w:vAlign w:val="center"/>
          </w:tcPr>
          <w:p w14:paraId="2C3E1524">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w:t>
            </w:r>
          </w:p>
          <w:p w14:paraId="03308017">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w:t>
            </w:r>
          </w:p>
        </w:tc>
        <w:tc>
          <w:tcPr>
            <w:tcW w:w="1680" w:type="dxa"/>
            <w:vAlign w:val="center"/>
          </w:tcPr>
          <w:p w14:paraId="678AD700">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894" w:type="dxa"/>
            <w:vAlign w:val="center"/>
          </w:tcPr>
          <w:p w14:paraId="644AD6DB">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6186" w:type="dxa"/>
            <w:vAlign w:val="center"/>
          </w:tcPr>
          <w:p w14:paraId="2BBCEDB9">
            <w:pPr>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4A1B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74652942">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592DBCE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改</w:t>
            </w:r>
            <w:r>
              <w:rPr>
                <w:rFonts w:hint="eastAsia" w:ascii="宋体" w:hAnsi="宋体" w:eastAsia="宋体" w:cs="宋体"/>
                <w:color w:val="auto"/>
                <w:sz w:val="20"/>
                <w:szCs w:val="20"/>
                <w:highlight w:val="none"/>
                <w:lang w:val="en-US" w:eastAsia="zh-CN"/>
              </w:rPr>
              <w:t>造</w:t>
            </w:r>
            <w:r>
              <w:rPr>
                <w:rFonts w:hint="eastAsia" w:ascii="宋体" w:hAnsi="宋体" w:eastAsia="宋体" w:cs="宋体"/>
                <w:color w:val="auto"/>
                <w:sz w:val="20"/>
                <w:szCs w:val="20"/>
                <w:highlight w:val="none"/>
              </w:rPr>
              <w:t>平面布局优化方案</w:t>
            </w:r>
          </w:p>
        </w:tc>
        <w:tc>
          <w:tcPr>
            <w:tcW w:w="894" w:type="dxa"/>
            <w:vAlign w:val="center"/>
          </w:tcPr>
          <w:p w14:paraId="4E9DC29C">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6186" w:type="dxa"/>
            <w:vAlign w:val="top"/>
          </w:tcPr>
          <w:p w14:paraId="29122EE5">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完全贴合医院现有253㎡场地，食品处理区、就餐区、洗消、粗加工、仓库、分餐、送餐通道分区清晰，符合食安、消防规范，人流、物流分离，无交叉污染：4分</w:t>
            </w:r>
          </w:p>
          <w:p w14:paraId="7BA37ECA">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分区基本合理，仅局部动线存在轻微交叉，可微调：2分</w:t>
            </w:r>
          </w:p>
          <w:p w14:paraId="74973602">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布局混乱，生熟通道、食材与就餐人流混杂：</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tc>
      </w:tr>
      <w:tr w14:paraId="3C2C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4F46B611">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3636AF5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改造</w:t>
            </w:r>
            <w:r>
              <w:rPr>
                <w:rFonts w:hint="eastAsia" w:ascii="宋体" w:hAnsi="宋体" w:eastAsia="宋体" w:cs="宋体"/>
                <w:color w:val="auto"/>
                <w:sz w:val="20"/>
                <w:szCs w:val="20"/>
                <w:highlight w:val="none"/>
              </w:rPr>
              <w:t>面积达标承诺</w:t>
            </w:r>
          </w:p>
        </w:tc>
        <w:tc>
          <w:tcPr>
            <w:tcW w:w="894" w:type="dxa"/>
            <w:vAlign w:val="center"/>
          </w:tcPr>
          <w:p w14:paraId="4F5BF60B">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6186" w:type="dxa"/>
            <w:vAlign w:val="top"/>
          </w:tcPr>
          <w:p w14:paraId="76E7C7A8">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1.承诺扩建装修面积≥200㎡，附详细面积测算、分区面积明细：3分</w:t>
            </w:r>
          </w:p>
          <w:p w14:paraId="5B4CEFC1">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2.改造面积150-199㎡：2分</w:t>
            </w:r>
          </w:p>
          <w:p w14:paraId="26C413BD">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3.改造面积＜150㎡或未明确面积：1分</w:t>
            </w:r>
          </w:p>
        </w:tc>
      </w:tr>
      <w:tr w14:paraId="16A5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4FA01D93">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048A7DE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整体装修设计思路</w:t>
            </w:r>
          </w:p>
        </w:tc>
        <w:tc>
          <w:tcPr>
            <w:tcW w:w="894" w:type="dxa"/>
            <w:vAlign w:val="center"/>
          </w:tcPr>
          <w:p w14:paraId="557A931B">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6186" w:type="dxa"/>
            <w:vAlign w:val="top"/>
          </w:tcPr>
          <w:p w14:paraId="7CC43AE5">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1.提供完整平面施工图、效果图、消防改造图、给排水/电气管线改造图，材料清单齐全：3分</w:t>
            </w:r>
          </w:p>
          <w:p w14:paraId="7FB24213">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2.仅提供简易平面图，缺少效果图或管线图纸：2分</w:t>
            </w:r>
          </w:p>
          <w:p w14:paraId="71397DAD">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3.仅文字描述，无任何图纸：1分</w:t>
            </w:r>
          </w:p>
        </w:tc>
      </w:tr>
      <w:tr w14:paraId="3D3A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3DED275E">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57C8780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智慧餐厅配套硬件投入</w:t>
            </w:r>
          </w:p>
        </w:tc>
        <w:tc>
          <w:tcPr>
            <w:tcW w:w="894" w:type="dxa"/>
            <w:vAlign w:val="center"/>
          </w:tcPr>
          <w:p w14:paraId="3A78A019">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6186" w:type="dxa"/>
            <w:vAlign w:val="top"/>
          </w:tcPr>
          <w:p w14:paraId="7A920646">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1.足额配置自助称重设备、智慧餐盘结算系统、人脸绑卡终端、全区域监控（存储≥30天），监控覆盖烹饪间、洗消间、分餐区、收银、出入口，配套APP订餐系统硬件配套方案完整：4分</w:t>
            </w:r>
          </w:p>
          <w:p w14:paraId="0421BC12">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2.具备智慧结算设备，但监控点位不足、缺少完整订餐硬件配套：2分</w:t>
            </w:r>
          </w:p>
          <w:p w14:paraId="20EF6070">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3.未承诺投入智慧餐厅硬件或监控不达标：0分</w:t>
            </w:r>
          </w:p>
        </w:tc>
      </w:tr>
      <w:tr w14:paraId="6D0C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2CD8D837">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4AC543B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排烟、隔油、消防改造</w:t>
            </w:r>
          </w:p>
        </w:tc>
        <w:tc>
          <w:tcPr>
            <w:tcW w:w="894" w:type="dxa"/>
            <w:vAlign w:val="center"/>
          </w:tcPr>
          <w:p w14:paraId="5DC63C07">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186" w:type="dxa"/>
            <w:vAlign w:val="top"/>
          </w:tcPr>
          <w:p w14:paraId="046D7CD7">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1.全新排烟管道、自动清洗油烟设备、标准化隔油池、增设全套消防灭火、烟感、应急照明设施，附清洗维保计划：2分</w:t>
            </w:r>
          </w:p>
          <w:p w14:paraId="38A84BDE">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2.仅简单翻新原有排烟，无新增消防配套：1分</w:t>
            </w:r>
          </w:p>
          <w:p w14:paraId="2811586F">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3.无排烟、消防改造方案：0分</w:t>
            </w:r>
          </w:p>
        </w:tc>
      </w:tr>
      <w:tr w14:paraId="0E08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2FC4000A">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20B4310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食堂管理服务方案</w:t>
            </w:r>
          </w:p>
        </w:tc>
        <w:tc>
          <w:tcPr>
            <w:tcW w:w="894" w:type="dxa"/>
            <w:vAlign w:val="center"/>
          </w:tcPr>
          <w:p w14:paraId="28D7CA93">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6186" w:type="dxa"/>
            <w:vAlign w:val="top"/>
          </w:tcPr>
          <w:p w14:paraId="0D3FBFC9">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对各</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提供的食堂管理服务方案进行评审，包括但不限于</w:t>
            </w:r>
            <w:r>
              <w:rPr>
                <w:rFonts w:hint="eastAsia" w:ascii="宋体" w:hAnsi="宋体" w:eastAsia="宋体" w:cs="宋体"/>
                <w:color w:val="auto"/>
                <w:sz w:val="20"/>
                <w:szCs w:val="20"/>
                <w:highlight w:val="none"/>
                <w:lang w:val="en-US" w:eastAsia="zh-CN"/>
              </w:rPr>
              <w:t>同类项目服务经验、</w:t>
            </w:r>
            <w:r>
              <w:rPr>
                <w:rFonts w:hint="eastAsia" w:ascii="宋体" w:hAnsi="宋体" w:eastAsia="宋体" w:cs="宋体"/>
                <w:color w:val="auto"/>
                <w:sz w:val="20"/>
                <w:szCs w:val="20"/>
                <w:highlight w:val="none"/>
              </w:rPr>
              <w:t>服务团队的架构、厨房清洁卫生、消防安全管理、厨房日常工作检查、送餐管理、设施设备使用维护等进行评审：</w:t>
            </w:r>
          </w:p>
          <w:p w14:paraId="2ABF5D53">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方案有具体的操作规范、计划安排科学合理、操作可行性强，得</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分；</w:t>
            </w:r>
          </w:p>
          <w:p w14:paraId="3E666232">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方案有较具体的操作规范，计划安排较合理、具有可操作性，得</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分；</w:t>
            </w:r>
          </w:p>
          <w:p w14:paraId="2CD263B3">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方案有基本的操作规范，计划安排不够合理，可操作性一般，得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p>
          <w:p w14:paraId="36B4A221">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方案有基本的操作规范，计划安排不合理，可操作性</w:t>
            </w:r>
            <w:r>
              <w:rPr>
                <w:rFonts w:hint="eastAsia" w:ascii="宋体" w:hAnsi="宋体" w:eastAsia="宋体" w:cs="宋体"/>
                <w:color w:val="auto"/>
                <w:sz w:val="20"/>
                <w:szCs w:val="20"/>
                <w:highlight w:val="none"/>
                <w:lang w:val="en-US" w:eastAsia="zh-CN"/>
              </w:rPr>
              <w:t>差</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57738B0F">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无提供方案或方案不合理</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0分</w:t>
            </w:r>
            <w:r>
              <w:rPr>
                <w:rFonts w:hint="eastAsia" w:ascii="宋体" w:hAnsi="宋体" w:eastAsia="宋体" w:cs="宋体"/>
                <w:color w:val="auto"/>
                <w:sz w:val="20"/>
                <w:szCs w:val="20"/>
                <w:highlight w:val="none"/>
              </w:rPr>
              <w:t>。</w:t>
            </w:r>
          </w:p>
        </w:tc>
      </w:tr>
      <w:tr w14:paraId="773A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472A1EDB">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189D4328">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食品安全、原材料管理及食品卫生管理方案 </w:t>
            </w:r>
          </w:p>
        </w:tc>
        <w:tc>
          <w:tcPr>
            <w:tcW w:w="894" w:type="dxa"/>
            <w:vAlign w:val="center"/>
          </w:tcPr>
          <w:p w14:paraId="51FBB955">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6186" w:type="dxa"/>
            <w:vAlign w:val="top"/>
          </w:tcPr>
          <w:p w14:paraId="43544A41">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对各</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 xml:space="preserve">的食品安全、原材料管理及食品卫生管理方案进行评审： </w:t>
            </w:r>
          </w:p>
          <w:p w14:paraId="7129D397">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食品安全、原材料管理及食品卫生管理方案科学、合理、可行性强，得</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分；</w:t>
            </w:r>
          </w:p>
          <w:p w14:paraId="486453F0">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食品安全、原材料管理及食品卫生管理方案较科学、较合理、可行性较强，得</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分；</w:t>
            </w:r>
          </w:p>
          <w:p w14:paraId="4EAB5611">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食品安全、原材料管理及食品卫生管理方案一般、合理性一般、可行性一般</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得2</w:t>
            </w:r>
            <w:r>
              <w:rPr>
                <w:rFonts w:hint="eastAsia" w:ascii="宋体" w:hAnsi="宋体" w:eastAsia="宋体" w:cs="宋体"/>
                <w:color w:val="auto"/>
                <w:sz w:val="20"/>
                <w:szCs w:val="20"/>
                <w:highlight w:val="none"/>
              </w:rPr>
              <w:t>分；</w:t>
            </w:r>
          </w:p>
          <w:p w14:paraId="283A7594">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食品安全、原材料管理及食品卫生管理方案</w:t>
            </w:r>
            <w:r>
              <w:rPr>
                <w:rFonts w:hint="eastAsia" w:ascii="宋体" w:hAnsi="宋体" w:eastAsia="宋体" w:cs="宋体"/>
                <w:color w:val="auto"/>
                <w:sz w:val="20"/>
                <w:szCs w:val="20"/>
                <w:highlight w:val="none"/>
                <w:lang w:val="en-US" w:eastAsia="zh-CN"/>
              </w:rPr>
              <w:t>差</w:t>
            </w:r>
            <w:r>
              <w:rPr>
                <w:rFonts w:hint="eastAsia" w:ascii="宋体" w:hAnsi="宋体" w:eastAsia="宋体" w:cs="宋体"/>
                <w:color w:val="auto"/>
                <w:sz w:val="20"/>
                <w:szCs w:val="20"/>
                <w:highlight w:val="none"/>
              </w:rPr>
              <w:t>、合理性一</w:t>
            </w:r>
            <w:r>
              <w:rPr>
                <w:rFonts w:hint="eastAsia" w:ascii="宋体" w:hAnsi="宋体" w:eastAsia="宋体" w:cs="宋体"/>
                <w:color w:val="auto"/>
                <w:sz w:val="20"/>
                <w:szCs w:val="20"/>
                <w:highlight w:val="none"/>
                <w:lang w:val="en-US" w:eastAsia="zh-CN"/>
              </w:rPr>
              <w:t>差</w:t>
            </w:r>
            <w:r>
              <w:rPr>
                <w:rFonts w:hint="eastAsia" w:ascii="宋体" w:hAnsi="宋体" w:eastAsia="宋体" w:cs="宋体"/>
                <w:color w:val="auto"/>
                <w:sz w:val="20"/>
                <w:szCs w:val="20"/>
                <w:highlight w:val="none"/>
              </w:rPr>
              <w:t>、可行性一般，</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452E84D4">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无方案或方案不合理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0</w:t>
            </w:r>
            <w:r>
              <w:rPr>
                <w:rFonts w:hint="eastAsia" w:ascii="宋体" w:hAnsi="宋体" w:eastAsia="宋体" w:cs="宋体"/>
                <w:color w:val="auto"/>
                <w:sz w:val="20"/>
                <w:szCs w:val="20"/>
                <w:highlight w:val="none"/>
              </w:rPr>
              <w:t>分。</w:t>
            </w:r>
          </w:p>
        </w:tc>
      </w:tr>
      <w:tr w14:paraId="7100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0AC44A7B">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2724C0E9">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应急预案</w:t>
            </w:r>
          </w:p>
        </w:tc>
        <w:tc>
          <w:tcPr>
            <w:tcW w:w="894" w:type="dxa"/>
            <w:vAlign w:val="center"/>
          </w:tcPr>
          <w:p w14:paraId="7F2E512F">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6186" w:type="dxa"/>
            <w:vAlign w:val="top"/>
          </w:tcPr>
          <w:p w14:paraId="0C37300E">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提供的应急预案（包括但不限于火灾、食物中毒预防、中毒事件应急预案、停水停电应急预案等）进行评审：</w:t>
            </w:r>
          </w:p>
          <w:p w14:paraId="36B5BD50">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方案准确完善、内容科学合理、可操作性强，完全满足用户需求的得</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分；</w:t>
            </w:r>
          </w:p>
          <w:p w14:paraId="0A22F0CC">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方案基本完善、内容基本合理、可操作性强，基本满足用户需求的得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p>
          <w:p w14:paraId="6107D575">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方案基本完善、内容基本合理、无可操作性，仅部分满足用户需求的得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09A97BC4">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无提供方案或方案不合理不得分。</w:t>
            </w:r>
          </w:p>
        </w:tc>
      </w:tr>
      <w:tr w14:paraId="04DE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20404BCD">
            <w:pPr>
              <w:pStyle w:val="4"/>
              <w:spacing w:line="240" w:lineRule="auto"/>
              <w:ind w:left="0"/>
              <w:jc w:val="center"/>
              <w:rPr>
                <w:rFonts w:hint="eastAsia" w:ascii="宋体" w:hAnsi="宋体" w:eastAsia="宋体" w:cs="宋体"/>
                <w:b/>
                <w:bCs/>
                <w:color w:val="auto"/>
                <w:sz w:val="21"/>
                <w:szCs w:val="21"/>
                <w:highlight w:val="none"/>
              </w:rPr>
            </w:pPr>
          </w:p>
        </w:tc>
        <w:tc>
          <w:tcPr>
            <w:tcW w:w="1680" w:type="dxa"/>
            <w:shd w:val="clear" w:color="auto" w:fill="auto"/>
            <w:vAlign w:val="center"/>
          </w:tcPr>
          <w:p w14:paraId="7C2939F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信息化方案</w:t>
            </w:r>
          </w:p>
        </w:tc>
        <w:tc>
          <w:tcPr>
            <w:tcW w:w="894" w:type="dxa"/>
            <w:shd w:val="clear" w:color="auto" w:fill="auto"/>
            <w:vAlign w:val="center"/>
          </w:tcPr>
          <w:p w14:paraId="6EAC57F8">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w:t>
            </w:r>
          </w:p>
        </w:tc>
        <w:tc>
          <w:tcPr>
            <w:tcW w:w="6186" w:type="dxa"/>
            <w:shd w:val="clear" w:color="auto" w:fill="auto"/>
            <w:vAlign w:val="top"/>
          </w:tcPr>
          <w:p w14:paraId="16AE7C6C">
            <w:pPr>
              <w:keepNext w:val="0"/>
              <w:keepLines w:val="0"/>
              <w:pageBreakBefore w:val="0"/>
              <w:kinsoku/>
              <w:wordWrap/>
              <w:overflowPunct/>
              <w:topLinePunct w:val="0"/>
              <w:autoSpaceDE/>
              <w:autoSpaceDN/>
              <w:bidi w:val="0"/>
              <w:adjustRightInd/>
              <w:snapToGrid/>
              <w:spacing w:line="220" w:lineRule="exact"/>
              <w:ind w:firstLine="200" w:firstLineChars="1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已投入使用的智慧餐饮系统，并承诺中标后可运用到本项目</w:t>
            </w:r>
            <w:r>
              <w:rPr>
                <w:rFonts w:hint="eastAsia" w:ascii="宋体" w:hAnsi="宋体" w:eastAsia="宋体" w:cs="宋体"/>
                <w:color w:val="auto"/>
                <w:sz w:val="20"/>
                <w:szCs w:val="20"/>
                <w:highlight w:val="none"/>
                <w:lang w:val="zh-CN"/>
              </w:rPr>
              <w:t>应当具备订餐系统、IC卡消费系统功能开发、配置能力，IC卡具有移动刷卡、个人充值、</w:t>
            </w:r>
            <w:r>
              <w:rPr>
                <w:rFonts w:hint="eastAsia" w:ascii="宋体" w:hAnsi="宋体" w:eastAsia="宋体" w:cs="宋体"/>
                <w:color w:val="auto"/>
                <w:sz w:val="20"/>
                <w:szCs w:val="20"/>
                <w:highlight w:val="none"/>
              </w:rPr>
              <w:t>兼容</w:t>
            </w:r>
            <w:r>
              <w:rPr>
                <w:rFonts w:hint="eastAsia" w:ascii="宋体" w:hAnsi="宋体" w:eastAsia="宋体" w:cs="宋体"/>
                <w:color w:val="auto"/>
                <w:sz w:val="20"/>
                <w:szCs w:val="20"/>
                <w:highlight w:val="none"/>
                <w:lang w:eastAsia="zh-CN"/>
              </w:rPr>
              <w:t>业主方</w:t>
            </w:r>
            <w:r>
              <w:rPr>
                <w:rFonts w:hint="eastAsia" w:ascii="宋体" w:hAnsi="宋体" w:eastAsia="宋体" w:cs="宋体"/>
                <w:color w:val="auto"/>
                <w:sz w:val="20"/>
                <w:szCs w:val="20"/>
                <w:highlight w:val="none"/>
              </w:rPr>
              <w:t>现有</w:t>
            </w:r>
            <w:r>
              <w:rPr>
                <w:rFonts w:hint="eastAsia" w:ascii="宋体" w:hAnsi="宋体" w:eastAsia="宋体" w:cs="宋体"/>
                <w:color w:val="auto"/>
                <w:sz w:val="20"/>
                <w:szCs w:val="20"/>
                <w:highlight w:val="none"/>
                <w:lang w:val="zh-CN"/>
              </w:rPr>
              <w:t>门禁等功能，结算报表能区分招标人充值和个人充值。</w:t>
            </w:r>
            <w:r>
              <w:rPr>
                <w:rFonts w:hint="eastAsia" w:ascii="宋体" w:hAnsi="宋体" w:eastAsia="宋体" w:cs="宋体"/>
                <w:color w:val="auto"/>
                <w:sz w:val="20"/>
                <w:szCs w:val="20"/>
                <w:highlight w:val="none"/>
              </w:rPr>
              <w:t>饭堂信息系统应具备以下功能：</w:t>
            </w:r>
          </w:p>
          <w:p w14:paraId="33A21BF7">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具有饭堂APP网上订餐系统（提供该即将上线APP的相关材料，例如操作界面截图、运行方案等）：</w:t>
            </w:r>
          </w:p>
          <w:p w14:paraId="798B60D8">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具备专有订餐APP且可直接网上订餐。</w:t>
            </w:r>
            <w:r>
              <w:rPr>
                <w:rFonts w:hint="eastAsia" w:ascii="宋体" w:hAnsi="宋体" w:eastAsia="宋体" w:cs="宋体"/>
                <w:color w:val="auto"/>
                <w:sz w:val="20"/>
                <w:szCs w:val="20"/>
                <w:highlight w:val="none"/>
                <w:lang w:eastAsia="zh-CN"/>
              </w:rPr>
              <w:t>业主方</w:t>
            </w:r>
            <w:r>
              <w:rPr>
                <w:rFonts w:hint="eastAsia" w:ascii="宋体" w:hAnsi="宋体" w:eastAsia="宋体" w:cs="宋体"/>
                <w:color w:val="auto"/>
                <w:sz w:val="20"/>
                <w:szCs w:val="20"/>
                <w:highlight w:val="none"/>
              </w:rPr>
              <w:t>的员工可通过手机号或员工代码登录APP，患者或家属通过手机号登录。APP网上订餐系统应可以接受患者信息（病区、姓名、住院号、床号）和员工信息（员工姓名、工号或手机号等）进行订餐，并出具菜品单价明细小票。</w:t>
            </w:r>
          </w:p>
          <w:p w14:paraId="329E27C4">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从饭堂APP网上订餐后，消费者可以查询所订餐食的物流进度，订单完成后还可以在APP网上订餐系统进行消费评价（具有图片上传功能）。</w:t>
            </w:r>
          </w:p>
          <w:p w14:paraId="24282005">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饭堂APP网上订餐系统应有预约点餐（例如提前1天下单）、临时取消订单及增加订单的功能，还具有配送餐方式（有堂食、配送、自提或他人代取</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如由他人代取，需设置核对确认环节如随机取餐码）等多种配送方式的选择。</w:t>
            </w:r>
          </w:p>
          <w:p w14:paraId="2A1EE557">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饭堂信息化系统应具备医院员工在饭堂消费时，系统应具有：“按医院员工就餐补助规则，在系统中直接扣减补贴金额后，再从员工个人饭卡</w:t>
            </w:r>
            <w:r>
              <w:rPr>
                <w:rFonts w:hint="eastAsia" w:ascii="宋体" w:hAnsi="宋体" w:eastAsia="宋体" w:cs="宋体"/>
                <w:color w:val="auto"/>
                <w:sz w:val="20"/>
                <w:szCs w:val="20"/>
                <w:highlight w:val="none"/>
                <w:lang w:val="en-US" w:eastAsia="zh-CN"/>
              </w:rPr>
              <w:t>账</w:t>
            </w:r>
            <w:r>
              <w:rPr>
                <w:rFonts w:hint="eastAsia" w:ascii="宋体" w:hAnsi="宋体" w:eastAsia="宋体" w:cs="宋体"/>
                <w:color w:val="auto"/>
                <w:sz w:val="20"/>
                <w:szCs w:val="20"/>
                <w:highlight w:val="none"/>
              </w:rPr>
              <w:t>号收取差额”的功能（即员工在饭堂消费时，饭堂信息系统从员工的</w:t>
            </w:r>
            <w:r>
              <w:rPr>
                <w:rFonts w:hint="eastAsia" w:ascii="宋体" w:hAnsi="宋体" w:eastAsia="宋体" w:cs="宋体"/>
                <w:color w:val="auto"/>
                <w:sz w:val="20"/>
                <w:szCs w:val="20"/>
                <w:highlight w:val="none"/>
                <w:lang w:eastAsia="zh-CN"/>
              </w:rPr>
              <w:t>个人账号</w:t>
            </w:r>
            <w:r>
              <w:rPr>
                <w:rFonts w:hint="eastAsia" w:ascii="宋体" w:hAnsi="宋体" w:eastAsia="宋体" w:cs="宋体"/>
                <w:color w:val="auto"/>
                <w:sz w:val="20"/>
                <w:szCs w:val="20"/>
                <w:highlight w:val="none"/>
              </w:rPr>
              <w:t>中收取的金额是减去医院补助后的金额），无需再另行统计并集中发放补助。</w:t>
            </w:r>
            <w:r>
              <w:rPr>
                <w:rFonts w:hint="eastAsia" w:ascii="宋体" w:hAnsi="宋体" w:eastAsia="宋体" w:cs="宋体"/>
                <w:color w:val="auto"/>
                <w:sz w:val="20"/>
                <w:szCs w:val="20"/>
                <w:highlight w:val="none"/>
                <w:lang w:eastAsia="zh-CN"/>
              </w:rPr>
              <w:t>中选服务商</w:t>
            </w:r>
            <w:r>
              <w:rPr>
                <w:rFonts w:hint="eastAsia" w:ascii="宋体" w:hAnsi="宋体" w:eastAsia="宋体" w:cs="宋体"/>
                <w:color w:val="auto"/>
                <w:sz w:val="20"/>
                <w:szCs w:val="20"/>
                <w:highlight w:val="none"/>
              </w:rPr>
              <w:t>应配合用餐补助规则的变化而调整。</w:t>
            </w:r>
          </w:p>
          <w:p w14:paraId="7FF69874">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饭堂信息系统应具备移动刷卡系统或手机网上消费（绑定饭卡）功能，让无法到食堂现场就餐的员工在病房订餐也能享受到员工消费补助。APP可对全院员工进行科室分组，对特殊科室分组（ICU、手术室、产房、介入室、胃肠镜室等）的线上订餐自动减免配送费。</w:t>
            </w:r>
          </w:p>
          <w:p w14:paraId="35611B68">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7.</w:t>
            </w:r>
            <w:r>
              <w:rPr>
                <w:rFonts w:hint="eastAsia" w:ascii="宋体" w:hAnsi="宋体" w:eastAsia="宋体" w:cs="宋体"/>
                <w:color w:val="auto"/>
                <w:sz w:val="20"/>
                <w:szCs w:val="20"/>
                <w:highlight w:val="none"/>
              </w:rPr>
              <w:t>饭堂信息系统应具备直接通过员工手机或</w:t>
            </w:r>
            <w:r>
              <w:rPr>
                <w:rFonts w:hint="eastAsia" w:ascii="宋体" w:hAnsi="宋体" w:eastAsia="宋体" w:cs="宋体"/>
                <w:color w:val="auto"/>
                <w:sz w:val="20"/>
                <w:szCs w:val="20"/>
                <w:highlight w:val="none"/>
                <w:lang w:eastAsia="zh-CN"/>
              </w:rPr>
              <w:t>个人账号</w:t>
            </w:r>
            <w:r>
              <w:rPr>
                <w:rFonts w:hint="eastAsia" w:ascii="宋体" w:hAnsi="宋体" w:eastAsia="宋体" w:cs="宋体"/>
                <w:color w:val="auto"/>
                <w:sz w:val="20"/>
                <w:szCs w:val="20"/>
                <w:highlight w:val="none"/>
              </w:rPr>
              <w:t>进行网上充值和无卡手机扫码消费等功能，应具有通过识别员工出示的手机代码直接扣费（员工在食堂一楼消费可享受对应的优惠折扣）</w:t>
            </w:r>
            <w:r>
              <w:rPr>
                <w:rFonts w:hint="eastAsia" w:ascii="宋体" w:hAnsi="宋体" w:eastAsia="宋体" w:cs="宋体"/>
                <w:color w:val="auto"/>
                <w:sz w:val="20"/>
                <w:szCs w:val="20"/>
                <w:highlight w:val="none"/>
                <w:lang w:val="en-US" w:eastAsia="zh-CN"/>
              </w:rPr>
              <w:t>的功能</w:t>
            </w:r>
            <w:r>
              <w:rPr>
                <w:rFonts w:hint="eastAsia" w:ascii="宋体" w:hAnsi="宋体" w:eastAsia="宋体" w:cs="宋体"/>
                <w:color w:val="auto"/>
                <w:sz w:val="20"/>
                <w:szCs w:val="20"/>
                <w:highlight w:val="none"/>
              </w:rPr>
              <w:t>。</w:t>
            </w:r>
          </w:p>
          <w:p w14:paraId="57A8EA95">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8.</w:t>
            </w:r>
            <w:r>
              <w:rPr>
                <w:rFonts w:hint="eastAsia" w:ascii="宋体" w:hAnsi="宋体" w:eastAsia="宋体" w:cs="宋体"/>
                <w:color w:val="auto"/>
                <w:sz w:val="20"/>
                <w:szCs w:val="20"/>
                <w:highlight w:val="none"/>
                <w:lang w:eastAsia="zh-CN"/>
              </w:rPr>
              <w:t>中选服务商</w:t>
            </w:r>
            <w:r>
              <w:rPr>
                <w:rFonts w:hint="eastAsia" w:ascii="宋体" w:hAnsi="宋体" w:eastAsia="宋体" w:cs="宋体"/>
                <w:color w:val="auto"/>
                <w:sz w:val="20"/>
                <w:szCs w:val="20"/>
                <w:highlight w:val="none"/>
              </w:rPr>
              <w:t>提供不同类型的IC卡，享受医院补贴的IC卡应有区别。所有卡均由中标方提供，由</w:t>
            </w:r>
            <w:r>
              <w:rPr>
                <w:rFonts w:hint="eastAsia" w:ascii="宋体" w:hAnsi="宋体" w:eastAsia="宋体" w:cs="宋体"/>
                <w:color w:val="auto"/>
                <w:sz w:val="20"/>
                <w:szCs w:val="20"/>
                <w:highlight w:val="none"/>
                <w:lang w:eastAsia="zh-CN"/>
              </w:rPr>
              <w:t>业主方</w:t>
            </w:r>
            <w:r>
              <w:rPr>
                <w:rFonts w:hint="eastAsia" w:ascii="宋体" w:hAnsi="宋体" w:eastAsia="宋体" w:cs="宋体"/>
                <w:color w:val="auto"/>
                <w:sz w:val="20"/>
                <w:szCs w:val="20"/>
                <w:highlight w:val="none"/>
              </w:rPr>
              <w:t>录入信息、发放、补办、取消等。</w:t>
            </w:r>
          </w:p>
          <w:p w14:paraId="36278362">
            <w:pPr>
              <w:pStyle w:val="14"/>
              <w:keepNext w:val="0"/>
              <w:keepLines w:val="0"/>
              <w:pageBreakBefore w:val="0"/>
              <w:numPr>
                <w:ilvl w:val="0"/>
                <w:numId w:val="0"/>
              </w:numPr>
              <w:kinsoku/>
              <w:wordWrap/>
              <w:overflowPunct/>
              <w:topLinePunct w:val="0"/>
              <w:autoSpaceDE/>
              <w:autoSpaceDN/>
              <w:bidi w:val="0"/>
              <w:adjustRightInd/>
              <w:snapToGrid/>
              <w:spacing w:line="220" w:lineRule="exact"/>
              <w:ind w:left="0" w:leftChars="0" w:firstLine="0" w:firstLineChars="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注：完全满足以上要求并提供系统截图等作为证明材料，每缺少一项证明材料扣2分。</w:t>
            </w:r>
          </w:p>
        </w:tc>
      </w:tr>
      <w:tr w14:paraId="2E0B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549695AD">
            <w:pPr>
              <w:pStyle w:val="4"/>
              <w:spacing w:line="240" w:lineRule="auto"/>
              <w:ind w:left="0"/>
              <w:jc w:val="center"/>
              <w:rPr>
                <w:rFonts w:hint="eastAsia" w:ascii="宋体" w:hAnsi="宋体" w:eastAsia="宋体" w:cs="宋体"/>
                <w:b/>
                <w:bCs/>
                <w:color w:val="auto"/>
                <w:sz w:val="21"/>
                <w:szCs w:val="21"/>
                <w:highlight w:val="none"/>
              </w:rPr>
            </w:pPr>
          </w:p>
        </w:tc>
        <w:tc>
          <w:tcPr>
            <w:tcW w:w="1680" w:type="dxa"/>
            <w:shd w:val="clear" w:color="auto" w:fill="auto"/>
            <w:vAlign w:val="center"/>
          </w:tcPr>
          <w:p w14:paraId="5E1D28A6">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食品原料质量检测</w:t>
            </w:r>
          </w:p>
        </w:tc>
        <w:tc>
          <w:tcPr>
            <w:tcW w:w="894" w:type="dxa"/>
            <w:shd w:val="clear" w:color="auto" w:fill="auto"/>
            <w:vAlign w:val="center"/>
          </w:tcPr>
          <w:p w14:paraId="286656DF">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6186" w:type="dxa"/>
            <w:shd w:val="clear" w:color="auto" w:fill="auto"/>
            <w:vAlign w:val="top"/>
          </w:tcPr>
          <w:p w14:paraId="7C8E8F12">
            <w:pPr>
              <w:keepNext w:val="0"/>
              <w:keepLines w:val="0"/>
              <w:pageBreakBefore w:val="0"/>
              <w:widowControl/>
              <w:numPr>
                <w:ilvl w:val="0"/>
                <w:numId w:val="1"/>
              </w:numPr>
              <w:kinsoku/>
              <w:wordWrap/>
              <w:overflowPunct/>
              <w:topLinePunct w:val="0"/>
              <w:autoSpaceDE/>
              <w:autoSpaceDN/>
              <w:bidi w:val="0"/>
              <w:adjustRightInd/>
              <w:snapToGrid/>
              <w:spacing w:line="220" w:lineRule="exact"/>
              <w:jc w:val="left"/>
              <w:textAlignment w:val="auto"/>
              <w:rPr>
                <w:rStyle w:val="15"/>
                <w:rFonts w:hint="eastAsia" w:ascii="宋体" w:hAnsi="宋体" w:eastAsia="宋体" w:cs="宋体"/>
                <w:color w:val="auto"/>
                <w:sz w:val="20"/>
                <w:szCs w:val="20"/>
                <w:highlight w:val="none"/>
                <w:lang w:bidi="ar"/>
              </w:rPr>
            </w:pPr>
            <w:r>
              <w:rPr>
                <w:rStyle w:val="15"/>
                <w:rFonts w:hint="eastAsia" w:ascii="宋体" w:hAnsi="宋体" w:eastAsia="宋体" w:cs="宋体"/>
                <w:color w:val="auto"/>
                <w:sz w:val="20"/>
                <w:szCs w:val="20"/>
                <w:highlight w:val="none"/>
                <w:lang w:bidi="ar"/>
              </w:rPr>
              <w:t>提供投标截止日前</w:t>
            </w:r>
            <w:r>
              <w:rPr>
                <w:rStyle w:val="15"/>
                <w:rFonts w:hint="eastAsia" w:ascii="宋体" w:hAnsi="宋体" w:eastAsia="宋体" w:cs="宋体"/>
                <w:color w:val="auto"/>
                <w:sz w:val="20"/>
                <w:szCs w:val="20"/>
                <w:highlight w:val="none"/>
                <w:lang w:val="en-US" w:eastAsia="zh-CN" w:bidi="ar"/>
              </w:rPr>
              <w:t>6个月内任意三个月响应服务商委托</w:t>
            </w:r>
            <w:r>
              <w:rPr>
                <w:rStyle w:val="15"/>
                <w:rFonts w:hint="eastAsia" w:ascii="宋体" w:hAnsi="宋体" w:eastAsia="宋体" w:cs="宋体"/>
                <w:color w:val="auto"/>
                <w:sz w:val="20"/>
                <w:szCs w:val="20"/>
                <w:highlight w:val="none"/>
                <w:lang w:bidi="ar"/>
              </w:rPr>
              <w:t>第三方检测</w:t>
            </w:r>
            <w:r>
              <w:rPr>
                <w:rStyle w:val="15"/>
                <w:rFonts w:hint="eastAsia" w:ascii="宋体" w:hAnsi="宋体" w:eastAsia="宋体" w:cs="宋体"/>
                <w:color w:val="auto"/>
                <w:sz w:val="20"/>
                <w:szCs w:val="20"/>
                <w:highlight w:val="none"/>
                <w:lang w:val="en-US" w:eastAsia="zh-CN" w:bidi="ar"/>
              </w:rPr>
              <w:t>公司出具的检测报告</w:t>
            </w:r>
            <w:r>
              <w:rPr>
                <w:rStyle w:val="15"/>
                <w:rFonts w:hint="eastAsia" w:ascii="宋体" w:hAnsi="宋体" w:eastAsia="宋体" w:cs="宋体"/>
                <w:color w:val="auto"/>
                <w:sz w:val="20"/>
                <w:szCs w:val="20"/>
                <w:highlight w:val="none"/>
                <w:lang w:bidi="ar"/>
              </w:rPr>
              <w:t>，</w:t>
            </w:r>
            <w:r>
              <w:rPr>
                <w:rFonts w:hint="eastAsia" w:ascii="宋体" w:hAnsi="宋体" w:eastAsia="宋体" w:cs="宋体"/>
                <w:color w:val="auto"/>
                <w:sz w:val="20"/>
                <w:szCs w:val="20"/>
                <w:highlight w:val="none"/>
              </w:rPr>
              <w:t>八大原材料</w:t>
            </w:r>
            <w:r>
              <w:rPr>
                <w:rStyle w:val="15"/>
                <w:rFonts w:hint="eastAsia" w:ascii="宋体" w:hAnsi="宋体" w:eastAsia="宋体" w:cs="宋体"/>
                <w:color w:val="auto"/>
                <w:sz w:val="20"/>
                <w:szCs w:val="20"/>
                <w:highlight w:val="none"/>
                <w:lang w:bidi="ar"/>
              </w:rPr>
              <w:t>蔬菜类、水产类、大米、蛋类、水果类、</w:t>
            </w:r>
            <w:r>
              <w:rPr>
                <w:rFonts w:hint="eastAsia" w:ascii="宋体" w:hAnsi="宋体" w:eastAsia="宋体" w:cs="宋体"/>
                <w:color w:val="auto"/>
                <w:sz w:val="20"/>
                <w:szCs w:val="20"/>
                <w:highlight w:val="none"/>
              </w:rPr>
              <w:t>食用油类、家禽类、猪肉，</w:t>
            </w:r>
            <w:r>
              <w:rPr>
                <w:rStyle w:val="15"/>
                <w:rFonts w:hint="eastAsia" w:ascii="宋体" w:hAnsi="宋体" w:eastAsia="宋体" w:cs="宋体"/>
                <w:color w:val="auto"/>
                <w:sz w:val="20"/>
                <w:szCs w:val="20"/>
                <w:highlight w:val="none"/>
                <w:lang w:bidi="ar"/>
              </w:rPr>
              <w:t>每提供1类检测报告得</w:t>
            </w:r>
            <w:r>
              <w:rPr>
                <w:rStyle w:val="15"/>
                <w:rFonts w:hint="eastAsia" w:ascii="宋体" w:hAnsi="宋体" w:eastAsia="宋体" w:cs="宋体"/>
                <w:color w:val="auto"/>
                <w:sz w:val="20"/>
                <w:szCs w:val="20"/>
                <w:highlight w:val="none"/>
                <w:lang w:val="en-US" w:eastAsia="zh-CN" w:bidi="ar"/>
              </w:rPr>
              <w:t>0.5</w:t>
            </w:r>
            <w:r>
              <w:rPr>
                <w:rStyle w:val="15"/>
                <w:rFonts w:hint="eastAsia" w:ascii="宋体" w:hAnsi="宋体" w:eastAsia="宋体" w:cs="宋体"/>
                <w:color w:val="auto"/>
                <w:sz w:val="20"/>
                <w:szCs w:val="20"/>
                <w:highlight w:val="none"/>
                <w:lang w:bidi="ar"/>
              </w:rPr>
              <w:t>分，满分</w:t>
            </w:r>
            <w:r>
              <w:rPr>
                <w:rStyle w:val="15"/>
                <w:rFonts w:hint="eastAsia" w:ascii="宋体" w:hAnsi="宋体" w:eastAsia="宋体" w:cs="宋体"/>
                <w:color w:val="auto"/>
                <w:sz w:val="20"/>
                <w:szCs w:val="20"/>
                <w:highlight w:val="none"/>
                <w:lang w:val="en-US" w:eastAsia="zh-CN" w:bidi="ar"/>
              </w:rPr>
              <w:t>4</w:t>
            </w:r>
            <w:r>
              <w:rPr>
                <w:rStyle w:val="15"/>
                <w:rFonts w:hint="eastAsia" w:ascii="宋体" w:hAnsi="宋体" w:eastAsia="宋体" w:cs="宋体"/>
                <w:color w:val="auto"/>
                <w:sz w:val="20"/>
                <w:szCs w:val="20"/>
                <w:highlight w:val="none"/>
                <w:lang w:bidi="ar"/>
              </w:rPr>
              <w:t>分。</w:t>
            </w:r>
          </w:p>
          <w:p w14:paraId="1F5F3B86">
            <w:pPr>
              <w:keepNext w:val="0"/>
              <w:keepLines w:val="0"/>
              <w:pageBreakBefore w:val="0"/>
              <w:widowControl/>
              <w:numPr>
                <w:ilvl w:val="0"/>
                <w:numId w:val="1"/>
              </w:numPr>
              <w:kinsoku/>
              <w:wordWrap/>
              <w:overflowPunct/>
              <w:topLinePunct w:val="0"/>
              <w:autoSpaceDE/>
              <w:autoSpaceDN/>
              <w:bidi w:val="0"/>
              <w:adjustRightInd/>
              <w:snapToGrid/>
              <w:spacing w:line="220" w:lineRule="exact"/>
              <w:jc w:val="left"/>
              <w:textAlignment w:val="auto"/>
              <w:rPr>
                <w:rStyle w:val="15"/>
                <w:rFonts w:hint="eastAsia" w:ascii="宋体" w:hAnsi="宋体" w:eastAsia="宋体" w:cs="宋体"/>
                <w:color w:val="auto"/>
                <w:sz w:val="20"/>
                <w:szCs w:val="20"/>
                <w:highlight w:val="none"/>
                <w:lang w:bidi="ar"/>
              </w:rPr>
            </w:pPr>
            <w:r>
              <w:rPr>
                <w:rStyle w:val="15"/>
                <w:rFonts w:hint="eastAsia" w:ascii="宋体" w:hAnsi="宋体" w:eastAsia="宋体" w:cs="宋体"/>
                <w:color w:val="auto"/>
                <w:sz w:val="20"/>
                <w:szCs w:val="20"/>
                <w:highlight w:val="none"/>
                <w:lang w:bidi="ar"/>
              </w:rPr>
              <w:t>提供投标截止日前</w:t>
            </w:r>
            <w:r>
              <w:rPr>
                <w:rStyle w:val="15"/>
                <w:rFonts w:hint="eastAsia" w:ascii="宋体" w:hAnsi="宋体" w:eastAsia="宋体" w:cs="宋体"/>
                <w:color w:val="auto"/>
                <w:sz w:val="20"/>
                <w:szCs w:val="20"/>
                <w:highlight w:val="none"/>
                <w:lang w:val="en-US" w:eastAsia="zh-CN" w:bidi="ar"/>
              </w:rPr>
              <w:t>6个月内任意一个月响应服务商委托</w:t>
            </w:r>
            <w:r>
              <w:rPr>
                <w:rStyle w:val="15"/>
                <w:rFonts w:hint="eastAsia" w:ascii="宋体" w:hAnsi="宋体" w:eastAsia="宋体" w:cs="宋体"/>
                <w:color w:val="auto"/>
                <w:sz w:val="20"/>
                <w:szCs w:val="20"/>
                <w:highlight w:val="none"/>
                <w:lang w:bidi="ar"/>
              </w:rPr>
              <w:t>第三方检测</w:t>
            </w:r>
            <w:r>
              <w:rPr>
                <w:rStyle w:val="15"/>
                <w:rFonts w:hint="eastAsia" w:ascii="宋体" w:hAnsi="宋体" w:eastAsia="宋体" w:cs="宋体"/>
                <w:color w:val="auto"/>
                <w:sz w:val="20"/>
                <w:szCs w:val="20"/>
                <w:highlight w:val="none"/>
                <w:lang w:val="en-US" w:eastAsia="zh-CN" w:bidi="ar"/>
              </w:rPr>
              <w:t>公司出具的熟食检测报告</w:t>
            </w:r>
            <w:r>
              <w:rPr>
                <w:rStyle w:val="15"/>
                <w:rFonts w:hint="eastAsia" w:ascii="宋体" w:hAnsi="宋体" w:eastAsia="宋体" w:cs="宋体"/>
                <w:color w:val="auto"/>
                <w:sz w:val="20"/>
                <w:szCs w:val="20"/>
                <w:highlight w:val="none"/>
                <w:lang w:eastAsia="zh-CN" w:bidi="ar"/>
              </w:rPr>
              <w:t>，</w:t>
            </w:r>
            <w:r>
              <w:rPr>
                <w:rFonts w:hint="eastAsia" w:ascii="宋体" w:hAnsi="宋体" w:eastAsia="宋体" w:cs="宋体"/>
                <w:color w:val="auto"/>
                <w:sz w:val="20"/>
                <w:szCs w:val="20"/>
                <w:highlight w:val="none"/>
              </w:rPr>
              <w:t>检测内容包括但不限于：菌落总数、沙门氏菌、金黄色葡萄球菌、大肠埃希氏菌O157：H7/NM、单核细胞增生李斯特氏菌、大肠埃希氏菌</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每提供一份不同菜品得0.5分，满分1分</w:t>
            </w:r>
            <w:r>
              <w:rPr>
                <w:rFonts w:hint="eastAsia" w:ascii="宋体" w:hAnsi="宋体" w:eastAsia="宋体" w:cs="宋体"/>
                <w:color w:val="auto"/>
                <w:sz w:val="20"/>
                <w:szCs w:val="20"/>
                <w:highlight w:val="none"/>
                <w:lang w:eastAsia="zh-CN"/>
              </w:rPr>
              <w:t>。</w:t>
            </w:r>
          </w:p>
          <w:p w14:paraId="67277D2D">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kern w:val="2"/>
                <w:sz w:val="20"/>
                <w:szCs w:val="20"/>
                <w:highlight w:val="none"/>
                <w:lang w:val="en-US" w:eastAsia="zh-CN" w:bidi="ar-SA"/>
              </w:rPr>
            </w:pPr>
            <w:r>
              <w:rPr>
                <w:rStyle w:val="15"/>
                <w:rFonts w:hint="eastAsia" w:ascii="宋体" w:hAnsi="宋体" w:eastAsia="宋体" w:cs="宋体"/>
                <w:color w:val="auto"/>
                <w:sz w:val="20"/>
                <w:szCs w:val="20"/>
                <w:highlight w:val="none"/>
                <w:lang w:bidi="ar"/>
              </w:rPr>
              <w:t>注：检测报告委托单位或送检单位须为</w:t>
            </w:r>
            <w:r>
              <w:rPr>
                <w:rStyle w:val="15"/>
                <w:rFonts w:hint="eastAsia" w:ascii="宋体" w:hAnsi="宋体" w:eastAsia="宋体" w:cs="宋体"/>
                <w:color w:val="auto"/>
                <w:sz w:val="20"/>
                <w:szCs w:val="20"/>
                <w:highlight w:val="none"/>
                <w:lang w:eastAsia="zh-CN" w:bidi="ar"/>
              </w:rPr>
              <w:t>响应服务商</w:t>
            </w:r>
            <w:r>
              <w:rPr>
                <w:rStyle w:val="15"/>
                <w:rFonts w:hint="eastAsia" w:ascii="宋体" w:hAnsi="宋体" w:eastAsia="宋体" w:cs="宋体"/>
                <w:color w:val="auto"/>
                <w:sz w:val="20"/>
                <w:szCs w:val="20"/>
                <w:highlight w:val="none"/>
                <w:lang w:bidi="ar"/>
              </w:rPr>
              <w:t>；需提供带有CMA和CNAS标志的第三方检测报告；检测报告应在全国认证认可信息公共服务平台（http://cx.cnca.cn/）上可进行查询，并提供查询截图，且检测报告编号与网站查询截图报告编号需一致；每份检测报告检测结果均为合格或阴性或符合，检测内容任意一项不合格的不得分。</w:t>
            </w:r>
          </w:p>
        </w:tc>
      </w:tr>
      <w:tr w14:paraId="2FF2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restart"/>
            <w:vAlign w:val="center"/>
          </w:tcPr>
          <w:p w14:paraId="52F32D19">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w:t>
            </w:r>
          </w:p>
          <w:p w14:paraId="22E75472">
            <w:pPr>
              <w:pStyle w:val="4"/>
              <w:spacing w:line="240" w:lineRule="auto"/>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w:t>
            </w:r>
          </w:p>
        </w:tc>
        <w:tc>
          <w:tcPr>
            <w:tcW w:w="1680" w:type="dxa"/>
            <w:shd w:val="clear" w:color="auto" w:fill="auto"/>
            <w:vAlign w:val="center"/>
          </w:tcPr>
          <w:p w14:paraId="53B7F16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rPr>
              <w:t>食品安全追溯能力</w:t>
            </w:r>
          </w:p>
        </w:tc>
        <w:tc>
          <w:tcPr>
            <w:tcW w:w="894" w:type="dxa"/>
            <w:shd w:val="clear" w:color="auto" w:fill="auto"/>
            <w:vAlign w:val="center"/>
          </w:tcPr>
          <w:p w14:paraId="183EB0D3">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lang w:val="en-US" w:eastAsia="zh-CN"/>
              </w:rPr>
              <w:t>2</w:t>
            </w:r>
          </w:p>
        </w:tc>
        <w:tc>
          <w:tcPr>
            <w:tcW w:w="6186" w:type="dxa"/>
            <w:shd w:val="clear" w:color="auto" w:fill="auto"/>
            <w:vAlign w:val="center"/>
          </w:tcPr>
          <w:p w14:paraId="0CB72457">
            <w:pPr>
              <w:keepNext w:val="0"/>
              <w:keepLines w:val="0"/>
              <w:pageBreakBefore w:val="0"/>
              <w:widowControl/>
              <w:numPr>
                <w:ilvl w:val="0"/>
                <w:numId w:val="0"/>
              </w:numPr>
              <w:kinsoku/>
              <w:wordWrap/>
              <w:overflowPunct/>
              <w:topLinePunct w:val="0"/>
              <w:autoSpaceDE/>
              <w:autoSpaceDN/>
              <w:bidi w:val="0"/>
              <w:adjustRightInd/>
              <w:snapToGrid/>
              <w:spacing w:line="220" w:lineRule="exact"/>
              <w:ind w:left="0" w:leftChars="0" w:firstLine="0" w:firstLineChars="0"/>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自有食品质量安全追溯系统，提供系统截图证明及</w:t>
            </w:r>
            <w:r>
              <w:rPr>
                <w:rFonts w:hint="eastAsia" w:ascii="宋体" w:hAnsi="宋体" w:eastAsia="宋体" w:cs="宋体"/>
                <w:color w:val="auto"/>
                <w:sz w:val="20"/>
                <w:szCs w:val="20"/>
                <w:highlight w:val="none"/>
                <w:lang w:val="en-US" w:eastAsia="zh-CN"/>
              </w:rPr>
              <w:t>响应服务商名下的</w:t>
            </w:r>
            <w:r>
              <w:rPr>
                <w:rFonts w:hint="eastAsia" w:ascii="宋体" w:hAnsi="宋体" w:eastAsia="宋体" w:cs="宋体"/>
                <w:color w:val="auto"/>
                <w:sz w:val="20"/>
                <w:szCs w:val="20"/>
                <w:highlight w:val="none"/>
              </w:rPr>
              <w:t>软件著作权证明，得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使用购买或租赁的食品质量安全追溯系统的提供购买或租赁合同、购买或租赁发票、系统截图证明，得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分，无食品安全追溯系统的不得分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本小项满分2分。</w:t>
            </w:r>
          </w:p>
        </w:tc>
      </w:tr>
      <w:tr w14:paraId="7A27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4BD36DCE">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773C60C2">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体系认证情况</w:t>
            </w:r>
          </w:p>
        </w:tc>
        <w:tc>
          <w:tcPr>
            <w:tcW w:w="894" w:type="dxa"/>
            <w:vAlign w:val="center"/>
          </w:tcPr>
          <w:p w14:paraId="58FF1B78">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lang w:val="en-US" w:eastAsia="zh-CN"/>
              </w:rPr>
              <w:t>4</w:t>
            </w:r>
          </w:p>
        </w:tc>
        <w:tc>
          <w:tcPr>
            <w:tcW w:w="6186" w:type="dxa"/>
            <w:vAlign w:val="center"/>
          </w:tcPr>
          <w:p w14:paraId="12EDE365">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lang w:val="en-US" w:eastAsia="zh-CN"/>
              </w:rPr>
              <w:t>符合GB/T 19001-2016/1S0 9001:2015的要求，并取得</w:t>
            </w:r>
            <w:r>
              <w:rPr>
                <w:rFonts w:hint="eastAsia" w:ascii="宋体" w:hAnsi="宋体" w:eastAsia="宋体" w:cs="宋体"/>
                <w:color w:val="auto"/>
                <w:sz w:val="20"/>
                <w:szCs w:val="20"/>
                <w:highlight w:val="none"/>
              </w:rPr>
              <w:t>有效的质量管理体系认证</w:t>
            </w:r>
            <w:r>
              <w:rPr>
                <w:rFonts w:hint="eastAsia" w:ascii="宋体" w:hAnsi="宋体" w:eastAsia="宋体" w:cs="宋体"/>
                <w:color w:val="auto"/>
                <w:sz w:val="20"/>
                <w:szCs w:val="20"/>
                <w:highlight w:val="none"/>
                <w:lang w:val="en-US" w:eastAsia="zh-CN"/>
              </w:rPr>
              <w:t>证书</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提供得0.5分</w:t>
            </w:r>
            <w:r>
              <w:rPr>
                <w:rFonts w:hint="eastAsia" w:ascii="宋体" w:hAnsi="宋体" w:eastAsia="宋体" w:cs="宋体"/>
                <w:color w:val="auto"/>
                <w:sz w:val="20"/>
                <w:szCs w:val="20"/>
                <w:highlight w:val="none"/>
                <w:lang w:eastAsia="zh-CN"/>
              </w:rPr>
              <w:t>。</w:t>
            </w:r>
          </w:p>
          <w:p w14:paraId="487B51E0">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w:t>
            </w:r>
            <w:r>
              <w:rPr>
                <w:rFonts w:hint="eastAsia" w:ascii="宋体" w:hAnsi="宋体" w:eastAsia="宋体" w:cs="宋体"/>
                <w:color w:val="auto"/>
                <w:sz w:val="20"/>
                <w:szCs w:val="20"/>
                <w:highlight w:val="none"/>
              </w:rPr>
              <w:t>GB/T45001-2020/IS045001:2018</w:t>
            </w:r>
            <w:r>
              <w:rPr>
                <w:rFonts w:hint="eastAsia" w:ascii="宋体" w:hAnsi="宋体" w:eastAsia="宋体" w:cs="宋体"/>
                <w:color w:val="auto"/>
                <w:sz w:val="20"/>
                <w:szCs w:val="20"/>
                <w:highlight w:val="none"/>
                <w:lang w:val="en-US" w:eastAsia="zh-CN"/>
              </w:rPr>
              <w:t>的要求，并取得有效的</w:t>
            </w:r>
            <w:r>
              <w:rPr>
                <w:rFonts w:hint="eastAsia" w:ascii="宋体" w:hAnsi="宋体" w:eastAsia="宋体" w:cs="宋体"/>
                <w:color w:val="auto"/>
                <w:sz w:val="20"/>
                <w:szCs w:val="20"/>
                <w:highlight w:val="none"/>
              </w:rPr>
              <w:t>职业健康安全管理体系</w:t>
            </w:r>
            <w:r>
              <w:rPr>
                <w:rFonts w:hint="eastAsia" w:ascii="宋体" w:hAnsi="宋体" w:eastAsia="宋体" w:cs="宋体"/>
                <w:color w:val="auto"/>
                <w:sz w:val="20"/>
                <w:szCs w:val="20"/>
                <w:highlight w:val="none"/>
                <w:lang w:val="en-US" w:eastAsia="zh-CN"/>
              </w:rPr>
              <w:t>认证证书</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提供得0.5分</w:t>
            </w:r>
            <w:r>
              <w:rPr>
                <w:rFonts w:hint="eastAsia" w:ascii="宋体" w:hAnsi="宋体" w:eastAsia="宋体" w:cs="宋体"/>
                <w:color w:val="auto"/>
                <w:sz w:val="20"/>
                <w:szCs w:val="20"/>
                <w:highlight w:val="none"/>
                <w:lang w:eastAsia="zh-CN"/>
              </w:rPr>
              <w:t>。</w:t>
            </w:r>
          </w:p>
          <w:p w14:paraId="2A7A9964">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响应服务商符合GB/TT24001-2016/ISO4001:2015的要求，并取得环境管理体系认证证书，提供得0.5分。</w:t>
            </w:r>
          </w:p>
          <w:p w14:paraId="0FF64F54">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w:t>
            </w:r>
            <w:r>
              <w:rPr>
                <w:rFonts w:hint="eastAsia" w:ascii="宋体" w:hAnsi="宋体" w:eastAsia="宋体" w:cs="宋体"/>
                <w:color w:val="auto"/>
                <w:sz w:val="20"/>
                <w:szCs w:val="20"/>
                <w:highlight w:val="none"/>
              </w:rPr>
              <w:t>IS0 22000:2018</w:t>
            </w:r>
            <w:r>
              <w:rPr>
                <w:rFonts w:hint="eastAsia" w:ascii="宋体" w:hAnsi="宋体" w:eastAsia="宋体" w:cs="宋体"/>
                <w:color w:val="auto"/>
                <w:sz w:val="20"/>
                <w:szCs w:val="20"/>
                <w:highlight w:val="none"/>
                <w:lang w:val="en-US" w:eastAsia="zh-CN"/>
              </w:rPr>
              <w:t>的要求，并取得有效的</w:t>
            </w:r>
            <w:r>
              <w:rPr>
                <w:rFonts w:hint="eastAsia" w:ascii="宋体" w:hAnsi="宋体" w:eastAsia="宋体" w:cs="宋体"/>
                <w:color w:val="auto"/>
                <w:sz w:val="20"/>
                <w:szCs w:val="20"/>
                <w:highlight w:val="none"/>
              </w:rPr>
              <w:t>食品安全管理体系认证证书</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提供得0.5分</w:t>
            </w:r>
            <w:r>
              <w:rPr>
                <w:rFonts w:hint="eastAsia" w:ascii="宋体" w:hAnsi="宋体" w:eastAsia="宋体" w:cs="宋体"/>
                <w:color w:val="auto"/>
                <w:sz w:val="20"/>
                <w:szCs w:val="20"/>
                <w:highlight w:val="none"/>
                <w:lang w:eastAsia="zh-CN"/>
              </w:rPr>
              <w:t>。</w:t>
            </w:r>
          </w:p>
          <w:p w14:paraId="46490DD8">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响应服务商符合《危害分析与关键控制点(HACCP)体系认证要求(V1.0)》的要求，并取得有效的</w:t>
            </w:r>
            <w:r>
              <w:rPr>
                <w:rFonts w:hint="eastAsia" w:ascii="宋体" w:hAnsi="宋体" w:eastAsia="宋体" w:cs="宋体"/>
                <w:color w:val="auto"/>
                <w:sz w:val="20"/>
                <w:szCs w:val="20"/>
                <w:highlight w:val="none"/>
              </w:rPr>
              <w:t>危害分析与关键控制点体系（HACCP）认证证书</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提供得0.5分</w:t>
            </w:r>
            <w:r>
              <w:rPr>
                <w:rFonts w:hint="eastAsia" w:ascii="宋体" w:hAnsi="宋体" w:eastAsia="宋体" w:cs="宋体"/>
                <w:color w:val="auto"/>
                <w:sz w:val="20"/>
                <w:szCs w:val="20"/>
                <w:highlight w:val="none"/>
                <w:lang w:eastAsia="zh-CN"/>
              </w:rPr>
              <w:t>。</w:t>
            </w:r>
          </w:p>
          <w:p w14:paraId="71AF6F8D">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响应服务商符合ISO 28000:2022的要求，并取得有效的供应链安全管理体系认证证书，提供得0.5分。</w:t>
            </w:r>
          </w:p>
          <w:p w14:paraId="5FA7C110">
            <w:pPr>
              <w:keepNext w:val="0"/>
              <w:keepLines w:val="0"/>
              <w:pageBreakBefore w:val="0"/>
              <w:numPr>
                <w:ilvl w:val="0"/>
                <w:numId w:val="2"/>
              </w:numPr>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响应服务商符合 SB/T 10580-2011或GB/T29590-2013、Q/GDZR 051-2022的要求，并取得有效的餐饮企业现场管理评价认证/企业现场管理评价认证证书，提供得1分。</w:t>
            </w:r>
          </w:p>
          <w:p w14:paraId="2AC58AAA">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r>
              <w:rPr>
                <w:rFonts w:hint="eastAsia" w:ascii="宋体" w:hAnsi="宋体" w:eastAsia="宋体" w:cs="宋体"/>
                <w:color w:val="auto"/>
                <w:sz w:val="20"/>
                <w:szCs w:val="20"/>
                <w:highlight w:val="none"/>
                <w:lang w:val="en-US" w:eastAsia="zh-CN"/>
              </w:rPr>
              <w:t>此项</w:t>
            </w:r>
            <w:r>
              <w:rPr>
                <w:rFonts w:hint="eastAsia" w:ascii="宋体" w:hAnsi="宋体" w:eastAsia="宋体" w:cs="宋体"/>
                <w:color w:val="auto"/>
                <w:sz w:val="20"/>
                <w:szCs w:val="20"/>
                <w:highlight w:val="none"/>
              </w:rPr>
              <w:t>满分为</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分。提供有效期内证书复印件和在全国认证认可信息公共服务平台（http://cx.cnca.cn/CertECloud/index/</w:t>
            </w:r>
          </w:p>
          <w:p w14:paraId="1292280B">
            <w:pPr>
              <w:keepNext w:val="0"/>
              <w:keepLines w:val="0"/>
              <w:pageBreakBefore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index/page）查询截图，证书必须处于“有效”状态。公开信息中无法查询或与公开信息不一致的，</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必须提供发证机构出具的证明函。）</w:t>
            </w:r>
          </w:p>
        </w:tc>
      </w:tr>
      <w:tr w14:paraId="7D36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571FD8A0">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57675F14">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拟投入团队人员</w:t>
            </w:r>
          </w:p>
        </w:tc>
        <w:tc>
          <w:tcPr>
            <w:tcW w:w="894" w:type="dxa"/>
            <w:vAlign w:val="center"/>
          </w:tcPr>
          <w:p w14:paraId="403DB130">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lang w:val="en-US" w:eastAsia="zh-CN"/>
              </w:rPr>
              <w:t>2</w:t>
            </w:r>
          </w:p>
        </w:tc>
        <w:tc>
          <w:tcPr>
            <w:tcW w:w="6186" w:type="dxa"/>
            <w:vAlign w:val="top"/>
          </w:tcPr>
          <w:p w14:paraId="4F927467">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拟投入团队人员中：</w:t>
            </w:r>
          </w:p>
          <w:p w14:paraId="30EFD6FB">
            <w:pPr>
              <w:pStyle w:val="9"/>
              <w:keepNext w:val="0"/>
              <w:keepLines w:val="0"/>
              <w:pageBreakBefore w:val="0"/>
              <w:widowControl w:val="0"/>
              <w:numPr>
                <w:ilvl w:val="0"/>
                <w:numId w:val="0"/>
              </w:numPr>
              <w:kinsoku/>
              <w:wordWrap/>
              <w:overflowPunct/>
              <w:topLinePunct w:val="0"/>
              <w:autoSpaceDE/>
              <w:autoSpaceDN/>
              <w:bidi w:val="0"/>
              <w:adjustRightInd/>
              <w:snapToGrid/>
              <w:spacing w:after="0"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项目</w:t>
            </w:r>
            <w:r>
              <w:rPr>
                <w:rFonts w:hint="eastAsia" w:ascii="宋体" w:hAnsi="宋体" w:eastAsia="宋体" w:cs="宋体"/>
                <w:color w:val="auto"/>
                <w:sz w:val="20"/>
                <w:szCs w:val="20"/>
                <w:highlight w:val="none"/>
                <w:lang w:val="en-US" w:eastAsia="zh-CN"/>
              </w:rPr>
              <w:t>总</w:t>
            </w:r>
            <w:r>
              <w:rPr>
                <w:rFonts w:hint="eastAsia" w:ascii="宋体" w:hAnsi="宋体" w:eastAsia="宋体" w:cs="宋体"/>
                <w:color w:val="auto"/>
                <w:sz w:val="20"/>
                <w:szCs w:val="20"/>
                <w:highlight w:val="none"/>
              </w:rPr>
              <w:t>负责人：同时具有</w:t>
            </w:r>
            <w:r>
              <w:rPr>
                <w:rFonts w:hint="eastAsia" w:ascii="宋体" w:hAnsi="宋体" w:eastAsia="宋体" w:cs="宋体"/>
                <w:color w:val="auto"/>
                <w:sz w:val="20"/>
                <w:szCs w:val="20"/>
                <w:highlight w:val="none"/>
                <w:lang w:val="en-US" w:eastAsia="zh-CN"/>
              </w:rPr>
              <w:t>高级餐饮职业经理人</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高级健康管理师、高级农产品检验员证书，</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分</w:t>
            </w:r>
          </w:p>
          <w:p w14:paraId="72C30681">
            <w:pPr>
              <w:pStyle w:val="9"/>
              <w:keepNext w:val="0"/>
              <w:keepLines w:val="0"/>
              <w:pageBreakBefore w:val="0"/>
              <w:widowControl w:val="0"/>
              <w:numPr>
                <w:ilvl w:val="0"/>
                <w:numId w:val="0"/>
              </w:numPr>
              <w:kinsoku/>
              <w:wordWrap/>
              <w:overflowPunct/>
              <w:topLinePunct w:val="0"/>
              <w:autoSpaceDE/>
              <w:autoSpaceDN/>
              <w:bidi w:val="0"/>
              <w:adjustRightInd/>
              <w:snapToGrid/>
              <w:spacing w:after="0"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（2）项目经理：具有高级食品安全管理员证书得2分</w:t>
            </w:r>
          </w:p>
          <w:p w14:paraId="2CCA6C68">
            <w:pPr>
              <w:pStyle w:val="9"/>
              <w:keepNext w:val="0"/>
              <w:keepLines w:val="0"/>
              <w:pageBreakBefore w:val="0"/>
              <w:widowControl w:val="0"/>
              <w:numPr>
                <w:ilvl w:val="0"/>
                <w:numId w:val="0"/>
              </w:numPr>
              <w:kinsoku/>
              <w:wordWrap/>
              <w:overflowPunct/>
              <w:topLinePunct w:val="0"/>
              <w:autoSpaceDE/>
              <w:autoSpaceDN/>
              <w:bidi w:val="0"/>
              <w:adjustRightInd/>
              <w:snapToGrid/>
              <w:spacing w:after="0" w:line="220" w:lineRule="exact"/>
              <w:ind w:left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（3）营养师</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具备高级营养师证书</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p>
          <w:p w14:paraId="54BE4A69">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）厨师长：同时具有高级中式烹调师证和高级食品安全管理员证书，得2分；</w:t>
            </w:r>
          </w:p>
          <w:p w14:paraId="1B45A881">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）服务人员（除项目负责人、</w:t>
            </w:r>
            <w:r>
              <w:rPr>
                <w:rFonts w:hint="eastAsia" w:ascii="宋体" w:hAnsi="宋体" w:eastAsia="宋体" w:cs="宋体"/>
                <w:color w:val="auto"/>
                <w:sz w:val="20"/>
                <w:szCs w:val="20"/>
                <w:highlight w:val="none"/>
                <w:lang w:val="en-US" w:eastAsia="zh-CN"/>
              </w:rPr>
              <w:t>营养师</w:t>
            </w:r>
            <w:r>
              <w:rPr>
                <w:rFonts w:hint="eastAsia" w:ascii="宋体" w:hAnsi="宋体" w:eastAsia="宋体" w:cs="宋体"/>
                <w:color w:val="auto"/>
                <w:sz w:val="20"/>
                <w:szCs w:val="20"/>
                <w:highlight w:val="none"/>
              </w:rPr>
              <w:t>、厨师长外）：</w:t>
            </w:r>
          </w:p>
          <w:p w14:paraId="2AA04CA0">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①配备专职食品安全管理员，提供高级食品安全管理员证书，得1分，中级的得0.5分，本小项最高得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44A64711">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②配备</w:t>
            </w:r>
            <w:r>
              <w:rPr>
                <w:rFonts w:hint="eastAsia" w:ascii="宋体" w:hAnsi="宋体" w:eastAsia="宋体" w:cs="宋体"/>
                <w:color w:val="auto"/>
                <w:sz w:val="20"/>
                <w:szCs w:val="20"/>
                <w:highlight w:val="none"/>
                <w:lang w:val="en-US" w:eastAsia="zh-CN"/>
              </w:rPr>
              <w:t>高级中式烹调</w:t>
            </w:r>
            <w:r>
              <w:rPr>
                <w:rFonts w:hint="eastAsia" w:ascii="宋体" w:hAnsi="宋体" w:eastAsia="宋体" w:cs="宋体"/>
                <w:color w:val="auto"/>
                <w:sz w:val="20"/>
                <w:szCs w:val="20"/>
                <w:highlight w:val="none"/>
              </w:rPr>
              <w:t>师，</w:t>
            </w:r>
            <w:r>
              <w:rPr>
                <w:rFonts w:hint="eastAsia" w:ascii="宋体" w:hAnsi="宋体" w:eastAsia="宋体" w:cs="宋体"/>
                <w:color w:val="auto"/>
                <w:sz w:val="20"/>
                <w:szCs w:val="20"/>
                <w:highlight w:val="none"/>
                <w:lang w:val="en-US" w:eastAsia="zh-CN"/>
              </w:rPr>
              <w:t>每提供一个证书</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0.5</w:t>
            </w:r>
            <w:r>
              <w:rPr>
                <w:rFonts w:hint="eastAsia" w:ascii="宋体" w:hAnsi="宋体" w:eastAsia="宋体" w:cs="宋体"/>
                <w:color w:val="auto"/>
                <w:sz w:val="20"/>
                <w:szCs w:val="20"/>
                <w:highlight w:val="none"/>
              </w:rPr>
              <w:t>分，本小项最高得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4857721F">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③具有高级西式面点师的，</w:t>
            </w:r>
            <w:r>
              <w:rPr>
                <w:rFonts w:hint="eastAsia" w:ascii="宋体" w:hAnsi="宋体" w:eastAsia="宋体" w:cs="宋体"/>
                <w:color w:val="auto"/>
                <w:sz w:val="20"/>
                <w:szCs w:val="20"/>
                <w:highlight w:val="none"/>
                <w:lang w:val="en-US" w:eastAsia="zh-CN"/>
              </w:rPr>
              <w:t>每提供一个</w:t>
            </w:r>
            <w:r>
              <w:rPr>
                <w:rFonts w:hint="eastAsia" w:ascii="宋体" w:hAnsi="宋体" w:eastAsia="宋体" w:cs="宋体"/>
                <w:color w:val="auto"/>
                <w:sz w:val="20"/>
                <w:szCs w:val="20"/>
                <w:highlight w:val="none"/>
              </w:rPr>
              <w:t>得</w:t>
            </w:r>
            <w:r>
              <w:rPr>
                <w:rFonts w:hint="eastAsia" w:ascii="宋体" w:hAnsi="宋体" w:eastAsia="宋体" w:cs="宋体"/>
                <w:color w:val="auto"/>
                <w:sz w:val="20"/>
                <w:szCs w:val="20"/>
                <w:highlight w:val="none"/>
                <w:lang w:val="en-US" w:eastAsia="zh-CN"/>
              </w:rPr>
              <w:t>0.5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本小项目最高1分</w:t>
            </w:r>
            <w:r>
              <w:rPr>
                <w:rFonts w:hint="eastAsia" w:ascii="宋体" w:hAnsi="宋体" w:eastAsia="宋体" w:cs="宋体"/>
                <w:color w:val="auto"/>
                <w:sz w:val="20"/>
                <w:szCs w:val="20"/>
                <w:highlight w:val="none"/>
              </w:rPr>
              <w:t>。</w:t>
            </w:r>
          </w:p>
          <w:p w14:paraId="5A780F61">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注：（1）投标文件中需提供人员配置清单（格式自拟）和人员相关证明文件并加盖公章。 （2）关于人员用工形式的证明（</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满足以下任意一项即可，未按要求提供的不得分）：</w:t>
            </w:r>
          </w:p>
          <w:p w14:paraId="17F4C0AD">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a）提供</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 xml:space="preserve">为其购买的投标文件提交截止时间为止近6个月内任意1个月的社保证明复印件； </w:t>
            </w:r>
          </w:p>
          <w:p w14:paraId="3B3088DF">
            <w:pPr>
              <w:pStyle w:val="9"/>
              <w:keepNext w:val="0"/>
              <w:keepLines w:val="0"/>
              <w:pageBreakBefore w:val="0"/>
              <w:widowControl w:val="0"/>
              <w:kinsoku/>
              <w:wordWrap/>
              <w:overflowPunct/>
              <w:topLinePunct w:val="0"/>
              <w:autoSpaceDE/>
              <w:autoSpaceDN/>
              <w:bidi w:val="0"/>
              <w:adjustRightInd/>
              <w:snapToGrid/>
              <w:spacing w:after="0" w:line="220" w:lineRule="exact"/>
              <w:ind w:left="0" w:leftChars="0"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b）如果</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成立时间或该人员入职不足1个月，则提供人员入职证明或用工证明资料。</w:t>
            </w:r>
          </w:p>
        </w:tc>
      </w:tr>
      <w:tr w14:paraId="2F2E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612C0BBB">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3E9C5B76">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业绩要求</w:t>
            </w:r>
          </w:p>
        </w:tc>
        <w:tc>
          <w:tcPr>
            <w:tcW w:w="894" w:type="dxa"/>
            <w:vAlign w:val="center"/>
          </w:tcPr>
          <w:p w14:paraId="5A06E3C2">
            <w:pPr>
              <w:keepNext w:val="0"/>
              <w:keepLines w:val="0"/>
              <w:pageBreakBefore w:val="0"/>
              <w:tabs>
                <w:tab w:val="left" w:pos="840"/>
              </w:tabs>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10</w:t>
            </w:r>
          </w:p>
        </w:tc>
        <w:tc>
          <w:tcPr>
            <w:tcW w:w="6186" w:type="dxa"/>
            <w:vAlign w:val="center"/>
          </w:tcPr>
          <w:p w14:paraId="47A0F3CC">
            <w:pPr>
              <w:keepNext w:val="0"/>
              <w:keepLines w:val="0"/>
              <w:pageBreakBefore w:val="0"/>
              <w:tabs>
                <w:tab w:val="left" w:pos="840"/>
              </w:tabs>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lang w:val="en-US" w:eastAsia="zh-CN"/>
              </w:rPr>
              <w:t>5年内</w:t>
            </w:r>
            <w:r>
              <w:rPr>
                <w:rFonts w:hint="eastAsia" w:ascii="宋体" w:hAnsi="宋体" w:eastAsia="宋体" w:cs="宋体"/>
                <w:color w:val="auto"/>
                <w:sz w:val="20"/>
                <w:szCs w:val="20"/>
                <w:highlight w:val="none"/>
              </w:rPr>
              <w:t>（以</w:t>
            </w:r>
            <w:r>
              <w:rPr>
                <w:rFonts w:hint="eastAsia" w:ascii="宋体" w:hAnsi="宋体" w:eastAsia="宋体" w:cs="宋体"/>
                <w:color w:val="auto"/>
                <w:sz w:val="20"/>
                <w:szCs w:val="20"/>
                <w:highlight w:val="none"/>
                <w:lang w:val="en-US" w:eastAsia="zh-CN"/>
              </w:rPr>
              <w:t>2021年7月1日开始</w:t>
            </w:r>
            <w:r>
              <w:rPr>
                <w:rFonts w:hint="eastAsia" w:ascii="宋体" w:hAnsi="宋体" w:eastAsia="宋体" w:cs="宋体"/>
                <w:color w:val="auto"/>
                <w:sz w:val="20"/>
                <w:szCs w:val="20"/>
                <w:highlight w:val="none"/>
              </w:rPr>
              <w:t>合同签订时间为准）已完成或正在履行的</w:t>
            </w:r>
            <w:r>
              <w:rPr>
                <w:rFonts w:hint="eastAsia" w:ascii="宋体" w:hAnsi="宋体" w:eastAsia="宋体" w:cs="宋体"/>
                <w:color w:val="auto"/>
                <w:sz w:val="20"/>
                <w:szCs w:val="20"/>
                <w:highlight w:val="none"/>
                <w:lang w:val="en-US" w:eastAsia="zh-CN"/>
              </w:rPr>
              <w:t>医院</w:t>
            </w:r>
            <w:r>
              <w:rPr>
                <w:rFonts w:hint="eastAsia" w:ascii="宋体" w:hAnsi="宋体" w:eastAsia="宋体" w:cs="宋体"/>
                <w:color w:val="auto"/>
                <w:sz w:val="20"/>
                <w:szCs w:val="20"/>
                <w:highlight w:val="none"/>
              </w:rPr>
              <w:t>食堂整体承包运营相关项目业绩的，每提供</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项业绩得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分，本小项最高得</w:t>
            </w:r>
            <w:r>
              <w:rPr>
                <w:rFonts w:hint="eastAsia" w:ascii="宋体" w:hAnsi="宋体" w:eastAsia="宋体" w:cs="宋体"/>
                <w:color w:val="auto"/>
                <w:sz w:val="20"/>
                <w:szCs w:val="20"/>
                <w:highlight w:val="none"/>
                <w:lang w:val="en-US" w:eastAsia="zh-CN"/>
              </w:rPr>
              <w:t>10</w:t>
            </w:r>
            <w:r>
              <w:rPr>
                <w:rFonts w:hint="eastAsia" w:ascii="宋体" w:hAnsi="宋体" w:eastAsia="宋体" w:cs="宋体"/>
                <w:color w:val="auto"/>
                <w:sz w:val="20"/>
                <w:szCs w:val="20"/>
                <w:highlight w:val="none"/>
              </w:rPr>
              <w:t xml:space="preserve">分。   </w:t>
            </w:r>
          </w:p>
          <w:p w14:paraId="0CE78B58">
            <w:pPr>
              <w:keepNext w:val="0"/>
              <w:keepLines w:val="0"/>
              <w:pageBreakBefore w:val="0"/>
              <w:tabs>
                <w:tab w:val="left" w:pos="840"/>
              </w:tabs>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注：投标文件中须提供合同关键页及合同履行过程中任意一次的发票复印件，业绩时间以合同签订时间为准，未提供或所提供资料模糊不清的不得分。如合同中无法体现详细内容的，</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须提供合同甲方出具的加盖公章的证明文件，否则视为不满足评审要求。</w:t>
            </w:r>
          </w:p>
        </w:tc>
      </w:tr>
      <w:tr w14:paraId="4147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6C146B6B">
            <w:pPr>
              <w:pStyle w:val="4"/>
              <w:spacing w:line="240" w:lineRule="auto"/>
              <w:ind w:left="0"/>
              <w:jc w:val="center"/>
              <w:rPr>
                <w:rFonts w:hint="eastAsia" w:ascii="宋体" w:hAnsi="宋体" w:eastAsia="宋体" w:cs="宋体"/>
                <w:b/>
                <w:bCs/>
                <w:color w:val="auto"/>
                <w:sz w:val="21"/>
                <w:szCs w:val="21"/>
                <w:highlight w:val="none"/>
              </w:rPr>
            </w:pPr>
          </w:p>
        </w:tc>
        <w:tc>
          <w:tcPr>
            <w:tcW w:w="1680" w:type="dxa"/>
            <w:vAlign w:val="center"/>
          </w:tcPr>
          <w:p w14:paraId="0F13F360">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企业抗风险能力</w:t>
            </w:r>
          </w:p>
        </w:tc>
        <w:tc>
          <w:tcPr>
            <w:tcW w:w="894" w:type="dxa"/>
            <w:vAlign w:val="center"/>
          </w:tcPr>
          <w:p w14:paraId="21A78963">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6186" w:type="dxa"/>
            <w:vAlign w:val="center"/>
          </w:tcPr>
          <w:p w14:paraId="4BC16CDF">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提供食品安全责任保险：</w:t>
            </w:r>
          </w:p>
          <w:p w14:paraId="59B13828">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保额1000万元以上(含1000万元)，得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p>
          <w:p w14:paraId="3257600F">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保额500万(含)以上-1000万元内，得</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w:t>
            </w:r>
          </w:p>
          <w:p w14:paraId="0011C9F9">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保额</w:t>
            </w:r>
            <w:r>
              <w:rPr>
                <w:rFonts w:hint="eastAsia" w:ascii="宋体" w:hAnsi="宋体" w:eastAsia="宋体" w:cs="宋体"/>
                <w:color w:val="auto"/>
                <w:sz w:val="20"/>
                <w:szCs w:val="20"/>
                <w:highlight w:val="none"/>
                <w:lang w:val="en-US" w:eastAsia="zh-CN"/>
              </w:rPr>
              <w:t>低于</w:t>
            </w:r>
            <w:r>
              <w:rPr>
                <w:rFonts w:hint="eastAsia" w:ascii="宋体" w:hAnsi="宋体" w:eastAsia="宋体" w:cs="宋体"/>
                <w:color w:val="auto"/>
                <w:sz w:val="20"/>
                <w:szCs w:val="20"/>
                <w:highlight w:val="none"/>
              </w:rPr>
              <w:t>500万元以</w:t>
            </w:r>
            <w:bookmarkStart w:id="0" w:name="_GoBack"/>
            <w:bookmarkEnd w:id="0"/>
            <w:r>
              <w:rPr>
                <w:rFonts w:hint="eastAsia" w:ascii="宋体" w:hAnsi="宋体" w:eastAsia="宋体" w:cs="宋体"/>
                <w:color w:val="auto"/>
                <w:sz w:val="20"/>
                <w:szCs w:val="20"/>
                <w:highlight w:val="none"/>
              </w:rPr>
              <w:t>内，得</w:t>
            </w:r>
            <w:r>
              <w:rPr>
                <w:rFonts w:hint="eastAsia" w:ascii="宋体" w:hAnsi="宋体" w:eastAsia="宋体" w:cs="宋体"/>
                <w:color w:val="auto"/>
                <w:sz w:val="20"/>
                <w:szCs w:val="20"/>
                <w:highlight w:val="none"/>
                <w:lang w:val="en-US" w:eastAsia="zh-CN"/>
              </w:rPr>
              <w:t>0</w:t>
            </w:r>
            <w:r>
              <w:rPr>
                <w:rFonts w:hint="eastAsia" w:ascii="宋体" w:hAnsi="宋体" w:eastAsia="宋体" w:cs="宋体"/>
                <w:color w:val="auto"/>
                <w:sz w:val="20"/>
                <w:szCs w:val="20"/>
                <w:highlight w:val="none"/>
              </w:rPr>
              <w:t>分；</w:t>
            </w:r>
          </w:p>
          <w:p w14:paraId="16D12DC5">
            <w:pPr>
              <w:keepNext w:val="0"/>
              <w:keepLines w:val="0"/>
              <w:pageBreakBefore w:val="0"/>
              <w:kinsoku/>
              <w:wordWrap/>
              <w:overflowPunct/>
              <w:topLinePunct w:val="0"/>
              <w:autoSpaceDE/>
              <w:autoSpaceDN/>
              <w:bidi w:val="0"/>
              <w:adjustRightInd/>
              <w:snapToGrid/>
              <w:spacing w:line="2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提供有效期内</w:t>
            </w:r>
            <w:r>
              <w:rPr>
                <w:rFonts w:hint="eastAsia" w:ascii="宋体" w:hAnsi="宋体" w:eastAsia="宋体" w:cs="宋体"/>
                <w:color w:val="auto"/>
                <w:sz w:val="20"/>
                <w:szCs w:val="20"/>
                <w:highlight w:val="none"/>
                <w:lang w:eastAsia="zh-CN"/>
              </w:rPr>
              <w:t>响应服务商</w:t>
            </w:r>
            <w:r>
              <w:rPr>
                <w:rFonts w:hint="eastAsia" w:ascii="宋体" w:hAnsi="宋体" w:eastAsia="宋体" w:cs="宋体"/>
                <w:color w:val="auto"/>
                <w:sz w:val="20"/>
                <w:szCs w:val="20"/>
                <w:highlight w:val="none"/>
              </w:rPr>
              <w:t>购买食品安全责任险保单复印件并加盖公章或提供承诺函。</w:t>
            </w:r>
          </w:p>
        </w:tc>
      </w:tr>
      <w:tr w14:paraId="44F6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restart"/>
            <w:vAlign w:val="center"/>
          </w:tcPr>
          <w:p w14:paraId="5FCD7914">
            <w:pPr>
              <w:pStyle w:val="4"/>
              <w:spacing w:line="240" w:lineRule="auto"/>
              <w:ind w:lef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价格</w:t>
            </w:r>
          </w:p>
          <w:p w14:paraId="331ABF97">
            <w:pPr>
              <w:pStyle w:val="4"/>
              <w:spacing w:line="240" w:lineRule="auto"/>
              <w:ind w:lef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评</w:t>
            </w:r>
            <w:r>
              <w:rPr>
                <w:rFonts w:hint="eastAsia" w:ascii="宋体" w:hAnsi="宋体" w:eastAsia="宋体" w:cs="宋体"/>
                <w:b/>
                <w:bCs/>
                <w:color w:val="auto"/>
                <w:sz w:val="21"/>
                <w:szCs w:val="21"/>
                <w:highlight w:val="none"/>
                <w:lang w:val="en-US" w:eastAsia="zh-CN"/>
              </w:rPr>
              <w:t>审</w:t>
            </w:r>
          </w:p>
        </w:tc>
        <w:tc>
          <w:tcPr>
            <w:tcW w:w="1680" w:type="dxa"/>
            <w:vAlign w:val="center"/>
          </w:tcPr>
          <w:p w14:paraId="2C01A15B">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现有供货价格</w:t>
            </w:r>
          </w:p>
        </w:tc>
        <w:tc>
          <w:tcPr>
            <w:tcW w:w="894" w:type="dxa"/>
            <w:vAlign w:val="center"/>
          </w:tcPr>
          <w:p w14:paraId="419FDD10">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6186" w:type="dxa"/>
            <w:vAlign w:val="center"/>
          </w:tcPr>
          <w:p w14:paraId="773D6DC2">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响应服务商须以现有菜品单价作为最高限价（菜品清单于现场踏勘时现场查询），在此基础上进行下浮，下浮率有效范围：5%≤下浮率≤20%，数值最多可精确至小数点后两位，必须为固定值，不得存在区间值（如 10～20%）,统一对本项目报一个投标下浮率，不接受有选择性报价。</w:t>
            </w:r>
          </w:p>
          <w:p w14:paraId="5F00DD5F">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各响应服务商的投标下浮率定义为评标价格。取满足遴选文件要求且经评审最高的下浮率为评标基准价。各响应服务商的价格评分按以下公式计算（价格评分四舍五入，小数点后保留两位有效数值），得出各有效响应服务商的价格评分：价格评分项得分 ＝（投标下浮率报价/评标基准价）×10</w:t>
            </w:r>
          </w:p>
        </w:tc>
      </w:tr>
      <w:tr w14:paraId="27FE4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1140" w:type="dxa"/>
            <w:vMerge w:val="continue"/>
            <w:vAlign w:val="center"/>
          </w:tcPr>
          <w:p w14:paraId="5D49CFC0">
            <w:pPr>
              <w:pStyle w:val="4"/>
              <w:spacing w:line="240" w:lineRule="auto"/>
              <w:ind w:left="0"/>
              <w:jc w:val="center"/>
              <w:rPr>
                <w:rFonts w:hint="eastAsia" w:ascii="宋体" w:hAnsi="宋体" w:eastAsia="宋体" w:cs="宋体"/>
                <w:b/>
                <w:bCs/>
                <w:color w:val="auto"/>
                <w:sz w:val="21"/>
                <w:szCs w:val="21"/>
                <w:highlight w:val="none"/>
                <w:lang w:val="en-US" w:eastAsia="zh-CN"/>
              </w:rPr>
            </w:pPr>
          </w:p>
        </w:tc>
        <w:tc>
          <w:tcPr>
            <w:tcW w:w="1680" w:type="dxa"/>
            <w:vAlign w:val="center"/>
          </w:tcPr>
          <w:p w14:paraId="6E3D43AA">
            <w:pPr>
              <w:keepNext w:val="0"/>
              <w:keepLines w:val="0"/>
              <w:pageBreakBefore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投资金额</w:t>
            </w:r>
          </w:p>
        </w:tc>
        <w:tc>
          <w:tcPr>
            <w:tcW w:w="894" w:type="dxa"/>
            <w:vAlign w:val="center"/>
          </w:tcPr>
          <w:p w14:paraId="76C41544">
            <w:pPr>
              <w:pStyle w:val="2"/>
              <w:keepNext w:val="0"/>
              <w:keepLines w:val="0"/>
              <w:pageBreakBefore w:val="0"/>
              <w:kinsoku/>
              <w:wordWrap/>
              <w:overflowPunct/>
              <w:topLinePunct w:val="0"/>
              <w:autoSpaceDE/>
              <w:autoSpaceDN/>
              <w:bidi w:val="0"/>
              <w:adjustRightInd/>
              <w:snapToGrid/>
              <w:spacing w:line="240" w:lineRule="exact"/>
              <w:ind w:firstLine="100" w:firstLineChars="5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w:t>
            </w:r>
          </w:p>
        </w:tc>
        <w:tc>
          <w:tcPr>
            <w:tcW w:w="6186" w:type="dxa"/>
            <w:vAlign w:val="center"/>
          </w:tcPr>
          <w:p w14:paraId="29FD86C2">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响应服务商承诺为本项目食堂投入金额不低于招标文件要求40万元标准，全部投资用于食堂拆除、扩建装修、消防改造、管线改造、新增后厨设备、排烟隔油设施、设备采购、智慧饭堂和监控系统等，所有投入均响应服务商由全额承担，不向采购人收取任何费用。</w:t>
            </w:r>
          </w:p>
          <w:p w14:paraId="66A3D2C4">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注：提供承诺函并提供项目清单明细，未提供不得分</w:t>
            </w:r>
          </w:p>
          <w:p w14:paraId="0DB4345B">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评分：价格评分＝（评标价格/ 评标基准价）×20</w:t>
            </w:r>
          </w:p>
        </w:tc>
      </w:tr>
    </w:tbl>
    <w:p w14:paraId="09BDE859">
      <w:pPr>
        <w:numPr>
          <w:ilvl w:val="0"/>
          <w:numId w:val="0"/>
        </w:numPr>
        <w:rPr>
          <w:rFonts w:hint="eastAsia" w:ascii="宋体" w:hAnsi="宋体" w:eastAsia="宋体" w:cs="宋体"/>
          <w:b/>
          <w:bCs/>
          <w:i w:val="0"/>
          <w:iCs w:val="0"/>
          <w:caps w:val="0"/>
          <w:color w:val="auto"/>
          <w:spacing w:val="0"/>
          <w:kern w:val="0"/>
          <w:sz w:val="21"/>
          <w:szCs w:val="21"/>
          <w:shd w:val="clear" w:color="auto" w:fill="FFFFFF"/>
          <w:lang w:val="en-US" w:eastAsia="zh-CN" w:bidi="ar"/>
        </w:rPr>
      </w:pPr>
    </w:p>
    <w:sectPr>
      <w:pgSz w:w="11906" w:h="16838"/>
      <w:pgMar w:top="930" w:right="1123" w:bottom="930" w:left="112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F4B4A5"/>
    <w:multiLevelType w:val="singleLevel"/>
    <w:tmpl w:val="1CF4B4A5"/>
    <w:lvl w:ilvl="0" w:tentative="0">
      <w:start w:val="1"/>
      <w:numFmt w:val="decimal"/>
      <w:lvlText w:val="%1."/>
      <w:lvlJc w:val="left"/>
      <w:pPr>
        <w:tabs>
          <w:tab w:val="left" w:pos="312"/>
        </w:tabs>
      </w:pPr>
    </w:lvl>
  </w:abstractNum>
  <w:abstractNum w:abstractNumId="1">
    <w:nsid w:val="5389AB2D"/>
    <w:multiLevelType w:val="singleLevel"/>
    <w:tmpl w:val="5389AB2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012909"/>
    <w:rsid w:val="018F287C"/>
    <w:rsid w:val="06F0703A"/>
    <w:rsid w:val="0BBE1224"/>
    <w:rsid w:val="0E601A26"/>
    <w:rsid w:val="15E32EC1"/>
    <w:rsid w:val="18977817"/>
    <w:rsid w:val="19012909"/>
    <w:rsid w:val="1B567928"/>
    <w:rsid w:val="23AB30C1"/>
    <w:rsid w:val="25D86356"/>
    <w:rsid w:val="2CF50B89"/>
    <w:rsid w:val="2EF457D0"/>
    <w:rsid w:val="32021CC1"/>
    <w:rsid w:val="342172DC"/>
    <w:rsid w:val="34F74AEC"/>
    <w:rsid w:val="3A077262"/>
    <w:rsid w:val="3D61415F"/>
    <w:rsid w:val="3E126451"/>
    <w:rsid w:val="46DD541C"/>
    <w:rsid w:val="4B8A020D"/>
    <w:rsid w:val="4BC232FD"/>
    <w:rsid w:val="4C153450"/>
    <w:rsid w:val="4CB00229"/>
    <w:rsid w:val="52927C09"/>
    <w:rsid w:val="531D5F46"/>
    <w:rsid w:val="53A01EE2"/>
    <w:rsid w:val="57EF65AA"/>
    <w:rsid w:val="5EF30A94"/>
    <w:rsid w:val="6A024D1C"/>
    <w:rsid w:val="6C306EEC"/>
    <w:rsid w:val="73014803"/>
    <w:rsid w:val="74B84955"/>
    <w:rsid w:val="76DB22D6"/>
    <w:rsid w:val="770D1FDC"/>
    <w:rsid w:val="788439D9"/>
    <w:rsid w:val="7DF0330A"/>
    <w:rsid w:val="7F770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3">
    <w:name w:val="Body Text"/>
    <w:basedOn w:val="1"/>
    <w:next w:val="4"/>
    <w:qFormat/>
    <w:uiPriority w:val="0"/>
    <w:pPr>
      <w:spacing w:line="360" w:lineRule="auto"/>
    </w:pPr>
    <w:rPr>
      <w:szCs w:val="20"/>
    </w:rPr>
  </w:style>
  <w:style w:type="paragraph" w:styleId="4">
    <w:name w:val="toc 5"/>
    <w:basedOn w:val="1"/>
    <w:next w:val="1"/>
    <w:qFormat/>
    <w:uiPriority w:val="0"/>
    <w:pPr>
      <w:ind w:left="840"/>
      <w:jc w:val="left"/>
    </w:pPr>
    <w:rPr>
      <w:rFonts w:ascii="Calibri" w:hAnsi="Calibri"/>
      <w:sz w:val="18"/>
      <w:szCs w:val="18"/>
    </w:rPr>
  </w:style>
  <w:style w:type="paragraph" w:styleId="5">
    <w:name w:val="Body Text Indent"/>
    <w:basedOn w:val="1"/>
    <w:next w:val="6"/>
    <w:qFormat/>
    <w:uiPriority w:val="0"/>
    <w:pPr>
      <w:ind w:firstLine="830" w:firstLineChars="352"/>
    </w:pPr>
    <w:rPr>
      <w:rFonts w:ascii="仿宋_GB2312" w:eastAsia="仿宋_GB2312"/>
      <w:sz w:val="32"/>
      <w:szCs w:val="20"/>
    </w:rPr>
  </w:style>
  <w:style w:type="paragraph" w:styleId="6">
    <w:name w:val="envelope return"/>
    <w:basedOn w:val="1"/>
    <w:qFormat/>
    <w:uiPriority w:val="99"/>
    <w:pPr>
      <w:snapToGrid w:val="0"/>
    </w:pPr>
    <w:rPr>
      <w:rFonts w:ascii="Arial" w:hAnsi="Arial"/>
    </w:rPr>
  </w:style>
  <w:style w:type="paragraph" w:styleId="7">
    <w:name w:val="Normal (Web)"/>
    <w:basedOn w:val="1"/>
    <w:qFormat/>
    <w:uiPriority w:val="99"/>
    <w:pPr>
      <w:widowControl/>
      <w:spacing w:before="100" w:beforeLines="0" w:beforeAutospacing="1" w:after="100" w:afterLines="0" w:afterAutospacing="1"/>
      <w:jc w:val="left"/>
    </w:pPr>
    <w:rPr>
      <w:rFonts w:ascii="宋体" w:hAnsi="宋体"/>
      <w:color w:val="000000"/>
      <w:kern w:val="0"/>
      <w:sz w:val="24"/>
    </w:rPr>
  </w:style>
  <w:style w:type="paragraph" w:styleId="8">
    <w:name w:val="Body Text First Indent"/>
    <w:basedOn w:val="3"/>
    <w:qFormat/>
    <w:uiPriority w:val="0"/>
    <w:pPr>
      <w:spacing w:after="120" w:afterLines="0" w:line="240" w:lineRule="auto"/>
      <w:ind w:firstLine="420" w:firstLineChars="100"/>
    </w:pPr>
    <w:rPr>
      <w:szCs w:val="24"/>
    </w:rPr>
  </w:style>
  <w:style w:type="paragraph" w:styleId="9">
    <w:name w:val="Body Text First Indent 2"/>
    <w:basedOn w:val="5"/>
    <w:qFormat/>
    <w:uiPriority w:val="0"/>
    <w:pPr>
      <w:spacing w:after="120"/>
      <w:ind w:left="420" w:leftChars="200"/>
    </w:pPr>
    <w:rPr>
      <w:rFonts w:ascii="Calibri"/>
      <w:sz w:val="21"/>
    </w:rPr>
  </w:style>
  <w:style w:type="table" w:styleId="11">
    <w:name w:val="Table Grid"/>
    <w:basedOn w:val="1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3">
    <w:name w:val="null3"/>
    <w:qFormat/>
    <w:uiPriority w:val="0"/>
    <w:rPr>
      <w:rFonts w:hint="eastAsia" w:ascii="Calibri" w:hAnsi="Calibri" w:eastAsia="宋体" w:cs="Times New Roman"/>
      <w:lang w:val="en-US" w:eastAsia="zh-Hans"/>
    </w:rPr>
  </w:style>
  <w:style w:type="paragraph" w:styleId="14">
    <w:name w:val="List Paragraph"/>
    <w:basedOn w:val="1"/>
    <w:qFormat/>
    <w:uiPriority w:val="34"/>
    <w:pPr>
      <w:ind w:firstLine="420" w:firstLineChars="200"/>
    </w:pPr>
    <w:rPr>
      <w:rFonts w:ascii="Calibri" w:hAnsi="Calibri"/>
      <w:szCs w:val="22"/>
    </w:rPr>
  </w:style>
  <w:style w:type="character" w:customStyle="1" w:styleId="15">
    <w:name w:val="font11"/>
    <w:basedOn w:val="1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4250</Words>
  <Characters>4622</Characters>
  <Lines>0</Lines>
  <Paragraphs>0</Paragraphs>
  <TotalTime>4</TotalTime>
  <ScaleCrop>false</ScaleCrop>
  <LinksUpToDate>false</LinksUpToDate>
  <CharactersWithSpaces>4641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2026-05-15T06:38:00Z</dcterms:created>
  <dc:creator>18924981193</dc:creator>
  <cp:lastModifiedBy>Lily</cp:lastModifiedBy>
  <cp:lastPrinted>2026-07-08T06:53:00Z</cp:lastPrinted>
  <dcterms:modified xsi:type="dcterms:W3CDTF">2026-08-04T02:42:22Z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904DE96E62BB4580B528544D23D90607_13</vt:lpwstr>
  </property>
  <property fmtid="{D5CDD505-2E9C-101B-9397-08002B2CF9AE}" pid="4" name="KSOTemplateDocerSaveRecord">
    <vt:lpwstr>eyJoZGlkIjoiZjMxODI1ZDk1NTM3ZThjZDIyMDM0N2Q4Njc3ODMwMjMiLCJ1c2VySWQiOiIyNjI5MDY5MzEifQ==</vt:lpwstr>
  </property>
</Properties>
</file>