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3F5EBD">
      <w:pPr>
        <w:spacing w:line="360" w:lineRule="auto"/>
        <w:ind w:firstLine="900" w:firstLineChars="250"/>
        <w:jc w:val="center"/>
        <w:rPr>
          <w:rFonts w:hint="default" w:ascii="宋体" w:hAnsi="宋体" w:cs="宋体"/>
          <w:bCs/>
          <w:szCs w:val="20"/>
          <w:u w:val="single"/>
          <w:lang w:val="en-US" w:eastAsia="zh-CN"/>
        </w:rPr>
      </w:pPr>
      <w:r>
        <w:rPr>
          <w:rFonts w:hint="eastAsia" w:ascii="宋体" w:hAnsi="宋体" w:cs="宋体"/>
          <w:bCs/>
          <w:sz w:val="36"/>
          <w:szCs w:val="32"/>
          <w:u w:val="none"/>
          <w:lang w:eastAsia="zh-CN"/>
        </w:rPr>
        <w:t>智慧病房项目</w:t>
      </w:r>
      <w:r>
        <w:rPr>
          <w:rFonts w:hint="eastAsia" w:ascii="宋体" w:hAnsi="宋体" w:cs="宋体"/>
          <w:bCs/>
          <w:sz w:val="36"/>
          <w:szCs w:val="32"/>
          <w:u w:val="none"/>
          <w:lang w:val="en-US" w:eastAsia="zh-CN"/>
        </w:rPr>
        <w:t>招标公告</w:t>
      </w:r>
      <w:bookmarkStart w:id="0" w:name="_GoBack"/>
      <w:bookmarkEnd w:id="0"/>
    </w:p>
    <w:p w14:paraId="7D4B79DA">
      <w:pPr>
        <w:spacing w:line="360" w:lineRule="auto"/>
        <w:ind w:firstLine="525" w:firstLineChars="250"/>
        <w:rPr>
          <w:rFonts w:hint="eastAsia" w:ascii="宋体" w:hAnsi="宋体" w:cs="宋体"/>
          <w:bCs/>
          <w:szCs w:val="20"/>
          <w:u w:val="single"/>
          <w:lang w:eastAsia="zh-CN"/>
        </w:rPr>
      </w:pPr>
    </w:p>
    <w:p w14:paraId="7908CEC6">
      <w:pPr>
        <w:spacing w:line="360" w:lineRule="auto"/>
        <w:ind w:firstLine="525" w:firstLineChars="250"/>
        <w:rPr>
          <w:rFonts w:hint="eastAsia" w:ascii="宋体" w:hAnsi="宋体" w:cs="宋体"/>
          <w:bCs/>
          <w:color w:val="auto"/>
          <w:szCs w:val="20"/>
        </w:rPr>
      </w:pPr>
      <w:r>
        <w:rPr>
          <w:rFonts w:hint="eastAsia" w:ascii="宋体" w:hAnsi="宋体" w:cs="宋体"/>
          <w:bCs/>
          <w:szCs w:val="20"/>
          <w:u w:val="single"/>
          <w:lang w:eastAsia="zh-CN"/>
        </w:rPr>
        <w:t>智慧病</w:t>
      </w:r>
      <w:r>
        <w:rPr>
          <w:rFonts w:hint="eastAsia" w:ascii="宋体" w:hAnsi="宋体" w:cs="宋体"/>
          <w:bCs/>
          <w:color w:val="auto"/>
          <w:szCs w:val="20"/>
          <w:u w:val="single"/>
          <w:lang w:eastAsia="zh-CN"/>
        </w:rPr>
        <w:t>房项目</w:t>
      </w:r>
      <w:r>
        <w:rPr>
          <w:rFonts w:hint="eastAsia" w:ascii="宋体" w:hAnsi="宋体" w:cs="宋体"/>
          <w:bCs/>
          <w:color w:val="auto"/>
          <w:szCs w:val="20"/>
        </w:rPr>
        <w:t>招标项目的潜在投标人应在</w:t>
      </w:r>
      <w:r>
        <w:rPr>
          <w:rFonts w:hint="eastAsia" w:ascii="宋体" w:hAnsi="宋体" w:cs="宋体"/>
          <w:bCs/>
          <w:color w:val="auto"/>
          <w:szCs w:val="20"/>
          <w:u w:val="single"/>
        </w:rPr>
        <w:t>中易电子交易平台（http://www.cotenders.cn）</w:t>
      </w:r>
      <w:r>
        <w:rPr>
          <w:rFonts w:hint="eastAsia" w:ascii="宋体" w:hAnsi="宋体" w:cs="宋体"/>
          <w:bCs/>
          <w:color w:val="auto"/>
          <w:szCs w:val="20"/>
        </w:rPr>
        <w:t>获取招标文件，并于</w:t>
      </w:r>
      <w:r>
        <w:rPr>
          <w:rFonts w:hint="eastAsia" w:ascii="宋体" w:hAnsi="宋体" w:cs="宋体"/>
          <w:bCs/>
          <w:color w:val="auto"/>
          <w:szCs w:val="20"/>
          <w:u w:val="single"/>
          <w:lang w:eastAsia="zh-CN"/>
        </w:rPr>
        <w:t>202</w:t>
      </w:r>
      <w:r>
        <w:rPr>
          <w:rFonts w:hint="eastAsia" w:ascii="宋体" w:hAnsi="宋体" w:cs="宋体"/>
          <w:bCs/>
          <w:color w:val="auto"/>
          <w:szCs w:val="20"/>
          <w:u w:val="single"/>
          <w:lang w:val="en-US" w:eastAsia="zh-CN"/>
        </w:rPr>
        <w:t>6</w:t>
      </w:r>
      <w:r>
        <w:rPr>
          <w:rFonts w:hint="eastAsia" w:ascii="宋体" w:hAnsi="宋体" w:cs="宋体"/>
          <w:bCs/>
          <w:color w:val="auto"/>
          <w:szCs w:val="20"/>
        </w:rPr>
        <w:t>年</w:t>
      </w:r>
      <w:r>
        <w:rPr>
          <w:rFonts w:hint="eastAsia" w:ascii="宋体" w:hAnsi="宋体" w:cs="宋体"/>
          <w:bCs/>
          <w:color w:val="auto"/>
          <w:szCs w:val="20"/>
          <w:u w:val="single"/>
          <w:lang w:val="en-US" w:eastAsia="zh-CN"/>
        </w:rPr>
        <w:t>06</w:t>
      </w:r>
      <w:r>
        <w:rPr>
          <w:rFonts w:hint="eastAsia" w:ascii="宋体" w:hAnsi="宋体" w:cs="宋体"/>
          <w:bCs/>
          <w:color w:val="auto"/>
          <w:szCs w:val="20"/>
        </w:rPr>
        <w:t>月</w:t>
      </w:r>
      <w:r>
        <w:rPr>
          <w:rFonts w:hint="eastAsia" w:ascii="宋体" w:hAnsi="宋体" w:cs="宋体"/>
          <w:bCs/>
          <w:color w:val="auto"/>
          <w:szCs w:val="20"/>
          <w:u w:val="single"/>
          <w:lang w:val="en-US" w:eastAsia="zh-CN"/>
        </w:rPr>
        <w:t>08</w:t>
      </w:r>
      <w:r>
        <w:rPr>
          <w:rFonts w:hint="eastAsia" w:ascii="宋体" w:hAnsi="宋体" w:cs="宋体"/>
          <w:bCs/>
          <w:color w:val="auto"/>
          <w:szCs w:val="20"/>
        </w:rPr>
        <w:t>日</w:t>
      </w:r>
      <w:r>
        <w:rPr>
          <w:rFonts w:hint="eastAsia" w:ascii="宋体" w:hAnsi="宋体" w:cs="宋体"/>
          <w:bCs/>
          <w:color w:val="auto"/>
          <w:szCs w:val="20"/>
          <w:u w:val="single"/>
          <w:lang w:val="en-US" w:eastAsia="zh-CN"/>
        </w:rPr>
        <w:t>14</w:t>
      </w:r>
      <w:r>
        <w:rPr>
          <w:rFonts w:hint="eastAsia" w:ascii="宋体" w:hAnsi="宋体" w:cs="宋体"/>
          <w:bCs/>
          <w:color w:val="auto"/>
          <w:szCs w:val="20"/>
          <w:lang w:val="en-US" w:eastAsia="zh-CN"/>
        </w:rPr>
        <w:t>时</w:t>
      </w:r>
      <w:r>
        <w:rPr>
          <w:rFonts w:hint="eastAsia" w:ascii="宋体" w:hAnsi="宋体" w:cs="宋体"/>
          <w:bCs/>
          <w:color w:val="auto"/>
          <w:szCs w:val="20"/>
          <w:u w:val="single"/>
          <w:lang w:val="en-US" w:eastAsia="zh-CN"/>
        </w:rPr>
        <w:t>30</w:t>
      </w:r>
      <w:r>
        <w:rPr>
          <w:rFonts w:hint="eastAsia" w:ascii="宋体" w:hAnsi="宋体" w:cs="宋体"/>
          <w:bCs/>
          <w:color w:val="auto"/>
          <w:szCs w:val="20"/>
        </w:rPr>
        <w:t>分</w:t>
      </w:r>
      <w:r>
        <w:rPr>
          <w:rFonts w:hint="eastAsia" w:ascii="宋体" w:hAnsi="宋体" w:cs="宋体"/>
          <w:bCs/>
          <w:color w:val="auto"/>
          <w:szCs w:val="20"/>
          <w:lang w:val="en-US" w:eastAsia="zh-CN"/>
        </w:rPr>
        <w:t>00秒</w:t>
      </w:r>
      <w:r>
        <w:rPr>
          <w:rFonts w:hint="eastAsia" w:ascii="宋体" w:hAnsi="宋体" w:cs="宋体"/>
          <w:bCs/>
          <w:color w:val="auto"/>
          <w:szCs w:val="20"/>
        </w:rPr>
        <w:t>（北京时间）前递交投标文件。</w:t>
      </w:r>
    </w:p>
    <w:p w14:paraId="7D4EFE32">
      <w:pPr>
        <w:spacing w:line="360" w:lineRule="auto"/>
        <w:rPr>
          <w:rFonts w:hint="eastAsia" w:ascii="宋体" w:hAnsi="宋体" w:cs="宋体"/>
          <w:b/>
          <w:bCs/>
          <w:color w:val="auto"/>
          <w:szCs w:val="20"/>
        </w:rPr>
      </w:pPr>
      <w:r>
        <w:rPr>
          <w:rFonts w:hint="eastAsia" w:ascii="宋体" w:hAnsi="宋体" w:cs="宋体"/>
          <w:b/>
          <w:bCs/>
          <w:color w:val="auto"/>
          <w:szCs w:val="20"/>
        </w:rPr>
        <w:t>一、项目基本情况</w:t>
      </w:r>
    </w:p>
    <w:p w14:paraId="6E40D084">
      <w:pPr>
        <w:numPr>
          <w:ilvl w:val="0"/>
          <w:numId w:val="1"/>
        </w:numPr>
        <w:spacing w:line="360" w:lineRule="auto"/>
        <w:rPr>
          <w:rFonts w:hint="eastAsia" w:ascii="宋体" w:hAnsi="宋体" w:cs="宋体"/>
          <w:color w:val="auto"/>
        </w:rPr>
      </w:pPr>
      <w:r>
        <w:rPr>
          <w:rFonts w:hint="eastAsia" w:ascii="宋体" w:hAnsi="宋体" w:cs="宋体"/>
          <w:bCs/>
          <w:color w:val="auto"/>
          <w:szCs w:val="20"/>
        </w:rPr>
        <w:t>项目编号</w:t>
      </w:r>
      <w:r>
        <w:rPr>
          <w:rFonts w:hint="eastAsia" w:ascii="宋体" w:hAnsi="宋体" w:cs="宋体"/>
          <w:color w:val="auto"/>
        </w:rPr>
        <w:t>：</w:t>
      </w:r>
      <w:r>
        <w:rPr>
          <w:rFonts w:hint="eastAsia" w:ascii="宋体" w:hAnsi="宋体"/>
          <w:bCs/>
          <w:color w:val="auto"/>
          <w:szCs w:val="21"/>
          <w:lang w:eastAsia="zh-CN"/>
        </w:rPr>
        <w:t>GZGK26D316A0316Z</w:t>
      </w:r>
    </w:p>
    <w:p w14:paraId="5C7091B5">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项目名称：</w:t>
      </w:r>
      <w:r>
        <w:rPr>
          <w:rFonts w:hint="eastAsia" w:ascii="宋体" w:hAnsi="宋体" w:cs="宋体"/>
          <w:bCs/>
          <w:color w:val="auto"/>
          <w:szCs w:val="20"/>
          <w:lang w:eastAsia="zh-CN"/>
        </w:rPr>
        <w:t>智慧病房项目</w:t>
      </w:r>
    </w:p>
    <w:p w14:paraId="27D56D6B">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预算</w:t>
      </w:r>
      <w:r>
        <w:rPr>
          <w:rFonts w:hint="eastAsia" w:ascii="宋体" w:hAnsi="宋体" w:cs="宋体"/>
          <w:bCs/>
          <w:color w:val="auto"/>
          <w:szCs w:val="20"/>
          <w:lang w:val="en-US" w:eastAsia="zh-CN"/>
        </w:rPr>
        <w:t>总</w:t>
      </w:r>
      <w:r>
        <w:rPr>
          <w:rFonts w:hint="eastAsia" w:ascii="宋体" w:hAnsi="宋体" w:cs="宋体"/>
          <w:bCs/>
          <w:color w:val="auto"/>
          <w:szCs w:val="20"/>
        </w:rPr>
        <w:t>金额：</w:t>
      </w:r>
      <w:r>
        <w:rPr>
          <w:rFonts w:hint="eastAsia" w:cs="Tahoma"/>
          <w:color w:val="auto"/>
          <w:szCs w:val="21"/>
        </w:rPr>
        <w:t>人民币</w:t>
      </w:r>
      <w:r>
        <w:rPr>
          <w:rFonts w:hint="eastAsia" w:ascii="宋体" w:hAnsi="宋体" w:eastAsia="宋体" w:cs="宋体"/>
          <w:color w:val="auto"/>
          <w:szCs w:val="21"/>
          <w:u w:val="single"/>
          <w:lang w:val="zh-CN" w:eastAsia="zh-CN"/>
        </w:rPr>
        <w:t>86</w:t>
      </w:r>
      <w:r>
        <w:rPr>
          <w:rFonts w:hint="eastAsia" w:ascii="宋体" w:hAnsi="宋体" w:eastAsia="宋体" w:cs="宋体"/>
          <w:color w:val="auto"/>
          <w:szCs w:val="21"/>
          <w:u w:val="single"/>
          <w:lang w:val="en-US" w:eastAsia="zh-CN"/>
        </w:rPr>
        <w:t>.</w:t>
      </w:r>
      <w:r>
        <w:rPr>
          <w:rFonts w:hint="eastAsia" w:ascii="宋体" w:hAnsi="宋体" w:eastAsia="宋体" w:cs="宋体"/>
          <w:color w:val="auto"/>
          <w:szCs w:val="21"/>
          <w:u w:val="single"/>
          <w:lang w:val="zh-CN" w:eastAsia="zh-CN"/>
        </w:rPr>
        <w:t>7567</w:t>
      </w:r>
      <w:r>
        <w:rPr>
          <w:rFonts w:hint="eastAsia" w:ascii="宋体" w:hAnsi="宋体" w:cs="宋体"/>
          <w:color w:val="auto"/>
          <w:szCs w:val="21"/>
          <w:lang w:val="zh-CN"/>
        </w:rPr>
        <w:t>万元</w:t>
      </w:r>
    </w:p>
    <w:p w14:paraId="6FFA4CCB">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最高限价（如有）：</w:t>
      </w:r>
      <w:r>
        <w:rPr>
          <w:rFonts w:hint="eastAsia" w:cs="Tahoma"/>
          <w:color w:val="auto"/>
          <w:szCs w:val="21"/>
        </w:rPr>
        <w:t>人民币</w:t>
      </w:r>
      <w:r>
        <w:rPr>
          <w:rFonts w:hint="eastAsia" w:ascii="宋体" w:hAnsi="宋体" w:eastAsia="宋体" w:cs="宋体"/>
          <w:color w:val="auto"/>
          <w:szCs w:val="21"/>
          <w:u w:val="single"/>
          <w:lang w:val="zh-CN" w:eastAsia="zh-CN"/>
        </w:rPr>
        <w:t>86</w:t>
      </w:r>
      <w:r>
        <w:rPr>
          <w:rFonts w:hint="eastAsia" w:ascii="宋体" w:hAnsi="宋体" w:eastAsia="宋体" w:cs="宋体"/>
          <w:color w:val="auto"/>
          <w:szCs w:val="21"/>
          <w:u w:val="single"/>
          <w:lang w:val="en-US" w:eastAsia="zh-CN"/>
        </w:rPr>
        <w:t>.</w:t>
      </w:r>
      <w:r>
        <w:rPr>
          <w:rFonts w:hint="eastAsia" w:ascii="宋体" w:hAnsi="宋体" w:eastAsia="宋体" w:cs="宋体"/>
          <w:color w:val="auto"/>
          <w:szCs w:val="21"/>
          <w:u w:val="single"/>
          <w:lang w:val="zh-CN" w:eastAsia="zh-CN"/>
        </w:rPr>
        <w:t>7567</w:t>
      </w:r>
      <w:r>
        <w:rPr>
          <w:rFonts w:hint="eastAsia" w:ascii="宋体" w:hAnsi="宋体" w:cs="宋体"/>
          <w:color w:val="auto"/>
          <w:szCs w:val="21"/>
          <w:lang w:val="zh-CN"/>
        </w:rPr>
        <w:t>万元</w:t>
      </w:r>
    </w:p>
    <w:p w14:paraId="5228B311">
      <w:pPr>
        <w:numPr>
          <w:ilvl w:val="0"/>
          <w:numId w:val="1"/>
        </w:numPr>
        <w:spacing w:line="360" w:lineRule="auto"/>
        <w:rPr>
          <w:rFonts w:hint="eastAsia" w:ascii="宋体" w:hAnsi="宋体" w:cs="宋体"/>
          <w:color w:val="auto"/>
        </w:rPr>
      </w:pPr>
      <w:r>
        <w:rPr>
          <w:rFonts w:hint="eastAsia" w:ascii="宋体" w:hAnsi="宋体" w:cs="宋体"/>
          <w:bCs/>
          <w:color w:val="auto"/>
          <w:szCs w:val="20"/>
        </w:rPr>
        <w:t>采购需求：</w:t>
      </w:r>
    </w:p>
    <w:p w14:paraId="4A13F9EC">
      <w:pPr>
        <w:spacing w:line="360" w:lineRule="auto"/>
        <w:ind w:firstLine="210" w:firstLineChars="100"/>
        <w:rPr>
          <w:rFonts w:hint="eastAsia" w:ascii="宋体" w:hAnsi="宋体" w:cs="宋体"/>
          <w:color w:val="auto"/>
        </w:rPr>
      </w:pPr>
      <w:r>
        <w:rPr>
          <w:rFonts w:hint="eastAsia" w:ascii="宋体" w:hAnsi="宋体" w:cs="宋体"/>
          <w:color w:val="auto"/>
        </w:rPr>
        <w:t>（1）标的名称：</w:t>
      </w:r>
      <w:r>
        <w:rPr>
          <w:rFonts w:hint="eastAsia" w:ascii="宋体" w:hAnsi="宋体" w:cs="宋体"/>
          <w:color w:val="auto"/>
          <w:lang w:eastAsia="zh-CN"/>
        </w:rPr>
        <w:t>智慧病房项目</w:t>
      </w:r>
      <w:r>
        <w:rPr>
          <w:rFonts w:hint="eastAsia" w:ascii="宋体" w:hAnsi="宋体" w:cs="宋体"/>
          <w:color w:val="auto"/>
        </w:rPr>
        <w:t xml:space="preserve"> </w:t>
      </w:r>
    </w:p>
    <w:p w14:paraId="2F1FE219">
      <w:pPr>
        <w:spacing w:line="360" w:lineRule="auto"/>
        <w:ind w:firstLine="210" w:firstLineChars="100"/>
        <w:rPr>
          <w:rFonts w:hint="eastAsia" w:ascii="宋体" w:hAnsi="宋体" w:cs="宋体"/>
          <w:color w:val="auto"/>
        </w:rPr>
      </w:pPr>
      <w:r>
        <w:rPr>
          <w:rFonts w:hint="eastAsia" w:ascii="宋体" w:hAnsi="宋体" w:cs="宋体"/>
          <w:color w:val="auto"/>
        </w:rPr>
        <w:t>（2）标的数量：</w:t>
      </w:r>
      <w:r>
        <w:rPr>
          <w:rFonts w:hint="eastAsia" w:ascii="宋体" w:hAnsi="宋体" w:cs="宋体"/>
          <w:color w:val="auto"/>
          <w:lang w:val="zh-CN"/>
        </w:rPr>
        <w:t>1</w:t>
      </w:r>
      <w:r>
        <w:rPr>
          <w:rFonts w:hint="eastAsia" w:ascii="宋体" w:hAnsi="宋体" w:cs="宋体"/>
          <w:color w:val="auto"/>
          <w:lang w:val="en-US" w:eastAsia="zh-CN"/>
        </w:rPr>
        <w:t>批</w:t>
      </w:r>
      <w:r>
        <w:rPr>
          <w:rFonts w:hint="eastAsia" w:ascii="宋体" w:hAnsi="宋体" w:cs="宋体"/>
          <w:color w:val="auto"/>
        </w:rPr>
        <w:t xml:space="preserve"> </w:t>
      </w:r>
    </w:p>
    <w:p w14:paraId="4A22A39E">
      <w:pPr>
        <w:spacing w:line="360" w:lineRule="auto"/>
        <w:ind w:firstLine="210" w:firstLineChars="100"/>
        <w:rPr>
          <w:rFonts w:hint="eastAsia" w:ascii="宋体" w:hAnsi="宋体" w:cs="宋体"/>
          <w:color w:val="auto"/>
        </w:rPr>
      </w:pPr>
      <w:r>
        <w:rPr>
          <w:rFonts w:hint="eastAsia" w:ascii="宋体" w:hAnsi="宋体" w:cs="宋体"/>
          <w:color w:val="auto"/>
        </w:rPr>
        <w:t>（3）简要技术需求或服务要求：</w:t>
      </w:r>
    </w:p>
    <w:tbl>
      <w:tblPr>
        <w:tblStyle w:val="3"/>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 w:type="dxa"/>
          <w:bottom w:w="0" w:type="dxa"/>
          <w:right w:w="10" w:type="dxa"/>
        </w:tblCellMar>
      </w:tblPr>
      <w:tblGrid>
        <w:gridCol w:w="1261"/>
        <w:gridCol w:w="2047"/>
        <w:gridCol w:w="523"/>
        <w:gridCol w:w="486"/>
        <w:gridCol w:w="2061"/>
        <w:gridCol w:w="1941"/>
      </w:tblGrid>
      <w:tr w14:paraId="61CB7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631" w:hRule="atLeast"/>
          <w:jc w:val="center"/>
        </w:trPr>
        <w:tc>
          <w:tcPr>
            <w:tcW w:w="758" w:type="pct"/>
            <w:noWrap w:val="0"/>
            <w:vAlign w:val="center"/>
          </w:tcPr>
          <w:p w14:paraId="44107679">
            <w:pPr>
              <w:tabs>
                <w:tab w:val="right" w:leader="dot" w:pos="9628"/>
              </w:tabs>
              <w:autoSpaceDE w:val="0"/>
              <w:autoSpaceDN w:val="0"/>
              <w:adjustRightInd w:val="0"/>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项目名称</w:t>
            </w:r>
          </w:p>
        </w:tc>
        <w:tc>
          <w:tcPr>
            <w:tcW w:w="1230" w:type="pct"/>
            <w:noWrap w:val="0"/>
            <w:vAlign w:val="center"/>
          </w:tcPr>
          <w:p w14:paraId="7B4E3216">
            <w:pPr>
              <w:tabs>
                <w:tab w:val="right" w:leader="dot" w:pos="9628"/>
              </w:tabs>
              <w:autoSpaceDE w:val="0"/>
              <w:autoSpaceDN w:val="0"/>
              <w:adjustRightInd w:val="0"/>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项目内容</w:t>
            </w:r>
          </w:p>
        </w:tc>
        <w:tc>
          <w:tcPr>
            <w:tcW w:w="314" w:type="pct"/>
            <w:noWrap w:val="0"/>
            <w:vAlign w:val="center"/>
          </w:tcPr>
          <w:p w14:paraId="4487B72B">
            <w:pPr>
              <w:tabs>
                <w:tab w:val="right" w:leader="dot" w:pos="9628"/>
              </w:tabs>
              <w:autoSpaceDE w:val="0"/>
              <w:autoSpaceDN w:val="0"/>
              <w:adjustRightInd w:val="0"/>
              <w:spacing w:line="360" w:lineRule="auto"/>
              <w:jc w:val="center"/>
              <w:rPr>
                <w:rFonts w:hint="eastAsia" w:ascii="宋体" w:hAnsi="宋体" w:cs="宋体"/>
                <w:color w:val="auto"/>
                <w:szCs w:val="21"/>
                <w:lang w:val="zh-CN"/>
              </w:rPr>
            </w:pPr>
            <w:r>
              <w:rPr>
                <w:rFonts w:hint="eastAsia" w:ascii="宋体" w:hAnsi="宋体" w:cs="宋体"/>
                <w:color w:val="auto"/>
                <w:szCs w:val="21"/>
                <w:lang w:val="zh-CN"/>
              </w:rPr>
              <w:t>数量</w:t>
            </w:r>
          </w:p>
        </w:tc>
        <w:tc>
          <w:tcPr>
            <w:tcW w:w="292" w:type="pct"/>
            <w:noWrap w:val="0"/>
            <w:vAlign w:val="center"/>
          </w:tcPr>
          <w:p w14:paraId="38F89EFB">
            <w:pPr>
              <w:tabs>
                <w:tab w:val="right" w:leader="dot" w:pos="9628"/>
              </w:tabs>
              <w:autoSpaceDE w:val="0"/>
              <w:autoSpaceDN w:val="0"/>
              <w:adjustRightInd w:val="0"/>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单位</w:t>
            </w:r>
          </w:p>
        </w:tc>
        <w:tc>
          <w:tcPr>
            <w:tcW w:w="1238" w:type="pct"/>
            <w:noWrap w:val="0"/>
            <w:vAlign w:val="center"/>
          </w:tcPr>
          <w:p w14:paraId="6318BAF6">
            <w:pPr>
              <w:tabs>
                <w:tab w:val="right" w:leader="dot" w:pos="9628"/>
              </w:tabs>
              <w:autoSpaceDE w:val="0"/>
              <w:autoSpaceDN w:val="0"/>
              <w:adjustRightInd w:val="0"/>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采购预算</w:t>
            </w:r>
          </w:p>
        </w:tc>
        <w:tc>
          <w:tcPr>
            <w:tcW w:w="1166" w:type="pct"/>
            <w:noWrap w:val="0"/>
            <w:vAlign w:val="center"/>
          </w:tcPr>
          <w:p w14:paraId="6D26B133">
            <w:pPr>
              <w:tabs>
                <w:tab w:val="right" w:leader="dot" w:pos="9628"/>
              </w:tabs>
              <w:autoSpaceDE w:val="0"/>
              <w:autoSpaceDN w:val="0"/>
              <w:adjustRightInd w:val="0"/>
              <w:spacing w:line="360" w:lineRule="auto"/>
              <w:jc w:val="center"/>
              <w:rPr>
                <w:rFonts w:hint="eastAsia" w:ascii="宋体" w:hAnsi="宋体" w:cs="宋体"/>
                <w:color w:val="auto"/>
                <w:szCs w:val="21"/>
                <w:lang w:val="zh-CN"/>
              </w:rPr>
            </w:pPr>
            <w:r>
              <w:rPr>
                <w:rFonts w:hint="eastAsia" w:ascii="宋体" w:hAnsi="宋体" w:cs="宋体"/>
                <w:color w:val="auto"/>
                <w:szCs w:val="21"/>
                <w:lang w:val="zh-CN"/>
              </w:rPr>
              <w:t>采购</w:t>
            </w:r>
            <w:r>
              <w:rPr>
                <w:rFonts w:hint="eastAsia" w:ascii="宋体" w:hAnsi="宋体" w:cs="宋体"/>
                <w:color w:val="auto"/>
                <w:szCs w:val="21"/>
                <w:lang w:val="en-US" w:eastAsia="zh-CN"/>
              </w:rPr>
              <w:t>总</w:t>
            </w:r>
            <w:r>
              <w:rPr>
                <w:rFonts w:hint="eastAsia" w:ascii="宋体" w:hAnsi="宋体" w:cs="宋体"/>
                <w:color w:val="auto"/>
                <w:szCs w:val="21"/>
                <w:lang w:val="zh-CN"/>
              </w:rPr>
              <w:t>预算</w:t>
            </w:r>
          </w:p>
        </w:tc>
      </w:tr>
      <w:tr w14:paraId="114DB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588" w:hRule="atLeast"/>
          <w:jc w:val="center"/>
        </w:trPr>
        <w:tc>
          <w:tcPr>
            <w:tcW w:w="758" w:type="pct"/>
            <w:vMerge w:val="restart"/>
            <w:noWrap w:val="0"/>
            <w:vAlign w:val="center"/>
          </w:tcPr>
          <w:p w14:paraId="0451BCF9">
            <w:pPr>
              <w:tabs>
                <w:tab w:val="right" w:leader="dot" w:pos="9628"/>
              </w:tabs>
              <w:autoSpaceDE w:val="0"/>
              <w:autoSpaceDN w:val="0"/>
              <w:adjustRightInd w:val="0"/>
              <w:spacing w:line="360" w:lineRule="auto"/>
              <w:jc w:val="center"/>
              <w:rPr>
                <w:rFonts w:hint="eastAsia" w:ascii="宋体" w:hAnsi="宋体" w:cs="宋体"/>
                <w:color w:val="auto"/>
                <w:lang w:eastAsia="zh-CN"/>
              </w:rPr>
            </w:pPr>
            <w:r>
              <w:rPr>
                <w:rFonts w:hint="eastAsia" w:ascii="宋体" w:hAnsi="宋体" w:cs="宋体"/>
                <w:color w:val="auto"/>
                <w:lang w:eastAsia="zh-CN"/>
              </w:rPr>
              <w:t>智慧病房项目</w:t>
            </w:r>
          </w:p>
        </w:tc>
        <w:tc>
          <w:tcPr>
            <w:tcW w:w="1230" w:type="pct"/>
            <w:noWrap w:val="0"/>
            <w:vAlign w:val="top"/>
          </w:tcPr>
          <w:p w14:paraId="3DB40E62">
            <w:pPr>
              <w:numPr>
                <w:ilvl w:val="0"/>
                <w:numId w:val="0"/>
              </w:numPr>
              <w:spacing w:line="360" w:lineRule="auto"/>
              <w:ind w:left="0" w:leftChars="0" w:firstLine="0" w:firstLineChars="0"/>
              <w:jc w:val="center"/>
              <w:rPr>
                <w:rFonts w:hint="eastAsia" w:ascii="宋体" w:hAnsi="宋体" w:cs="宋体"/>
                <w:b w:val="0"/>
                <w:bCs w:val="0"/>
                <w:color w:val="auto"/>
                <w:szCs w:val="21"/>
                <w:lang w:val="zh-CN"/>
              </w:rPr>
            </w:pPr>
            <w:r>
              <w:rPr>
                <w:rFonts w:hint="eastAsia" w:ascii="宋体" w:hAnsi="宋体" w:eastAsia="宋体" w:cs="宋体"/>
                <w:b w:val="0"/>
                <w:bCs w:val="0"/>
                <w:sz w:val="21"/>
                <w:szCs w:val="21"/>
                <w:vertAlign w:val="baseline"/>
                <w:lang w:val="en-US" w:eastAsia="zh-CN"/>
              </w:rPr>
              <w:t>智慧病房应用系统设备</w:t>
            </w:r>
          </w:p>
        </w:tc>
        <w:tc>
          <w:tcPr>
            <w:tcW w:w="314" w:type="pct"/>
            <w:noWrap w:val="0"/>
            <w:vAlign w:val="center"/>
          </w:tcPr>
          <w:p w14:paraId="6AB8D609">
            <w:pPr>
              <w:tabs>
                <w:tab w:val="right" w:leader="dot" w:pos="9628"/>
              </w:tabs>
              <w:autoSpaceDE w:val="0"/>
              <w:autoSpaceDN w:val="0"/>
              <w:adjustRightInd w:val="0"/>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zh-CN"/>
              </w:rPr>
              <w:t>1</w:t>
            </w:r>
          </w:p>
        </w:tc>
        <w:tc>
          <w:tcPr>
            <w:tcW w:w="292" w:type="pct"/>
            <w:noWrap w:val="0"/>
            <w:vAlign w:val="center"/>
          </w:tcPr>
          <w:p w14:paraId="6A726272">
            <w:pPr>
              <w:spacing w:line="360" w:lineRule="auto"/>
              <w:jc w:val="center"/>
              <w:rPr>
                <w:rFonts w:hint="default" w:ascii="宋体" w:hAnsi="宋体" w:cs="宋体"/>
                <w:color w:val="auto"/>
                <w:szCs w:val="21"/>
                <w:lang w:val="en-US" w:eastAsia="zh-CN"/>
              </w:rPr>
            </w:pPr>
            <w:r>
              <w:rPr>
                <w:rFonts w:hint="eastAsia" w:ascii="宋体" w:hAnsi="宋体" w:cs="宋体"/>
                <w:color w:val="auto"/>
                <w:szCs w:val="21"/>
                <w:lang w:val="en-US" w:eastAsia="zh-CN"/>
              </w:rPr>
              <w:t>批</w:t>
            </w:r>
          </w:p>
        </w:tc>
        <w:tc>
          <w:tcPr>
            <w:tcW w:w="1238" w:type="pct"/>
            <w:noWrap w:val="0"/>
            <w:vAlign w:val="top"/>
          </w:tcPr>
          <w:p w14:paraId="4DC7E6F5">
            <w:pPr>
              <w:numPr>
                <w:ilvl w:val="0"/>
                <w:numId w:val="0"/>
              </w:numPr>
              <w:spacing w:line="360" w:lineRule="auto"/>
              <w:ind w:left="0" w:leftChars="0" w:firstLine="0" w:firstLineChars="0"/>
              <w:jc w:val="center"/>
              <w:rPr>
                <w:rFonts w:hint="default" w:ascii="宋体" w:hAnsi="宋体" w:cs="宋体"/>
                <w:b w:val="0"/>
                <w:bCs w:val="0"/>
                <w:color w:val="auto"/>
                <w:szCs w:val="21"/>
                <w:lang w:val="en-US" w:eastAsia="zh-CN"/>
              </w:rPr>
            </w:pPr>
            <w:r>
              <w:rPr>
                <w:rFonts w:hint="eastAsia" w:ascii="宋体" w:hAnsi="宋体" w:eastAsia="宋体" w:cs="宋体"/>
                <w:b w:val="0"/>
                <w:bCs w:val="0"/>
                <w:sz w:val="21"/>
                <w:szCs w:val="21"/>
                <w:vertAlign w:val="baseline"/>
                <w:lang w:val="en-US" w:eastAsia="zh-CN"/>
              </w:rPr>
              <w:t>人民币690,987.00元</w:t>
            </w:r>
          </w:p>
        </w:tc>
        <w:tc>
          <w:tcPr>
            <w:tcW w:w="1166" w:type="pct"/>
            <w:vMerge w:val="restart"/>
            <w:noWrap w:val="0"/>
            <w:vAlign w:val="center"/>
          </w:tcPr>
          <w:p w14:paraId="37EE6346">
            <w:pPr>
              <w:spacing w:line="360" w:lineRule="auto"/>
              <w:jc w:val="center"/>
              <w:rPr>
                <w:rFonts w:hint="default" w:ascii="宋体" w:hAnsi="宋体" w:cs="宋体"/>
                <w:color w:val="auto"/>
                <w:kern w:val="0"/>
                <w:szCs w:val="21"/>
                <w:lang w:val="en-US"/>
              </w:rPr>
            </w:pPr>
            <w:r>
              <w:rPr>
                <w:rFonts w:hint="eastAsia" w:ascii="宋体" w:hAnsi="宋体" w:cs="宋体"/>
                <w:color w:val="auto"/>
                <w:kern w:val="0"/>
                <w:szCs w:val="21"/>
                <w:lang w:val="en-US" w:eastAsia="zh-CN"/>
              </w:rPr>
              <w:t>人民币867567.00元</w:t>
            </w:r>
          </w:p>
        </w:tc>
      </w:tr>
      <w:tr w14:paraId="68521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588" w:hRule="atLeast"/>
          <w:jc w:val="center"/>
        </w:trPr>
        <w:tc>
          <w:tcPr>
            <w:tcW w:w="758" w:type="pct"/>
            <w:vMerge w:val="continue"/>
            <w:tcBorders>
              <w:bottom w:val="single" w:color="auto" w:sz="4" w:space="0"/>
            </w:tcBorders>
            <w:noWrap w:val="0"/>
            <w:vAlign w:val="center"/>
          </w:tcPr>
          <w:p w14:paraId="4A0BCA4E">
            <w:pPr>
              <w:tabs>
                <w:tab w:val="right" w:leader="dot" w:pos="9628"/>
              </w:tabs>
              <w:autoSpaceDE w:val="0"/>
              <w:autoSpaceDN w:val="0"/>
              <w:adjustRightInd w:val="0"/>
              <w:spacing w:line="360" w:lineRule="auto"/>
              <w:jc w:val="center"/>
              <w:rPr>
                <w:rFonts w:hint="eastAsia" w:ascii="宋体" w:hAnsi="宋体" w:cs="宋体"/>
                <w:color w:val="auto"/>
                <w:lang w:eastAsia="zh-CN"/>
              </w:rPr>
            </w:pPr>
          </w:p>
        </w:tc>
        <w:tc>
          <w:tcPr>
            <w:tcW w:w="1230" w:type="pct"/>
            <w:tcBorders>
              <w:bottom w:val="single" w:color="auto" w:sz="4" w:space="0"/>
            </w:tcBorders>
            <w:noWrap w:val="0"/>
            <w:vAlign w:val="top"/>
          </w:tcPr>
          <w:p w14:paraId="77FD2276">
            <w:pPr>
              <w:numPr>
                <w:ilvl w:val="0"/>
                <w:numId w:val="0"/>
              </w:numPr>
              <w:spacing w:line="360" w:lineRule="auto"/>
              <w:ind w:left="0" w:leftChars="0" w:firstLine="0" w:firstLineChars="0"/>
              <w:jc w:val="center"/>
              <w:rPr>
                <w:rFonts w:hint="eastAsia" w:ascii="宋体" w:hAnsi="宋体" w:cs="宋体"/>
                <w:b w:val="0"/>
                <w:bCs w:val="0"/>
                <w:color w:val="auto"/>
                <w:lang w:eastAsia="zh-CN"/>
              </w:rPr>
            </w:pPr>
            <w:r>
              <w:rPr>
                <w:rFonts w:hint="eastAsia" w:ascii="宋体" w:hAnsi="宋体" w:eastAsia="宋体" w:cs="宋体"/>
                <w:b w:val="0"/>
                <w:bCs w:val="0"/>
                <w:sz w:val="21"/>
                <w:szCs w:val="21"/>
                <w:vertAlign w:val="baseline"/>
                <w:lang w:val="en-US" w:eastAsia="zh-CN"/>
              </w:rPr>
              <w:t>智慧病房应用系统软件</w:t>
            </w:r>
          </w:p>
        </w:tc>
        <w:tc>
          <w:tcPr>
            <w:tcW w:w="314" w:type="pct"/>
            <w:tcBorders>
              <w:bottom w:val="single" w:color="auto" w:sz="4" w:space="0"/>
            </w:tcBorders>
            <w:noWrap w:val="0"/>
            <w:vAlign w:val="center"/>
          </w:tcPr>
          <w:p w14:paraId="30AB4E4C">
            <w:pPr>
              <w:tabs>
                <w:tab w:val="right" w:leader="dot" w:pos="9628"/>
              </w:tabs>
              <w:autoSpaceDE w:val="0"/>
              <w:autoSpaceDN w:val="0"/>
              <w:adjustRightInd w:val="0"/>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292" w:type="pct"/>
            <w:tcBorders>
              <w:bottom w:val="single" w:color="auto" w:sz="4" w:space="0"/>
            </w:tcBorders>
            <w:noWrap w:val="0"/>
            <w:vAlign w:val="center"/>
          </w:tcPr>
          <w:p w14:paraId="157AA664">
            <w:pPr>
              <w:spacing w:line="360" w:lineRule="auto"/>
              <w:jc w:val="center"/>
              <w:rPr>
                <w:rFonts w:hint="default" w:ascii="宋体" w:hAnsi="宋体" w:cs="宋体"/>
                <w:color w:val="auto"/>
                <w:szCs w:val="21"/>
                <w:lang w:val="en-US" w:eastAsia="zh-CN"/>
              </w:rPr>
            </w:pPr>
            <w:r>
              <w:rPr>
                <w:rFonts w:hint="eastAsia" w:ascii="宋体" w:hAnsi="宋体" w:cs="宋体"/>
                <w:color w:val="auto"/>
                <w:szCs w:val="21"/>
                <w:lang w:val="en-US" w:eastAsia="zh-CN"/>
              </w:rPr>
              <w:t>套</w:t>
            </w:r>
          </w:p>
        </w:tc>
        <w:tc>
          <w:tcPr>
            <w:tcW w:w="1238" w:type="pct"/>
            <w:tcBorders>
              <w:bottom w:val="single" w:color="auto" w:sz="4" w:space="0"/>
            </w:tcBorders>
            <w:noWrap w:val="0"/>
            <w:vAlign w:val="top"/>
          </w:tcPr>
          <w:p w14:paraId="516D23C0">
            <w:pPr>
              <w:numPr>
                <w:ilvl w:val="0"/>
                <w:numId w:val="0"/>
              </w:numPr>
              <w:spacing w:line="360" w:lineRule="auto"/>
              <w:ind w:left="0" w:leftChars="0" w:firstLine="0" w:firstLineChars="0"/>
              <w:jc w:val="center"/>
              <w:rPr>
                <w:rFonts w:hint="default" w:ascii="宋体" w:hAnsi="宋体" w:cs="宋体"/>
                <w:b w:val="0"/>
                <w:bCs w:val="0"/>
                <w:color w:val="auto"/>
                <w:szCs w:val="21"/>
                <w:lang w:val="en-US" w:eastAsia="zh-CN"/>
              </w:rPr>
            </w:pPr>
            <w:r>
              <w:rPr>
                <w:rFonts w:hint="eastAsia" w:ascii="宋体" w:hAnsi="宋体" w:eastAsia="宋体" w:cs="宋体"/>
                <w:b w:val="0"/>
                <w:bCs w:val="0"/>
                <w:sz w:val="21"/>
                <w:szCs w:val="21"/>
                <w:vertAlign w:val="baseline"/>
                <w:lang w:val="en-US" w:eastAsia="zh-CN"/>
              </w:rPr>
              <w:t>人民币176,580.00元</w:t>
            </w:r>
          </w:p>
        </w:tc>
        <w:tc>
          <w:tcPr>
            <w:tcW w:w="1166" w:type="pct"/>
            <w:vMerge w:val="continue"/>
            <w:tcBorders>
              <w:bottom w:val="single" w:color="auto" w:sz="4" w:space="0"/>
            </w:tcBorders>
            <w:noWrap w:val="0"/>
            <w:vAlign w:val="center"/>
          </w:tcPr>
          <w:p w14:paraId="38AFA56F">
            <w:pPr>
              <w:spacing w:line="360" w:lineRule="auto"/>
              <w:jc w:val="center"/>
              <w:rPr>
                <w:rFonts w:hint="eastAsia" w:ascii="宋体" w:hAnsi="宋体" w:cs="宋体"/>
                <w:color w:val="auto"/>
                <w:szCs w:val="21"/>
                <w:lang w:val="zh-CN" w:eastAsia="zh-CN"/>
              </w:rPr>
            </w:pPr>
          </w:p>
        </w:tc>
      </w:tr>
    </w:tbl>
    <w:p w14:paraId="5427616E">
      <w:pPr>
        <w:spacing w:line="160" w:lineRule="exact"/>
        <w:rPr>
          <w:rFonts w:hint="eastAsia" w:ascii="宋体" w:hAnsi="宋体" w:cs="宋体"/>
          <w:color w:val="auto"/>
        </w:rPr>
      </w:pPr>
    </w:p>
    <w:p w14:paraId="345D55D4">
      <w:pPr>
        <w:numPr>
          <w:ilvl w:val="0"/>
          <w:numId w:val="2"/>
        </w:numPr>
        <w:tabs>
          <w:tab w:val="left" w:pos="525"/>
          <w:tab w:val="left" w:pos="630"/>
          <w:tab w:val="left" w:pos="840"/>
        </w:tabs>
        <w:spacing w:line="360" w:lineRule="auto"/>
        <w:ind w:left="630" w:hanging="315"/>
        <w:rPr>
          <w:rFonts w:hint="eastAsia" w:ascii="宋体" w:hAnsi="宋体" w:cs="宋体"/>
          <w:bCs/>
          <w:color w:val="auto"/>
        </w:rPr>
      </w:pPr>
      <w:r>
        <w:rPr>
          <w:rFonts w:hint="eastAsia" w:ascii="宋体" w:hAnsi="宋体" w:cs="宋体"/>
          <w:bCs/>
          <w:color w:val="auto"/>
        </w:rPr>
        <w:t>详细要求请参阅招标文件中第二章“采购需求”</w:t>
      </w:r>
      <w:r>
        <w:rPr>
          <w:rFonts w:hint="eastAsia" w:ascii="宋体" w:hAnsi="宋体" w:cs="宋体"/>
          <w:bCs/>
          <w:color w:val="auto"/>
          <w:lang w:eastAsia="zh-CN"/>
        </w:rPr>
        <w:t>。</w:t>
      </w:r>
    </w:p>
    <w:p w14:paraId="3E326ADC">
      <w:pPr>
        <w:numPr>
          <w:ilvl w:val="0"/>
          <w:numId w:val="2"/>
        </w:numPr>
        <w:tabs>
          <w:tab w:val="left" w:pos="525"/>
          <w:tab w:val="left" w:pos="630"/>
          <w:tab w:val="left" w:pos="735"/>
          <w:tab w:val="left" w:pos="851"/>
          <w:tab w:val="clear" w:pos="1035"/>
        </w:tabs>
        <w:spacing w:line="360" w:lineRule="auto"/>
        <w:ind w:left="630" w:hanging="315"/>
        <w:rPr>
          <w:rFonts w:hint="eastAsia" w:ascii="宋体" w:hAnsi="宋体" w:cs="宋体"/>
          <w:bCs/>
          <w:color w:val="auto"/>
          <w:szCs w:val="20"/>
        </w:rPr>
      </w:pPr>
      <w:r>
        <w:rPr>
          <w:rFonts w:hint="eastAsia" w:ascii="宋体" w:hAnsi="宋体" w:cs="宋体"/>
          <w:bCs/>
          <w:color w:val="auto"/>
          <w:szCs w:val="20"/>
        </w:rPr>
        <w:t>是否允许进口产品投标：</w:t>
      </w:r>
      <w:r>
        <w:rPr>
          <w:rFonts w:hint="eastAsia" w:ascii="宋体" w:hAnsi="宋体" w:cs="宋体"/>
          <w:bCs/>
          <w:color w:val="auto"/>
          <w:szCs w:val="20"/>
          <w:lang w:val="en-US" w:eastAsia="zh-CN"/>
        </w:rPr>
        <w:t>否</w:t>
      </w:r>
      <w:r>
        <w:rPr>
          <w:rFonts w:hint="eastAsia" w:ascii="宋体" w:hAnsi="宋体" w:cs="宋体"/>
          <w:bCs/>
          <w:color w:val="auto"/>
          <w:szCs w:val="20"/>
          <w:highlight w:val="none"/>
        </w:rPr>
        <w:t>。</w:t>
      </w:r>
    </w:p>
    <w:p w14:paraId="1A13C245">
      <w:pPr>
        <w:numPr>
          <w:ilvl w:val="0"/>
          <w:numId w:val="2"/>
        </w:numPr>
        <w:tabs>
          <w:tab w:val="left" w:pos="525"/>
          <w:tab w:val="left" w:pos="630"/>
          <w:tab w:val="left" w:pos="735"/>
          <w:tab w:val="left" w:pos="851"/>
          <w:tab w:val="clear" w:pos="1035"/>
        </w:tabs>
        <w:spacing w:line="360" w:lineRule="auto"/>
        <w:ind w:left="630" w:hanging="315"/>
        <w:rPr>
          <w:rFonts w:hint="eastAsia" w:ascii="宋体" w:hAnsi="宋体" w:cs="宋体"/>
          <w:bCs/>
          <w:color w:val="auto"/>
          <w:szCs w:val="20"/>
        </w:rPr>
      </w:pPr>
      <w:r>
        <w:rPr>
          <w:rFonts w:hint="eastAsia" w:ascii="宋体" w:hAnsi="宋体" w:cs="宋体"/>
          <w:color w:val="auto"/>
          <w:kern w:val="28"/>
          <w:szCs w:val="21"/>
        </w:rPr>
        <w:t>合格的投标人应对本项目所有招标货物和服务进行报价，不允许只对部分货物和服务进行投标报价。</w:t>
      </w:r>
    </w:p>
    <w:p w14:paraId="3CDD98C3">
      <w:pPr>
        <w:numPr>
          <w:ilvl w:val="0"/>
          <w:numId w:val="2"/>
        </w:numPr>
        <w:tabs>
          <w:tab w:val="left" w:pos="709"/>
          <w:tab w:val="left" w:pos="735"/>
          <w:tab w:val="left" w:pos="851"/>
          <w:tab w:val="clear" w:pos="1035"/>
        </w:tabs>
        <w:spacing w:line="360" w:lineRule="auto"/>
        <w:ind w:left="709" w:hanging="394"/>
        <w:rPr>
          <w:rFonts w:hint="eastAsia" w:ascii="宋体" w:hAnsi="宋体" w:cs="宋体"/>
          <w:bCs/>
          <w:color w:val="auto"/>
          <w:szCs w:val="20"/>
        </w:rPr>
      </w:pPr>
      <w:r>
        <w:rPr>
          <w:rFonts w:hint="eastAsia" w:ascii="宋体" w:hAnsi="宋体" w:cs="宋体"/>
          <w:bCs/>
          <w:color w:val="auto"/>
          <w:szCs w:val="20"/>
        </w:rPr>
        <w:t>需落实政府采购政策为：</w:t>
      </w:r>
      <w:r>
        <w:rPr>
          <w:rFonts w:hint="eastAsia"/>
          <w:color w:val="auto"/>
          <w:lang w:val="en-US" w:eastAsia="zh-CN"/>
        </w:rPr>
        <w:t>《政府采购促进中小企业发展管理办法》（财库〔2020〕46号）、《关于政府采购支持监狱企业发展有关问题的通知》（财库〔2014〕68号）、《关于促进残疾人就业政府采购政策的通知》（财库〔2017〕141号）、《关于调整优化节能产品、环境标志产品政府采购执行机制的通知》（财库〔2019〕9号）</w:t>
      </w:r>
      <w:r>
        <w:rPr>
          <w:rFonts w:hint="eastAsia" w:ascii="宋体" w:hAnsi="宋体" w:cs="宋体"/>
          <w:bCs/>
          <w:color w:val="auto"/>
          <w:szCs w:val="20"/>
          <w:lang w:eastAsia="zh-CN"/>
        </w:rPr>
        <w:t>、</w:t>
      </w:r>
      <w:r>
        <w:rPr>
          <w:rFonts w:hint="eastAsia"/>
          <w:color w:val="auto"/>
          <w:lang w:val="en-US" w:eastAsia="zh-CN"/>
        </w:rPr>
        <w:t>《国务院办公厅关于在政府采购中实施本国产品标准及相关政策的通知》（国办发〔2025〕34号）</w:t>
      </w:r>
      <w:r>
        <w:rPr>
          <w:color w:val="auto"/>
          <w:sz w:val="21"/>
          <w:shd w:val="clear" w:color="auto" w:fill="FFFFFF"/>
        </w:rPr>
        <w:t>、《关于贯彻落实《国务院办公厅关于在政府采购中实施本</w:t>
      </w:r>
      <w:r>
        <w:rPr>
          <w:rFonts w:hint="eastAsia"/>
          <w:color w:val="auto"/>
          <w:sz w:val="21"/>
          <w:shd w:val="clear" w:color="auto" w:fill="FFFFFF"/>
          <w:lang w:eastAsia="zh-CN"/>
        </w:rPr>
        <w:t>国产</w:t>
      </w:r>
      <w:r>
        <w:rPr>
          <w:color w:val="auto"/>
          <w:sz w:val="21"/>
          <w:shd w:val="clear" w:color="auto" w:fill="FFFFFF"/>
        </w:rPr>
        <w:t>品标准及相关政策的通知》的意见》（ 财库〔2025〕30号）</w:t>
      </w:r>
      <w:r>
        <w:rPr>
          <w:rFonts w:hint="eastAsia" w:ascii="宋体" w:hAnsi="宋体" w:cs="宋体"/>
          <w:bCs/>
          <w:color w:val="auto"/>
          <w:szCs w:val="20"/>
        </w:rPr>
        <w:t>等。</w:t>
      </w:r>
    </w:p>
    <w:p w14:paraId="731B96A2">
      <w:pPr>
        <w:spacing w:line="360" w:lineRule="auto"/>
        <w:ind w:firstLine="210" w:firstLineChars="100"/>
        <w:rPr>
          <w:rFonts w:hint="eastAsia" w:ascii="宋体" w:hAnsi="宋体" w:cs="宋体"/>
          <w:color w:val="auto"/>
        </w:rPr>
      </w:pPr>
      <w:r>
        <w:rPr>
          <w:rFonts w:hint="eastAsia" w:ascii="宋体" w:hAnsi="宋体" w:cs="宋体"/>
          <w:color w:val="auto"/>
        </w:rPr>
        <w:t>（4）其他：详见“其他补充事宜”。</w:t>
      </w:r>
    </w:p>
    <w:p w14:paraId="66DDA031">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合同履行期限：</w:t>
      </w:r>
      <w:r>
        <w:rPr>
          <w:rFonts w:hint="eastAsia" w:ascii="宋体" w:hAnsi="宋体" w:cs="宋体"/>
          <w:color w:val="auto"/>
        </w:rPr>
        <w:t>交货期：</w:t>
      </w:r>
      <w:r>
        <w:rPr>
          <w:rFonts w:hint="eastAsia" w:ascii="宋体" w:hAnsi="宋体" w:eastAsia="宋体" w:cs="宋体"/>
          <w:color w:val="auto"/>
          <w:sz w:val="21"/>
          <w:szCs w:val="21"/>
        </w:rPr>
        <w:t>合同签订后60 个工作日内</w:t>
      </w:r>
      <w:r>
        <w:rPr>
          <w:rFonts w:hint="eastAsia" w:ascii="宋体" w:hAnsi="宋体" w:cs="宋体"/>
          <w:color w:val="auto"/>
        </w:rPr>
        <w:t>。</w:t>
      </w:r>
    </w:p>
    <w:p w14:paraId="45E1B986">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本项目不接受联合体投标。</w:t>
      </w:r>
    </w:p>
    <w:p w14:paraId="38CFBE81">
      <w:pPr>
        <w:spacing w:line="360" w:lineRule="auto"/>
        <w:rPr>
          <w:rFonts w:hint="eastAsia" w:ascii="宋体" w:hAnsi="宋体" w:cs="宋体"/>
          <w:b/>
          <w:bCs/>
          <w:color w:val="auto"/>
          <w:szCs w:val="20"/>
        </w:rPr>
      </w:pPr>
      <w:r>
        <w:rPr>
          <w:rFonts w:hint="eastAsia" w:ascii="宋体" w:hAnsi="宋体" w:cs="宋体"/>
          <w:b/>
          <w:bCs/>
          <w:color w:val="auto"/>
          <w:szCs w:val="20"/>
        </w:rPr>
        <w:t>二、申请人的资格要求</w:t>
      </w:r>
    </w:p>
    <w:p w14:paraId="6A9C1FE0">
      <w:pPr>
        <w:numPr>
          <w:ilvl w:val="0"/>
          <w:numId w:val="3"/>
        </w:numPr>
        <w:spacing w:line="360" w:lineRule="auto"/>
        <w:ind w:left="0" w:leftChars="0" w:firstLine="0"/>
        <w:rPr>
          <w:rFonts w:hint="eastAsia" w:ascii="宋体" w:hAnsi="宋体" w:cs="宋体"/>
          <w:bCs/>
          <w:szCs w:val="20"/>
        </w:rPr>
      </w:pPr>
      <w:r>
        <w:rPr>
          <w:rFonts w:hint="eastAsia" w:ascii="宋体" w:hAnsi="宋体" w:cs="宋体"/>
          <w:bCs/>
          <w:szCs w:val="20"/>
        </w:rPr>
        <w:t>投标人应具备《中华人民共和国政府采购法》第二十二条规定的条件，提供下列材料：</w:t>
      </w:r>
    </w:p>
    <w:p w14:paraId="687996B2">
      <w:pPr>
        <w:numPr>
          <w:ilvl w:val="0"/>
          <w:numId w:val="0"/>
        </w:numPr>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1）具有独立承担民事责任的能力：在中华人民共和国境内注册的法人或其他组织或自然人，投标时提交有效的营业执照（或事业法人登记证或身份证等相关证明）副本复印件。分支机构投标的，须提供总公司和分公司营业执照副本复印件，总公司出具给分支机构的授权书。</w:t>
      </w:r>
    </w:p>
    <w:p w14:paraId="1DFF87F8">
      <w:pPr>
        <w:numPr>
          <w:ilvl w:val="0"/>
          <w:numId w:val="0"/>
        </w:numPr>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2）具有依法缴纳税收和社会保障资金的良好记录：</w:t>
      </w:r>
      <w:r>
        <w:rPr>
          <w:rFonts w:hint="eastAsia" w:ascii="宋体" w:hAnsi="宋体" w:cs="宋体"/>
          <w:bCs/>
          <w:szCs w:val="20"/>
          <w:lang w:val="en-US" w:eastAsia="zh-CN"/>
        </w:rPr>
        <w:t>提供资格文件声明函或</w:t>
      </w:r>
      <w:r>
        <w:rPr>
          <w:rFonts w:hint="eastAsia" w:ascii="宋体" w:hAnsi="宋体" w:cs="宋体"/>
          <w:bCs/>
          <w:szCs w:val="20"/>
        </w:rPr>
        <w:t>提供投标截止日前12个月内任意1个月依法缴纳税收和社会保障资金的相关材料。如依法免税或不需要缴纳社会保障资金的，提供相应证明材料。</w:t>
      </w:r>
    </w:p>
    <w:p w14:paraId="6F28B2A2">
      <w:pPr>
        <w:numPr>
          <w:ilvl w:val="0"/>
          <w:numId w:val="0"/>
        </w:numPr>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3）具有良好的商业信誉和健全的财务会计制度：</w:t>
      </w:r>
      <w:r>
        <w:rPr>
          <w:rFonts w:hint="eastAsia" w:ascii="宋体" w:hAnsi="宋体" w:cs="宋体"/>
          <w:bCs/>
          <w:szCs w:val="20"/>
          <w:lang w:val="en-US" w:eastAsia="zh-CN"/>
        </w:rPr>
        <w:t>提供资格文件声明函或</w:t>
      </w:r>
      <w:r>
        <w:rPr>
          <w:rFonts w:hint="eastAsia" w:ascii="宋体" w:hAnsi="宋体" w:cs="宋体"/>
          <w:bCs/>
          <w:szCs w:val="20"/>
        </w:rPr>
        <w:t>提供2024年度或2025年</w:t>
      </w:r>
      <w:r>
        <w:rPr>
          <w:rFonts w:hint="eastAsia" w:ascii="宋体" w:hAnsi="宋体" w:cs="宋体"/>
          <w:bCs/>
          <w:szCs w:val="20"/>
          <w:lang w:val="en-US" w:eastAsia="zh-CN"/>
        </w:rPr>
        <w:t>度或2026年</w:t>
      </w:r>
      <w:r>
        <w:rPr>
          <w:rFonts w:hint="eastAsia" w:ascii="宋体" w:hAnsi="宋体" w:cs="宋体"/>
          <w:bCs/>
          <w:szCs w:val="20"/>
        </w:rPr>
        <w:t>至今任意1个月的财务状况报告或基本开户行出具的资信证明。</w:t>
      </w:r>
    </w:p>
    <w:p w14:paraId="3E1CA4B3">
      <w:pPr>
        <w:numPr>
          <w:ilvl w:val="0"/>
          <w:numId w:val="0"/>
        </w:numPr>
        <w:tabs>
          <w:tab w:val="left" w:pos="0"/>
        </w:tabs>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4）履行合同所必需的设备和专业技术能力：提供书面承诺声明函（格式自拟）或具有履行合同所必需的设备和专业技术能力的其他证明材料。</w:t>
      </w:r>
    </w:p>
    <w:p w14:paraId="527BBBD8">
      <w:pPr>
        <w:numPr>
          <w:ilvl w:val="0"/>
          <w:numId w:val="0"/>
        </w:numPr>
        <w:tabs>
          <w:tab w:val="left" w:pos="0"/>
        </w:tabs>
        <w:spacing w:line="360" w:lineRule="auto"/>
        <w:ind w:left="218" w:leftChars="104" w:firstLine="0"/>
        <w:rPr>
          <w:rFonts w:hint="eastAsia" w:ascii="宋体" w:hAnsi="宋体" w:cs="宋体"/>
          <w:bCs/>
          <w:color w:val="auto"/>
          <w:szCs w:val="20"/>
          <w:highlight w:val="none"/>
        </w:rPr>
      </w:pPr>
      <w:r>
        <w:rPr>
          <w:rFonts w:hint="eastAsia" w:ascii="宋体" w:hAnsi="宋体" w:cs="宋体"/>
          <w:bCs/>
          <w:szCs w:val="20"/>
          <w:lang w:eastAsia="zh-CN"/>
        </w:rPr>
        <w:t>（</w:t>
      </w:r>
      <w:r>
        <w:rPr>
          <w:rFonts w:hint="eastAsia" w:ascii="宋体" w:hAnsi="宋体" w:cs="宋体"/>
          <w:bCs/>
          <w:szCs w:val="20"/>
        </w:rPr>
        <w:t>5）参加采购活动前3年内，在经营活动中没有重大违法记录：</w:t>
      </w:r>
      <w:r>
        <w:rPr>
          <w:rFonts w:hint="eastAsia" w:ascii="宋体" w:hAnsi="宋体" w:cs="宋体"/>
          <w:bCs/>
          <w:szCs w:val="20"/>
          <w:lang w:val="en-US" w:eastAsia="zh-CN"/>
        </w:rPr>
        <w:t>提供书面声明</w:t>
      </w:r>
      <w:r>
        <w:rPr>
          <w:rFonts w:hint="eastAsia" w:ascii="宋体" w:hAnsi="宋体" w:cs="宋体"/>
          <w:bCs/>
          <w:szCs w:val="20"/>
        </w:rPr>
        <w:t>。重大违法记录，是指供应商因违法经营受到刑事处罚或者责令停产停业、吊销许可证或者执照、较大数额罚款等行政处罚。（根据财库〔2022〕3号文，“较大数额罚</w:t>
      </w:r>
      <w:r>
        <w:rPr>
          <w:rFonts w:hint="eastAsia" w:ascii="宋体" w:hAnsi="宋体" w:cs="宋体"/>
          <w:bCs/>
          <w:color w:val="auto"/>
          <w:szCs w:val="20"/>
          <w:highlight w:val="none"/>
        </w:rPr>
        <w:t>款”认定为200万元以上的罚款，法律、行政法规以及国务院有关部门明确规定相关领域“较大数额罚款”标准高于200万元的，从其规定）；</w:t>
      </w:r>
    </w:p>
    <w:p w14:paraId="2AAB3938">
      <w:pPr>
        <w:numPr>
          <w:ilvl w:val="0"/>
          <w:numId w:val="3"/>
        </w:numPr>
        <w:spacing w:line="360" w:lineRule="auto"/>
        <w:rPr>
          <w:rFonts w:hint="eastAsia" w:ascii="宋体" w:hAnsi="宋体" w:cs="宋体"/>
          <w:bCs/>
          <w:color w:val="auto"/>
          <w:szCs w:val="20"/>
          <w:highlight w:val="none"/>
        </w:rPr>
      </w:pPr>
      <w:r>
        <w:rPr>
          <w:rFonts w:hint="eastAsia" w:ascii="宋体" w:hAnsi="宋体" w:cs="宋体"/>
          <w:bCs/>
          <w:color w:val="auto"/>
          <w:szCs w:val="20"/>
          <w:highlight w:val="none"/>
        </w:rPr>
        <w:t>落实政府采购政策需满足的资格要求：</w:t>
      </w:r>
    </w:p>
    <w:p w14:paraId="522C10BE">
      <w:pPr>
        <w:tabs>
          <w:tab w:val="left" w:pos="525"/>
          <w:tab w:val="left" w:pos="630"/>
          <w:tab w:val="left" w:pos="735"/>
          <w:tab w:val="left" w:pos="851"/>
        </w:tabs>
        <w:spacing w:line="360" w:lineRule="auto"/>
        <w:ind w:firstLine="315" w:firstLineChars="150"/>
        <w:rPr>
          <w:rFonts w:hint="eastAsia"/>
          <w:color w:val="auto"/>
          <w:highlight w:val="none"/>
        </w:rPr>
      </w:pPr>
      <w:r>
        <w:rPr>
          <w:color w:val="auto"/>
          <w:highlight w:val="none"/>
        </w:rPr>
        <w:t>本项目不属于专门面向中小企业采购的项目</w:t>
      </w:r>
      <w:r>
        <w:rPr>
          <w:rFonts w:hint="eastAsia"/>
          <w:color w:val="auto"/>
          <w:highlight w:val="none"/>
        </w:rPr>
        <w:t>。</w:t>
      </w:r>
    </w:p>
    <w:p w14:paraId="54C42045">
      <w:pPr>
        <w:numPr>
          <w:ilvl w:val="0"/>
          <w:numId w:val="3"/>
        </w:numPr>
        <w:spacing w:line="360" w:lineRule="auto"/>
        <w:ind w:left="0" w:firstLine="0"/>
        <w:rPr>
          <w:rFonts w:hint="eastAsia" w:ascii="宋体" w:hAnsi="宋体" w:cs="宋体"/>
          <w:bCs/>
          <w:color w:val="auto"/>
          <w:szCs w:val="20"/>
          <w:highlight w:val="none"/>
        </w:rPr>
      </w:pPr>
      <w:r>
        <w:rPr>
          <w:rFonts w:hint="eastAsia" w:ascii="宋体" w:hAnsi="宋体" w:cs="宋体"/>
          <w:bCs/>
          <w:color w:val="auto"/>
          <w:szCs w:val="20"/>
          <w:highlight w:val="none"/>
        </w:rPr>
        <w:t>本项目的特定资格要求：</w:t>
      </w:r>
    </w:p>
    <w:p w14:paraId="24B7FF3D">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color w:val="auto"/>
          <w:szCs w:val="21"/>
        </w:rPr>
        <w:t>供应商未被列入“信用中国”网站(www.creditchina.gov.cn)“失信被执行人或重大税收违法失信主体</w:t>
      </w:r>
      <w:r>
        <w:rPr>
          <w:rFonts w:hint="eastAsia" w:ascii="宋体" w:hAnsi="宋体" w:cs="宋体"/>
          <w:color w:val="auto"/>
          <w:szCs w:val="21"/>
          <w:lang w:val="en-US" w:eastAsia="zh-CN"/>
        </w:rPr>
        <w:t>名单</w:t>
      </w:r>
      <w:r>
        <w:rPr>
          <w:rFonts w:hint="eastAsia" w:ascii="宋体" w:hAnsi="宋体" w:cs="宋体"/>
          <w:color w:val="auto"/>
          <w:szCs w:val="21"/>
        </w:rPr>
        <w:t>或政府采购严重违法失信行为记录名单”;不处于中国政府采购网(www.ccgp.gov.cn)“政府采购严重违法失信行为信息记录”中的禁止参加政府采购活动期间。（注：1）以评审当日在“信用中国”网站（www.creditchina.gov.cn）、中国政府采购网（www.ccgp.gov.cn）的查询结果为准，处罚期限届满的除外；2）采购代理机构同时对信用信息查询记录和证据截图或下载存档。）</w:t>
      </w:r>
    </w:p>
    <w:p w14:paraId="6D2F3687">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bCs/>
          <w:color w:val="auto"/>
          <w:szCs w:val="20"/>
        </w:rPr>
        <w:t>单位负责人为同一人或者存在直接控股、管理关系的不同供应商，不得参加同一包组或者未划分包组的同一采购项目的采购活动。如同时参加，则评审时均作无效处理。(提供书面声明)</w:t>
      </w:r>
      <w:r>
        <w:rPr>
          <w:rFonts w:hint="eastAsia" w:ascii="宋体" w:hAnsi="宋体" w:cs="宋体"/>
          <w:bCs/>
          <w:color w:val="auto"/>
          <w:szCs w:val="20"/>
          <w:lang w:eastAsia="zh-CN"/>
        </w:rPr>
        <w:t>；</w:t>
      </w:r>
    </w:p>
    <w:p w14:paraId="0AA96DA0">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bCs/>
          <w:color w:val="auto"/>
          <w:szCs w:val="20"/>
        </w:rPr>
        <w:t>为采购项目提供整体设计、规范编制或者项目管理、监理、检测等服务的供应商，不得再参加该采购项目的其他采购活动。(提供书面声明)</w:t>
      </w:r>
      <w:r>
        <w:rPr>
          <w:rFonts w:hint="eastAsia" w:ascii="宋体" w:hAnsi="宋体" w:cs="宋体"/>
          <w:bCs/>
          <w:color w:val="auto"/>
          <w:szCs w:val="20"/>
          <w:lang w:eastAsia="zh-CN"/>
        </w:rPr>
        <w:t>；</w:t>
      </w:r>
    </w:p>
    <w:p w14:paraId="336AE0AC">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eastAsia="宋体" w:cs="宋体"/>
          <w:sz w:val="21"/>
          <w:szCs w:val="21"/>
          <w:highlight w:val="none"/>
        </w:rPr>
        <w:t>输液监控终端</w:t>
      </w:r>
      <w:r>
        <w:rPr>
          <w:rFonts w:ascii="宋体" w:hAnsi="宋体" w:eastAsia="宋体" w:cs="宋体"/>
          <w:sz w:val="21"/>
          <w:szCs w:val="21"/>
        </w:rPr>
        <w:t>属于第二类医疗器械，投标人在投标时必须提供有效的响应产品《中华人民共和国医疗器械注册证》扫描件。（如国家另有规定，则适用其规定）</w:t>
      </w:r>
    </w:p>
    <w:p w14:paraId="199CDB34">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eastAsia="宋体" w:cs="宋体"/>
          <w:sz w:val="21"/>
          <w:szCs w:val="21"/>
          <w:highlight w:val="none"/>
        </w:rPr>
        <w:t>输液监控终端</w:t>
      </w:r>
      <w:r>
        <w:rPr>
          <w:rFonts w:ascii="宋体" w:hAnsi="宋体" w:eastAsia="宋体" w:cs="宋体"/>
          <w:sz w:val="21"/>
          <w:szCs w:val="21"/>
        </w:rPr>
        <w:t>属于第二类医疗器械，投标人若为设备生产厂家应提供有效的《医疗器械生产许可证》扫描件；若为经销商须提供有效的《医疗器械经营备案凭证》扫描件，或承诺供货前提供有效的《医疗器械经营备案凭证》复印件（提供承诺书，不提供视为不响应）；（如国家另有规定，则适用其规定）</w:t>
      </w:r>
    </w:p>
    <w:p w14:paraId="49EB6F5D">
      <w:pPr>
        <w:numPr>
          <w:ilvl w:val="0"/>
          <w:numId w:val="4"/>
        </w:numPr>
        <w:spacing w:line="360" w:lineRule="auto"/>
        <w:rPr>
          <w:rFonts w:hint="eastAsia" w:ascii="宋体" w:hAnsi="宋体" w:cs="宋体"/>
          <w:szCs w:val="21"/>
        </w:rPr>
      </w:pPr>
      <w:r>
        <w:rPr>
          <w:rFonts w:hint="eastAsia" w:ascii="宋体" w:hAnsi="宋体" w:cs="宋体"/>
        </w:rPr>
        <w:t>已购买了本项目的招标文件。</w:t>
      </w:r>
    </w:p>
    <w:p w14:paraId="5F858DD3">
      <w:pPr>
        <w:spacing w:before="25" w:after="25" w:line="360" w:lineRule="auto"/>
        <w:jc w:val="left"/>
        <w:rPr>
          <w:rFonts w:hint="eastAsia" w:ascii="宋体" w:hAnsi="宋体" w:cs="宋体"/>
          <w:bCs/>
          <w:szCs w:val="20"/>
        </w:rPr>
      </w:pPr>
      <w:r>
        <w:rPr>
          <w:rFonts w:hint="eastAsia" w:ascii="宋体" w:hAnsi="宋体" w:cs="宋体"/>
          <w:szCs w:val="21"/>
        </w:rPr>
        <w:t>注：（1）</w:t>
      </w:r>
      <w:r>
        <w:rPr>
          <w:rFonts w:hint="eastAsia" w:ascii="宋体" w:hAnsi="宋体" w:cs="宋体"/>
          <w:szCs w:val="21"/>
          <w:lang w:eastAsia="zh-CN"/>
        </w:rPr>
        <w:t>投标人</w:t>
      </w:r>
      <w:r>
        <w:rPr>
          <w:rFonts w:hint="eastAsia" w:ascii="宋体" w:hAnsi="宋体" w:cs="宋体"/>
          <w:szCs w:val="21"/>
        </w:rPr>
        <w:t>参加投标应购买</w:t>
      </w:r>
      <w:r>
        <w:rPr>
          <w:rFonts w:hint="eastAsia" w:ascii="宋体" w:hAnsi="宋体" w:cs="宋体"/>
          <w:szCs w:val="21"/>
          <w:lang w:eastAsia="zh-CN"/>
        </w:rPr>
        <w:t>招标代理</w:t>
      </w:r>
      <w:r>
        <w:rPr>
          <w:rFonts w:hint="eastAsia" w:ascii="宋体" w:hAnsi="宋体" w:cs="宋体"/>
          <w:szCs w:val="21"/>
        </w:rPr>
        <w:t>机构正式对外发布的招标文件才有资格参加投标。</w:t>
      </w:r>
    </w:p>
    <w:p w14:paraId="4070994E">
      <w:pPr>
        <w:snapToGrid w:val="0"/>
        <w:spacing w:line="360" w:lineRule="auto"/>
        <w:ind w:firstLine="420" w:firstLineChars="200"/>
        <w:rPr>
          <w:rFonts w:hint="eastAsia" w:ascii="宋体" w:hAnsi="宋体" w:cs="宋体"/>
          <w:bCs/>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bCs/>
          <w:szCs w:val="21"/>
        </w:rPr>
        <w:t>地点：中易电子交易平台（http://www.cotenders.cn）</w:t>
      </w:r>
    </w:p>
    <w:p w14:paraId="1BB6E00C">
      <w:pPr>
        <w:snapToGrid w:val="0"/>
        <w:spacing w:line="360" w:lineRule="auto"/>
        <w:ind w:firstLine="420" w:firstLineChars="200"/>
        <w:rPr>
          <w:rFonts w:hint="eastAsia" w:ascii="宋体" w:hAnsi="宋体" w:cs="宋体"/>
          <w:bCs/>
          <w:szCs w:val="21"/>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bCs/>
          <w:szCs w:val="21"/>
        </w:rPr>
        <w:t>方式：本项目采用网上登记报名的方式，符合资格的投标人应在</w:t>
      </w:r>
      <w:r>
        <w:rPr>
          <w:rFonts w:hint="eastAsia" w:ascii="宋体" w:hAnsi="宋体" w:cs="宋体"/>
          <w:bCs/>
          <w:szCs w:val="21"/>
          <w:lang w:val="en-US" w:eastAsia="zh-CN"/>
        </w:rPr>
        <w:t>获取招标文件时间</w:t>
      </w:r>
      <w:r>
        <w:rPr>
          <w:rFonts w:hint="eastAsia" w:ascii="宋体" w:hAnsi="宋体" w:cs="宋体"/>
          <w:bCs/>
          <w:szCs w:val="21"/>
        </w:rPr>
        <w:t>登入中易电子交易平台（http://www.cotenders.cn）进行网上报名，点击网站右上方“注册”进入系统注册，注册通过后（已注册的无需重复注册）选择报名的项目公告。投标人进行网上报名并成功缴费，采购代理机构确认后即为报名成功。投标人报名成功后在中易电子交易平台下载招标文件。</w:t>
      </w:r>
    </w:p>
    <w:p w14:paraId="231D3EBC">
      <w:pPr>
        <w:spacing w:line="360" w:lineRule="auto"/>
        <w:ind w:firstLine="420" w:firstLineChars="200"/>
        <w:rPr>
          <w:rFonts w:ascii="宋体" w:hAnsi="宋体" w:cs="宋体"/>
          <w:bCs/>
          <w:color w:val="auto"/>
          <w:szCs w:val="20"/>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w:t>
      </w:r>
      <w:r>
        <w:rPr>
          <w:rFonts w:hint="eastAsia" w:ascii="宋体" w:hAnsi="宋体" w:cs="宋体"/>
          <w:bCs/>
          <w:szCs w:val="21"/>
        </w:rPr>
        <w:t>售价：</w:t>
      </w:r>
      <w:r>
        <w:rPr>
          <w:rFonts w:hint="eastAsia" w:ascii="宋体" w:hAnsi="宋体" w:cs="宋体"/>
          <w:bCs/>
          <w:color w:val="auto"/>
          <w:szCs w:val="21"/>
        </w:rPr>
        <w:t>每套售价人民币300.00元，售后不退。</w:t>
      </w:r>
    </w:p>
    <w:p w14:paraId="7FD7F59A">
      <w:pPr>
        <w:spacing w:line="360" w:lineRule="auto"/>
        <w:rPr>
          <w:rFonts w:hint="eastAsia" w:ascii="宋体" w:hAnsi="宋体" w:cs="宋体"/>
          <w:b/>
          <w:bCs/>
          <w:color w:val="auto"/>
          <w:szCs w:val="20"/>
        </w:rPr>
      </w:pPr>
      <w:r>
        <w:rPr>
          <w:rFonts w:hint="eastAsia" w:ascii="宋体" w:hAnsi="宋体" w:cs="宋体"/>
          <w:b/>
          <w:bCs/>
          <w:color w:val="auto"/>
          <w:szCs w:val="20"/>
        </w:rPr>
        <w:t>三、获取招标文件</w:t>
      </w:r>
    </w:p>
    <w:p w14:paraId="4C3A3518">
      <w:pPr>
        <w:spacing w:line="360" w:lineRule="auto"/>
        <w:ind w:firstLine="540"/>
        <w:rPr>
          <w:rFonts w:ascii="宋体" w:hAnsi="宋体" w:cs="宋体"/>
          <w:color w:val="auto"/>
          <w:szCs w:val="21"/>
        </w:rPr>
      </w:pPr>
      <w:r>
        <w:rPr>
          <w:rFonts w:hint="eastAsia" w:ascii="宋体" w:hAnsi="宋体" w:cs="宋体"/>
          <w:color w:val="auto"/>
          <w:szCs w:val="21"/>
        </w:rPr>
        <w:t>时间：</w:t>
      </w:r>
      <w:r>
        <w:rPr>
          <w:rFonts w:hint="eastAsia" w:ascii="宋体" w:hAnsi="宋体" w:cs="宋体"/>
          <w:color w:val="auto"/>
          <w:szCs w:val="18"/>
          <w:highlight w:val="none"/>
          <w:lang w:eastAsia="zh-CN"/>
        </w:rPr>
        <w:t>202</w:t>
      </w:r>
      <w:r>
        <w:rPr>
          <w:rFonts w:hint="eastAsia" w:ascii="宋体" w:hAnsi="宋体" w:cs="宋体"/>
          <w:color w:val="auto"/>
          <w:szCs w:val="18"/>
          <w:highlight w:val="none"/>
          <w:lang w:val="en-US" w:eastAsia="zh-CN"/>
        </w:rPr>
        <w:t>6</w:t>
      </w:r>
      <w:r>
        <w:rPr>
          <w:rFonts w:hint="eastAsia" w:ascii="宋体" w:hAnsi="宋体" w:cs="宋体"/>
          <w:color w:val="auto"/>
          <w:szCs w:val="18"/>
          <w:highlight w:val="none"/>
        </w:rPr>
        <w:t>年</w:t>
      </w:r>
      <w:r>
        <w:rPr>
          <w:rFonts w:hint="eastAsia" w:ascii="宋体" w:hAnsi="宋体" w:cs="宋体"/>
          <w:color w:val="auto"/>
          <w:szCs w:val="18"/>
          <w:u w:val="single"/>
          <w:lang w:val="en-US" w:eastAsia="zh-CN"/>
        </w:rPr>
        <w:t>05</w:t>
      </w:r>
      <w:r>
        <w:rPr>
          <w:rFonts w:hint="eastAsia" w:ascii="宋体" w:hAnsi="宋体" w:cs="宋体"/>
          <w:color w:val="auto"/>
          <w:szCs w:val="18"/>
        </w:rPr>
        <w:t>月</w:t>
      </w:r>
      <w:r>
        <w:rPr>
          <w:rFonts w:hint="eastAsia" w:ascii="宋体" w:hAnsi="宋体" w:cs="宋体"/>
          <w:color w:val="auto"/>
          <w:szCs w:val="18"/>
          <w:u w:val="single"/>
          <w:lang w:val="en-US" w:eastAsia="zh-CN"/>
        </w:rPr>
        <w:t>15</w:t>
      </w:r>
      <w:r>
        <w:rPr>
          <w:rFonts w:hint="eastAsia" w:ascii="宋体" w:hAnsi="宋体" w:cs="宋体"/>
          <w:color w:val="auto"/>
          <w:szCs w:val="18"/>
        </w:rPr>
        <w:t>日</w:t>
      </w:r>
      <w:r>
        <w:rPr>
          <w:rFonts w:hint="eastAsia" w:ascii="宋体" w:hAnsi="宋体" w:cs="宋体"/>
          <w:color w:val="auto"/>
          <w:szCs w:val="21"/>
        </w:rPr>
        <w:t>至</w:t>
      </w:r>
      <w:r>
        <w:rPr>
          <w:rFonts w:hint="eastAsia" w:ascii="宋体" w:hAnsi="宋体" w:cs="宋体"/>
          <w:color w:val="auto"/>
          <w:szCs w:val="18"/>
          <w:lang w:eastAsia="zh-CN"/>
        </w:rPr>
        <w:t>202</w:t>
      </w:r>
      <w:r>
        <w:rPr>
          <w:rFonts w:hint="eastAsia" w:ascii="宋体" w:hAnsi="宋体" w:cs="宋体"/>
          <w:color w:val="auto"/>
          <w:szCs w:val="18"/>
          <w:lang w:val="en-US" w:eastAsia="zh-CN"/>
        </w:rPr>
        <w:t>6</w:t>
      </w:r>
      <w:r>
        <w:rPr>
          <w:rFonts w:hint="eastAsia" w:ascii="宋体" w:hAnsi="宋体" w:cs="宋体"/>
          <w:color w:val="auto"/>
          <w:szCs w:val="18"/>
        </w:rPr>
        <w:t>年</w:t>
      </w:r>
      <w:r>
        <w:rPr>
          <w:rFonts w:hint="eastAsia" w:ascii="宋体" w:hAnsi="宋体" w:cs="宋体"/>
          <w:color w:val="auto"/>
          <w:szCs w:val="18"/>
          <w:u w:val="single"/>
          <w:lang w:val="en-US" w:eastAsia="zh-CN"/>
        </w:rPr>
        <w:t>05</w:t>
      </w:r>
      <w:r>
        <w:rPr>
          <w:rFonts w:hint="eastAsia" w:ascii="宋体" w:hAnsi="宋体" w:cs="宋体"/>
          <w:color w:val="auto"/>
          <w:szCs w:val="18"/>
        </w:rPr>
        <w:t>月</w:t>
      </w:r>
      <w:r>
        <w:rPr>
          <w:rFonts w:hint="eastAsia" w:ascii="宋体" w:hAnsi="宋体" w:cs="宋体"/>
          <w:color w:val="auto"/>
          <w:szCs w:val="18"/>
          <w:u w:val="single"/>
          <w:lang w:val="en-US" w:eastAsia="zh-CN"/>
        </w:rPr>
        <w:t>22</w:t>
      </w:r>
      <w:r>
        <w:rPr>
          <w:rFonts w:hint="eastAsia" w:ascii="宋体" w:hAnsi="宋体" w:cs="宋体"/>
          <w:color w:val="auto"/>
          <w:szCs w:val="18"/>
        </w:rPr>
        <w:t>日</w:t>
      </w:r>
      <w:r>
        <w:rPr>
          <w:rFonts w:hint="eastAsia" w:ascii="宋体" w:hAnsi="宋体" w:cs="宋体"/>
          <w:iCs/>
          <w:color w:val="auto"/>
          <w:szCs w:val="21"/>
        </w:rPr>
        <w:t>（</w:t>
      </w:r>
      <w:r>
        <w:rPr>
          <w:rFonts w:hint="eastAsia" w:ascii="宋体" w:hAnsi="宋体" w:cs="宋体"/>
          <w:color w:val="auto"/>
          <w:szCs w:val="21"/>
        </w:rPr>
        <w:t>提供期限自本公告发布之日起不得少于5个工作日</w:t>
      </w:r>
      <w:r>
        <w:rPr>
          <w:rFonts w:hint="eastAsia" w:ascii="宋体" w:hAnsi="宋体" w:cs="宋体"/>
          <w:iCs/>
          <w:color w:val="auto"/>
          <w:szCs w:val="21"/>
        </w:rPr>
        <w:t>）</w:t>
      </w:r>
      <w:r>
        <w:rPr>
          <w:rFonts w:hint="eastAsia" w:ascii="宋体" w:hAnsi="宋体" w:cs="宋体"/>
          <w:color w:val="auto"/>
          <w:szCs w:val="21"/>
        </w:rPr>
        <w:t>，每天上午</w:t>
      </w:r>
      <w:r>
        <w:rPr>
          <w:rFonts w:hint="eastAsia" w:ascii="宋体" w:hAnsi="宋体" w:cs="宋体"/>
          <w:color w:val="auto"/>
          <w:szCs w:val="21"/>
          <w:u w:val="single"/>
        </w:rPr>
        <w:t>9：00</w:t>
      </w:r>
      <w:r>
        <w:rPr>
          <w:rFonts w:hint="eastAsia" w:ascii="宋体" w:hAnsi="宋体" w:cs="宋体"/>
          <w:color w:val="auto"/>
          <w:szCs w:val="21"/>
        </w:rPr>
        <w:t>至</w:t>
      </w:r>
      <w:r>
        <w:rPr>
          <w:rFonts w:hint="eastAsia" w:ascii="宋体" w:hAnsi="宋体" w:cs="宋体"/>
          <w:color w:val="auto"/>
          <w:szCs w:val="21"/>
          <w:u w:val="single"/>
        </w:rPr>
        <w:t>12：00</w:t>
      </w:r>
      <w:r>
        <w:rPr>
          <w:rFonts w:hint="eastAsia" w:ascii="宋体" w:hAnsi="宋体" w:cs="宋体"/>
          <w:color w:val="auto"/>
          <w:szCs w:val="21"/>
        </w:rPr>
        <w:t>，下午</w:t>
      </w:r>
      <w:r>
        <w:rPr>
          <w:rFonts w:hint="eastAsia" w:ascii="宋体" w:hAnsi="宋体" w:cs="宋体"/>
          <w:color w:val="auto"/>
          <w:szCs w:val="21"/>
          <w:u w:val="single"/>
        </w:rPr>
        <w:t>14：30</w:t>
      </w:r>
      <w:r>
        <w:rPr>
          <w:rFonts w:hint="eastAsia" w:ascii="宋体" w:hAnsi="宋体" w:cs="宋体"/>
          <w:color w:val="auto"/>
          <w:szCs w:val="21"/>
        </w:rPr>
        <w:t>至</w:t>
      </w:r>
      <w:r>
        <w:rPr>
          <w:rFonts w:hint="eastAsia" w:ascii="宋体" w:hAnsi="宋体" w:cs="宋体"/>
          <w:color w:val="auto"/>
          <w:szCs w:val="21"/>
          <w:u w:val="single"/>
        </w:rPr>
        <w:t>17：30</w:t>
      </w:r>
      <w:r>
        <w:rPr>
          <w:rFonts w:hint="eastAsia" w:ascii="宋体" w:hAnsi="宋体" w:cs="宋体"/>
          <w:color w:val="auto"/>
          <w:szCs w:val="21"/>
        </w:rPr>
        <w:t>（北京时间，</w:t>
      </w:r>
      <w:r>
        <w:rPr>
          <w:rFonts w:ascii="宋体" w:hAnsi="宋体" w:cs="宋体"/>
          <w:color w:val="auto"/>
          <w:szCs w:val="21"/>
        </w:rPr>
        <w:t>法定节假日</w:t>
      </w:r>
      <w:r>
        <w:rPr>
          <w:rFonts w:hint="eastAsia" w:ascii="宋体" w:hAnsi="宋体" w:cs="宋体"/>
          <w:color w:val="auto"/>
          <w:szCs w:val="21"/>
        </w:rPr>
        <w:t>除外）</w:t>
      </w:r>
    </w:p>
    <w:p w14:paraId="649F7ABC">
      <w:pPr>
        <w:spacing w:line="360" w:lineRule="auto"/>
        <w:ind w:firstLine="540"/>
        <w:rPr>
          <w:rFonts w:ascii="宋体" w:hAnsi="宋体" w:cs="宋体"/>
          <w:color w:val="auto"/>
          <w:szCs w:val="21"/>
          <w:u w:val="single"/>
        </w:rPr>
      </w:pPr>
      <w:r>
        <w:rPr>
          <w:rFonts w:hint="eastAsia" w:ascii="宋体" w:hAnsi="宋体" w:cs="宋体"/>
          <w:color w:val="auto"/>
          <w:szCs w:val="21"/>
        </w:rPr>
        <w:t>地点：</w:t>
      </w:r>
      <w:r>
        <w:rPr>
          <w:rFonts w:hint="eastAsia" w:ascii="宋体" w:hAnsi="宋体" w:cs="宋体"/>
          <w:bCs/>
          <w:color w:val="auto"/>
          <w:szCs w:val="21"/>
        </w:rPr>
        <w:t>中易电子交易平台（http://www.cotenders.cn）</w:t>
      </w:r>
    </w:p>
    <w:p w14:paraId="07DBB24C">
      <w:pPr>
        <w:spacing w:line="360" w:lineRule="auto"/>
        <w:ind w:firstLine="540"/>
        <w:rPr>
          <w:rFonts w:ascii="宋体" w:hAnsi="宋体" w:cs="宋体"/>
          <w:color w:val="auto"/>
          <w:szCs w:val="21"/>
        </w:rPr>
      </w:pPr>
      <w:r>
        <w:rPr>
          <w:rFonts w:hint="eastAsia" w:ascii="宋体" w:hAnsi="宋体" w:cs="宋体"/>
          <w:color w:val="auto"/>
          <w:szCs w:val="21"/>
        </w:rPr>
        <w:t>方式：</w:t>
      </w:r>
      <w:r>
        <w:rPr>
          <w:rFonts w:hint="eastAsia" w:ascii="宋体" w:hAnsi="宋体" w:cs="宋体"/>
          <w:bCs/>
          <w:color w:val="auto"/>
          <w:szCs w:val="21"/>
        </w:rPr>
        <w:t>本项目采用网上登记报名的方式，符合资格的投标人应在上述时间登入中易电子交易平台（http://www.cotenders.cn）进行网上报名，点击网站右上方“注册”进入系统注册，注册通过后（已注册的无需重复注册）选择报名的项目公告。投标人进行网上报名并成功缴费，采购代理机构确认后即为报名成功。投标人报名成功后在中易电子交易平台下载招标文件</w:t>
      </w:r>
      <w:r>
        <w:rPr>
          <w:rFonts w:hint="eastAsia" w:ascii="宋体" w:hAnsi="宋体" w:cs="宋体"/>
          <w:color w:val="auto"/>
          <w:szCs w:val="21"/>
        </w:rPr>
        <w:t>。</w:t>
      </w:r>
    </w:p>
    <w:p w14:paraId="23A7E158">
      <w:pPr>
        <w:spacing w:line="360" w:lineRule="auto"/>
        <w:ind w:left="431" w:firstLine="105" w:firstLineChars="50"/>
        <w:rPr>
          <w:rFonts w:hint="eastAsia" w:ascii="宋体" w:hAnsi="宋体" w:cs="宋体"/>
          <w:color w:val="auto"/>
          <w:szCs w:val="18"/>
        </w:rPr>
      </w:pPr>
      <w:r>
        <w:rPr>
          <w:rFonts w:hint="eastAsia" w:ascii="宋体" w:hAnsi="宋体" w:cs="宋体"/>
          <w:color w:val="auto"/>
          <w:szCs w:val="21"/>
        </w:rPr>
        <w:t>售价（元</w:t>
      </w:r>
      <w:r>
        <w:rPr>
          <w:rFonts w:hint="eastAsia" w:ascii="宋体" w:hAnsi="宋体" w:cs="宋体"/>
          <w:color w:val="auto"/>
          <w:szCs w:val="18"/>
        </w:rPr>
        <w:t>/套</w:t>
      </w:r>
      <w:r>
        <w:rPr>
          <w:rFonts w:hint="eastAsia" w:ascii="宋体" w:hAnsi="宋体" w:cs="宋体"/>
          <w:color w:val="auto"/>
          <w:szCs w:val="21"/>
        </w:rPr>
        <w:t>）：</w:t>
      </w:r>
      <w:r>
        <w:rPr>
          <w:rFonts w:hint="eastAsia" w:ascii="宋体" w:hAnsi="宋体" w:cs="宋体"/>
          <w:bCs/>
          <w:color w:val="auto"/>
          <w:szCs w:val="21"/>
        </w:rPr>
        <w:t>每套售价人民币300.00元，售后不退</w:t>
      </w:r>
      <w:r>
        <w:rPr>
          <w:rFonts w:hint="eastAsia" w:ascii="宋体" w:hAnsi="宋体" w:cs="宋体"/>
          <w:bCs/>
          <w:color w:val="auto"/>
          <w:szCs w:val="21"/>
          <w:lang w:eastAsia="zh-CN"/>
        </w:rPr>
        <w:t>。</w:t>
      </w:r>
      <w:r>
        <w:rPr>
          <w:rFonts w:hint="eastAsia" w:ascii="宋体" w:hAnsi="宋体" w:cs="宋体"/>
          <w:color w:val="auto"/>
          <w:szCs w:val="18"/>
        </w:rPr>
        <w:t xml:space="preserve"> </w:t>
      </w:r>
    </w:p>
    <w:p w14:paraId="75ADCD23">
      <w:pPr>
        <w:spacing w:line="360" w:lineRule="auto"/>
        <w:ind w:left="431" w:firstLine="105" w:firstLineChars="50"/>
        <w:rPr>
          <w:rFonts w:hint="eastAsia" w:ascii="宋体" w:hAnsi="宋体" w:cs="宋体"/>
          <w:b/>
          <w:bCs/>
          <w:color w:val="auto"/>
          <w:szCs w:val="20"/>
        </w:rPr>
      </w:pPr>
      <w:r>
        <w:rPr>
          <w:rFonts w:hint="eastAsia" w:ascii="宋体" w:hAnsi="宋体" w:cs="宋体"/>
          <w:b/>
          <w:bCs/>
          <w:color w:val="auto"/>
          <w:szCs w:val="20"/>
        </w:rPr>
        <w:t>四、提交投标文件截止时间、开标时间和地点</w:t>
      </w:r>
    </w:p>
    <w:p w14:paraId="25F0D1DA">
      <w:pPr>
        <w:spacing w:line="360" w:lineRule="auto"/>
        <w:ind w:firstLine="420" w:firstLineChars="200"/>
        <w:rPr>
          <w:rFonts w:ascii="宋体" w:hAnsi="宋体"/>
          <w:bCs/>
          <w:color w:val="auto"/>
          <w:szCs w:val="21"/>
          <w:u w:val="single"/>
        </w:rPr>
      </w:pPr>
      <w:r>
        <w:rPr>
          <w:rFonts w:hint="eastAsia" w:ascii="宋体" w:hAnsi="宋体" w:cs="宋体"/>
          <w:color w:val="auto"/>
          <w:szCs w:val="18"/>
          <w:u w:val="single"/>
          <w:lang w:eastAsia="zh-CN"/>
        </w:rPr>
        <w:t>202</w:t>
      </w:r>
      <w:r>
        <w:rPr>
          <w:rFonts w:hint="eastAsia" w:ascii="宋体" w:hAnsi="宋体" w:cs="宋体"/>
          <w:color w:val="auto"/>
          <w:szCs w:val="18"/>
          <w:u w:val="single"/>
          <w:lang w:val="en-US" w:eastAsia="zh-CN"/>
        </w:rPr>
        <w:t>6</w:t>
      </w:r>
      <w:r>
        <w:rPr>
          <w:rFonts w:hint="eastAsia" w:ascii="宋体" w:hAnsi="宋体"/>
          <w:bCs/>
          <w:color w:val="auto"/>
          <w:szCs w:val="21"/>
        </w:rPr>
        <w:t>年</w:t>
      </w:r>
      <w:r>
        <w:rPr>
          <w:rFonts w:hint="eastAsia" w:ascii="宋体" w:hAnsi="宋体"/>
          <w:bCs/>
          <w:color w:val="auto"/>
          <w:szCs w:val="21"/>
          <w:u w:val="single"/>
          <w:lang w:val="en-US" w:eastAsia="zh-CN"/>
        </w:rPr>
        <w:t>06</w:t>
      </w:r>
      <w:r>
        <w:rPr>
          <w:rFonts w:hint="eastAsia" w:ascii="宋体" w:hAnsi="宋体"/>
          <w:bCs/>
          <w:color w:val="auto"/>
          <w:szCs w:val="21"/>
        </w:rPr>
        <w:t>月</w:t>
      </w:r>
      <w:r>
        <w:rPr>
          <w:rFonts w:hint="eastAsia" w:ascii="宋体" w:hAnsi="宋体"/>
          <w:bCs/>
          <w:color w:val="auto"/>
          <w:szCs w:val="21"/>
          <w:u w:val="single"/>
          <w:lang w:val="en-US" w:eastAsia="zh-CN"/>
        </w:rPr>
        <w:t>08</w:t>
      </w:r>
      <w:r>
        <w:rPr>
          <w:rFonts w:hint="eastAsia" w:ascii="宋体" w:hAnsi="宋体"/>
          <w:bCs/>
          <w:color w:val="auto"/>
          <w:szCs w:val="21"/>
        </w:rPr>
        <w:t>日</w:t>
      </w:r>
      <w:r>
        <w:rPr>
          <w:rFonts w:hint="eastAsia" w:ascii="宋体" w:hAnsi="宋体"/>
          <w:bCs/>
          <w:color w:val="auto"/>
          <w:szCs w:val="21"/>
          <w:u w:val="single"/>
          <w:lang w:val="en-US" w:eastAsia="zh-CN"/>
        </w:rPr>
        <w:t>14</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30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bCs/>
          <w:color w:val="auto"/>
          <w:szCs w:val="21"/>
        </w:rPr>
        <w:t>（北京时间）</w:t>
      </w:r>
      <w:r>
        <w:rPr>
          <w:rFonts w:hint="eastAsia" w:ascii="宋体" w:hAnsi="宋体" w:cs="宋体"/>
          <w:iCs/>
          <w:color w:val="auto"/>
          <w:szCs w:val="21"/>
          <w:u w:val="single"/>
        </w:rPr>
        <w:t>（</w:t>
      </w:r>
      <w:r>
        <w:rPr>
          <w:rFonts w:hint="eastAsia" w:ascii="宋体" w:hAnsi="宋体" w:cs="宋体"/>
          <w:color w:val="auto"/>
          <w:szCs w:val="21"/>
          <w:u w:val="single"/>
        </w:rPr>
        <w:t>自招标文件开始发出之日起至投标人提交投标文件截止之日止，不得少于20日</w:t>
      </w:r>
      <w:r>
        <w:rPr>
          <w:rFonts w:hint="eastAsia" w:ascii="宋体" w:hAnsi="宋体" w:cs="宋体"/>
          <w:iCs/>
          <w:color w:val="auto"/>
          <w:szCs w:val="21"/>
          <w:u w:val="single"/>
        </w:rPr>
        <w:t>）</w:t>
      </w:r>
    </w:p>
    <w:p w14:paraId="77F02F37">
      <w:pPr>
        <w:spacing w:line="360" w:lineRule="auto"/>
        <w:ind w:left="431" w:firstLine="105" w:firstLineChars="50"/>
        <w:rPr>
          <w:rFonts w:hint="eastAsia" w:ascii="宋体" w:hAnsi="宋体" w:eastAsia="宋体" w:cs="宋体"/>
          <w:color w:val="auto"/>
          <w:lang w:eastAsia="zh-CN"/>
        </w:rPr>
      </w:pPr>
      <w:r>
        <w:rPr>
          <w:rFonts w:hint="eastAsia" w:ascii="宋体" w:hAnsi="宋体"/>
          <w:color w:val="auto"/>
          <w:szCs w:val="21"/>
        </w:rPr>
        <w:t>地点：</w:t>
      </w:r>
      <w:r>
        <w:rPr>
          <w:rFonts w:hint="eastAsia" w:ascii="宋体" w:hAnsi="宋体" w:cs="宋体"/>
          <w:color w:val="auto"/>
        </w:rPr>
        <w:t>广东省惠州市惠城区惠州大道(江北段)82号1704房</w:t>
      </w:r>
      <w:r>
        <w:rPr>
          <w:rFonts w:hint="eastAsia" w:ascii="宋体" w:hAnsi="宋体" w:cs="宋体"/>
          <w:color w:val="auto"/>
          <w:lang w:eastAsia="zh-CN"/>
        </w:rPr>
        <w:t>（</w:t>
      </w:r>
      <w:r>
        <w:rPr>
          <w:rFonts w:hint="eastAsia" w:ascii="宋体" w:hAnsi="宋体" w:cs="宋体"/>
          <w:color w:val="auto"/>
          <w:lang w:val="en-US" w:eastAsia="zh-CN"/>
        </w:rPr>
        <w:t>国科招标惠州办事处</w:t>
      </w:r>
      <w:r>
        <w:rPr>
          <w:rFonts w:hint="eastAsia" w:ascii="宋体" w:hAnsi="宋体" w:cs="宋体"/>
          <w:color w:val="auto"/>
          <w:lang w:eastAsia="zh-CN"/>
        </w:rPr>
        <w:t>）</w:t>
      </w:r>
    </w:p>
    <w:p w14:paraId="72DC9779">
      <w:pPr>
        <w:spacing w:line="360" w:lineRule="auto"/>
        <w:ind w:left="431" w:firstLine="210" w:firstLineChars="100"/>
        <w:jc w:val="left"/>
        <w:rPr>
          <w:rFonts w:hint="eastAsia" w:ascii="宋体" w:hAnsi="宋体" w:cs="宋体"/>
          <w:color w:val="auto"/>
          <w:szCs w:val="18"/>
        </w:rPr>
      </w:pPr>
      <w:r>
        <w:rPr>
          <w:rFonts w:hint="eastAsia" w:ascii="宋体" w:hAnsi="宋体" w:cs="宋体"/>
          <w:color w:val="auto"/>
          <w:szCs w:val="21"/>
        </w:rPr>
        <w:t>投标文件现场递交时间：</w:t>
      </w:r>
      <w:r>
        <w:rPr>
          <w:rFonts w:hint="eastAsia" w:ascii="宋体" w:hAnsi="宋体" w:cs="宋体"/>
          <w:color w:val="auto"/>
          <w:szCs w:val="18"/>
          <w:u w:val="single"/>
          <w:lang w:eastAsia="zh-CN"/>
        </w:rPr>
        <w:t>202</w:t>
      </w:r>
      <w:r>
        <w:rPr>
          <w:rFonts w:hint="eastAsia" w:ascii="宋体" w:hAnsi="宋体" w:cs="宋体"/>
          <w:color w:val="auto"/>
          <w:szCs w:val="18"/>
          <w:u w:val="single"/>
          <w:lang w:val="en-US" w:eastAsia="zh-CN"/>
        </w:rPr>
        <w:t>6</w:t>
      </w:r>
      <w:r>
        <w:rPr>
          <w:rFonts w:hint="eastAsia" w:ascii="宋体" w:hAnsi="宋体"/>
          <w:bCs/>
          <w:color w:val="auto"/>
          <w:szCs w:val="21"/>
        </w:rPr>
        <w:t>年</w:t>
      </w:r>
      <w:r>
        <w:rPr>
          <w:rFonts w:hint="eastAsia" w:ascii="宋体" w:hAnsi="宋体"/>
          <w:bCs/>
          <w:color w:val="auto"/>
          <w:szCs w:val="21"/>
          <w:u w:val="single"/>
          <w:lang w:val="en-US" w:eastAsia="zh-CN"/>
        </w:rPr>
        <w:t>06</w:t>
      </w:r>
      <w:r>
        <w:rPr>
          <w:rFonts w:hint="eastAsia" w:ascii="宋体" w:hAnsi="宋体"/>
          <w:bCs/>
          <w:color w:val="auto"/>
          <w:szCs w:val="21"/>
        </w:rPr>
        <w:t>月</w:t>
      </w:r>
      <w:r>
        <w:rPr>
          <w:rFonts w:hint="eastAsia" w:ascii="宋体" w:hAnsi="宋体"/>
          <w:bCs/>
          <w:color w:val="auto"/>
          <w:szCs w:val="21"/>
          <w:u w:val="single"/>
          <w:lang w:val="en-US" w:eastAsia="zh-CN"/>
        </w:rPr>
        <w:t>08</w:t>
      </w:r>
      <w:r>
        <w:rPr>
          <w:rFonts w:hint="eastAsia" w:ascii="宋体" w:hAnsi="宋体"/>
          <w:bCs/>
          <w:color w:val="auto"/>
          <w:szCs w:val="21"/>
        </w:rPr>
        <w:t>日</w:t>
      </w:r>
      <w:r>
        <w:rPr>
          <w:rFonts w:hint="eastAsia" w:ascii="宋体" w:hAnsi="宋体"/>
          <w:bCs/>
          <w:color w:val="auto"/>
          <w:szCs w:val="21"/>
          <w:u w:val="single"/>
          <w:lang w:val="en-US" w:eastAsia="zh-CN"/>
        </w:rPr>
        <w:t>14</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00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cs="宋体"/>
          <w:color w:val="auto"/>
          <w:szCs w:val="21"/>
        </w:rPr>
        <w:t>～</w:t>
      </w:r>
      <w:r>
        <w:rPr>
          <w:rFonts w:hint="eastAsia" w:ascii="宋体" w:hAnsi="宋体"/>
          <w:bCs/>
          <w:color w:val="auto"/>
          <w:szCs w:val="21"/>
          <w:u w:val="single"/>
          <w:lang w:val="en-US" w:eastAsia="zh-CN"/>
        </w:rPr>
        <w:t>14</w:t>
      </w:r>
      <w:r>
        <w:rPr>
          <w:rFonts w:hint="eastAsia" w:ascii="宋体" w:hAnsi="宋体"/>
          <w:bCs/>
          <w:color w:val="auto"/>
          <w:szCs w:val="21"/>
          <w:u w:val="single"/>
        </w:rPr>
        <w:t xml:space="preserve"> </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30</w:t>
      </w:r>
      <w:r>
        <w:rPr>
          <w:rFonts w:hint="eastAsia" w:ascii="宋体" w:hAnsi="宋体"/>
          <w:bCs/>
          <w:color w:val="auto"/>
          <w:szCs w:val="21"/>
          <w:u w:val="single"/>
        </w:rPr>
        <w:t xml:space="preserve"> </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bCs/>
          <w:color w:val="auto"/>
          <w:szCs w:val="21"/>
        </w:rPr>
        <w:t>（</w:t>
      </w:r>
      <w:r>
        <w:rPr>
          <w:rFonts w:hint="eastAsia" w:ascii="宋体" w:hAnsi="宋体" w:cs="宋体"/>
          <w:color w:val="auto"/>
          <w:szCs w:val="21"/>
        </w:rPr>
        <w:t>北京时间）</w:t>
      </w:r>
    </w:p>
    <w:p w14:paraId="46223ACA">
      <w:pPr>
        <w:spacing w:line="360" w:lineRule="auto"/>
        <w:rPr>
          <w:rFonts w:ascii="宋体" w:hAnsi="宋体" w:cs="宋体"/>
          <w:b/>
          <w:bCs/>
          <w:color w:val="auto"/>
          <w:szCs w:val="20"/>
        </w:rPr>
      </w:pPr>
      <w:r>
        <w:rPr>
          <w:rFonts w:hint="eastAsia" w:ascii="宋体" w:hAnsi="宋体" w:cs="宋体"/>
          <w:b/>
          <w:bCs/>
          <w:color w:val="auto"/>
          <w:szCs w:val="20"/>
        </w:rPr>
        <w:t>五、公告期限</w:t>
      </w:r>
    </w:p>
    <w:p w14:paraId="079EC729">
      <w:pPr>
        <w:spacing w:line="360" w:lineRule="auto"/>
        <w:ind w:left="431" w:firstLine="105" w:firstLineChars="50"/>
        <w:rPr>
          <w:rFonts w:hint="eastAsia" w:ascii="宋体" w:hAnsi="宋体"/>
          <w:color w:val="auto"/>
          <w:szCs w:val="21"/>
          <w:highlight w:val="none"/>
        </w:rPr>
      </w:pPr>
      <w:r>
        <w:rPr>
          <w:rFonts w:hint="eastAsia" w:ascii="宋体" w:hAnsi="宋体"/>
          <w:color w:val="auto"/>
          <w:szCs w:val="21"/>
          <w:highlight w:val="none"/>
        </w:rPr>
        <w:t>自本公告发布之日起5个工作日。</w:t>
      </w:r>
    </w:p>
    <w:p w14:paraId="005ED296">
      <w:pPr>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rPr>
        <w:t>六、其他补充事宜</w:t>
      </w:r>
    </w:p>
    <w:p w14:paraId="11BF93A3">
      <w:pPr>
        <w:numPr>
          <w:ilvl w:val="0"/>
          <w:numId w:val="5"/>
        </w:numPr>
        <w:spacing w:line="360" w:lineRule="auto"/>
        <w:jc w:val="left"/>
        <w:rPr>
          <w:rFonts w:hint="eastAsia" w:ascii="宋体" w:hAnsi="宋体" w:cs="宋体"/>
          <w:color w:val="auto"/>
          <w:szCs w:val="18"/>
          <w:highlight w:val="none"/>
        </w:rPr>
      </w:pPr>
      <w:r>
        <w:rPr>
          <w:rFonts w:hint="eastAsia" w:ascii="宋体" w:hAnsi="宋体" w:cs="宋体"/>
          <w:color w:val="auto"/>
          <w:szCs w:val="18"/>
          <w:highlight w:val="none"/>
        </w:rPr>
        <w:t>项目属性：货物类</w:t>
      </w:r>
    </w:p>
    <w:p w14:paraId="5911F104">
      <w:pPr>
        <w:numPr>
          <w:ilvl w:val="0"/>
          <w:numId w:val="5"/>
        </w:numPr>
        <w:spacing w:line="360" w:lineRule="auto"/>
        <w:jc w:val="left"/>
        <w:rPr>
          <w:rFonts w:hint="eastAsia" w:ascii="宋体" w:hAnsi="宋体" w:cs="宋体"/>
          <w:color w:val="auto"/>
          <w:szCs w:val="18"/>
          <w:highlight w:val="none"/>
          <w:lang w:val="en-US" w:eastAsia="zh-CN"/>
        </w:rPr>
      </w:pPr>
      <w:r>
        <w:rPr>
          <w:rFonts w:hint="eastAsia" w:ascii="宋体" w:hAnsi="宋体" w:cs="宋体"/>
          <w:color w:val="auto"/>
          <w:szCs w:val="18"/>
          <w:highlight w:val="none"/>
        </w:rPr>
        <w:t>品目类别：</w:t>
      </w:r>
      <w:r>
        <w:rPr>
          <w:rFonts w:hint="eastAsia" w:ascii="宋体" w:hAnsi="宋体" w:eastAsia="宋体" w:cs="宋体"/>
          <w:color w:val="auto"/>
          <w:sz w:val="21"/>
          <w:szCs w:val="18"/>
          <w:highlight w:val="none"/>
        </w:rPr>
        <w:t>A02019900（其他信息化设备）</w:t>
      </w:r>
    </w:p>
    <w:p w14:paraId="18BDA162">
      <w:pPr>
        <w:numPr>
          <w:ilvl w:val="0"/>
          <w:numId w:val="5"/>
        </w:numPr>
        <w:spacing w:line="360" w:lineRule="auto"/>
        <w:jc w:val="left"/>
        <w:rPr>
          <w:rFonts w:hint="eastAsia" w:ascii="宋体" w:hAnsi="宋体" w:cs="宋体"/>
          <w:color w:val="auto"/>
          <w:szCs w:val="18"/>
        </w:rPr>
      </w:pPr>
      <w:r>
        <w:rPr>
          <w:rFonts w:hint="eastAsia" w:ascii="宋体" w:hAnsi="宋体" w:cs="宋体"/>
          <w:color w:val="auto"/>
          <w:szCs w:val="18"/>
          <w:highlight w:val="none"/>
        </w:rPr>
        <w:t>本项目招标公告等信息在相关法定媒体【</w:t>
      </w:r>
      <w:r>
        <w:rPr>
          <w:rFonts w:hint="eastAsia" w:ascii="宋体" w:hAnsi="宋体" w:cs="宋体"/>
          <w:bCs/>
          <w:color w:val="auto"/>
          <w:szCs w:val="21"/>
          <w:highlight w:val="none"/>
        </w:rPr>
        <w:t>中</w:t>
      </w:r>
      <w:r>
        <w:rPr>
          <w:rFonts w:hint="eastAsia" w:ascii="宋体" w:hAnsi="宋体" w:eastAsia="宋体" w:cs="宋体"/>
          <w:color w:val="auto"/>
          <w:szCs w:val="18"/>
          <w:highlight w:val="none"/>
        </w:rPr>
        <w:t>易电子交易平台（http://www.cotenders.cn）</w:t>
      </w:r>
      <w:r>
        <w:rPr>
          <w:rFonts w:hint="eastAsia" w:ascii="宋体" w:hAnsi="宋体" w:cs="宋体"/>
          <w:bCs/>
          <w:color w:val="auto"/>
          <w:szCs w:val="21"/>
          <w:highlight w:val="none"/>
          <w:lang w:eastAsia="zh-CN"/>
        </w:rPr>
        <w:t>、</w:t>
      </w:r>
      <w:r>
        <w:rPr>
          <w:rFonts w:hint="eastAsia" w:ascii="宋体" w:hAnsi="宋体" w:cs="宋体"/>
          <w:color w:val="auto"/>
          <w:highlight w:val="none"/>
        </w:rPr>
        <w:t>中国招标投标公共服务平台（www.cebpubservice.com）</w:t>
      </w:r>
      <w:r>
        <w:rPr>
          <w:rFonts w:hint="eastAsia" w:ascii="宋体" w:hAnsi="宋体" w:cs="宋体"/>
          <w:color w:val="auto"/>
          <w:highlight w:val="none"/>
          <w:lang w:val="en-US" w:eastAsia="zh-CN"/>
        </w:rPr>
        <w:t>和</w:t>
      </w:r>
      <w:r>
        <w:rPr>
          <w:rFonts w:hint="eastAsia" w:ascii="宋体" w:hAnsi="宋体" w:cs="宋体"/>
          <w:color w:val="auto"/>
          <w:szCs w:val="18"/>
          <w:highlight w:val="none"/>
          <w:lang w:eastAsia="zh-CN"/>
        </w:rPr>
        <w:t>广东国科招标</w:t>
      </w:r>
      <w:r>
        <w:rPr>
          <w:rFonts w:hint="eastAsia" w:ascii="宋体" w:hAnsi="宋体" w:cs="宋体"/>
          <w:color w:val="auto"/>
          <w:szCs w:val="18"/>
          <w:highlight w:val="none"/>
        </w:rPr>
        <w:t>有限公司网</w:t>
      </w:r>
      <w:r>
        <w:rPr>
          <w:rFonts w:hint="eastAsia" w:ascii="宋体" w:hAnsi="宋体" w:cs="宋体"/>
          <w:color w:val="auto"/>
          <w:szCs w:val="18"/>
        </w:rPr>
        <w:t>（www.gzgkbidding.com）】上公布，并视为有效送达。</w:t>
      </w:r>
    </w:p>
    <w:p w14:paraId="08D6A041">
      <w:pPr>
        <w:numPr>
          <w:ilvl w:val="0"/>
          <w:numId w:val="5"/>
        </w:numPr>
        <w:spacing w:line="360" w:lineRule="auto"/>
        <w:jc w:val="left"/>
        <w:rPr>
          <w:rFonts w:hint="eastAsia" w:ascii="宋体" w:hAnsi="宋体" w:eastAsia="宋体" w:cs="宋体"/>
          <w:color w:val="auto"/>
          <w:highlight w:val="none"/>
        </w:rPr>
      </w:pPr>
      <w:r>
        <w:rPr>
          <w:rFonts w:hint="eastAsia"/>
          <w:color w:val="auto"/>
        </w:rPr>
        <w:t>投标人认为招标文件的内容损害其权益的，可以在</w:t>
      </w:r>
      <w:r>
        <w:rPr>
          <w:rFonts w:hint="eastAsia"/>
          <w:color w:val="auto"/>
          <w:lang w:val="en-US" w:eastAsia="zh-CN"/>
        </w:rPr>
        <w:t>公告</w:t>
      </w:r>
      <w:r>
        <w:rPr>
          <w:rFonts w:hint="eastAsia"/>
          <w:color w:val="auto"/>
        </w:rPr>
        <w:t>期间或者自期满之日起七个工作日内以书面形式（加盖单位公章，电话咨</w:t>
      </w:r>
      <w:r>
        <w:rPr>
          <w:rFonts w:hint="eastAsia" w:ascii="宋体" w:hAnsi="宋体" w:eastAsia="宋体" w:cs="宋体"/>
          <w:color w:val="auto"/>
          <w:highlight w:val="none"/>
        </w:rPr>
        <w:t>询或传真或电邮形式无效）向采购人或者</w:t>
      </w:r>
      <w:r>
        <w:rPr>
          <w:rFonts w:hint="eastAsia" w:ascii="宋体" w:hAnsi="宋体" w:eastAsia="宋体" w:cs="宋体"/>
          <w:color w:val="auto"/>
          <w:highlight w:val="none"/>
          <w:lang w:eastAsia="zh-CN"/>
        </w:rPr>
        <w:t>招标代理</w:t>
      </w:r>
      <w:r>
        <w:rPr>
          <w:rFonts w:hint="eastAsia" w:ascii="宋体" w:hAnsi="宋体" w:eastAsia="宋体" w:cs="宋体"/>
          <w:color w:val="auto"/>
          <w:highlight w:val="none"/>
        </w:rPr>
        <w:t>机构提出质疑，投标人递交质疑函时需提供质疑函原件（质疑函书写要求及格式详见第三章“投标须知”）。</w:t>
      </w:r>
    </w:p>
    <w:p w14:paraId="239A2FAC">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已获取采购文件的供应商参加投标的，不代表通过资格性审查或符合性审查。</w:t>
      </w:r>
    </w:p>
    <w:p w14:paraId="126BF6A2">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电子投标文件上传及操作流程，投标人应登入中易电子交易平台（http://www.cotenders.cn）服务指南，办事指南查看投标人操作指南。</w:t>
      </w:r>
    </w:p>
    <w:p w14:paraId="51FC9FBC">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不到现场解密的投标人，开标时，自行查看中易电子交易平台（http://www.cotenders.cn）服务指南，办事指南查看投标人操作指南，因自身操作错误导致错过开标者，后果自负。</w:t>
      </w:r>
    </w:p>
    <w:p w14:paraId="0418679D">
      <w:pPr>
        <w:numPr>
          <w:ilvl w:val="0"/>
          <w:numId w:val="5"/>
        </w:numPr>
        <w:spacing w:line="360" w:lineRule="auto"/>
        <w:jc w:val="left"/>
        <w:rPr>
          <w:rFonts w:hint="eastAsia" w:ascii="宋体" w:hAnsi="宋体" w:cs="宋体"/>
          <w:szCs w:val="18"/>
        </w:rPr>
      </w:pPr>
      <w:r>
        <w:rPr>
          <w:rFonts w:hint="eastAsia" w:ascii="宋体" w:hAnsi="宋体" w:eastAsia="宋体" w:cs="宋体"/>
          <w:color w:val="auto"/>
          <w:highlight w:val="none"/>
        </w:rPr>
        <w:t>缴纳标书款、招标代理服务费专用账号（请</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按指定账户缴纳，否则自行承担</w:t>
      </w:r>
      <w:r>
        <w:rPr>
          <w:rFonts w:ascii="宋体" w:hAnsi="宋体"/>
          <w:color w:val="auto"/>
        </w:rPr>
        <w:t>费用缴纳错误而造成的后果）</w:t>
      </w:r>
      <w:r>
        <w:rPr>
          <w:rFonts w:ascii="宋体" w:hAnsi="宋体"/>
          <w:color w:val="auto"/>
        </w:rPr>
        <w:br w:type="textWrapping"/>
      </w:r>
      <w:r>
        <w:rPr>
          <w:rFonts w:ascii="宋体" w:hAnsi="宋体"/>
        </w:rPr>
        <w:t>缴纳标书款、</w:t>
      </w:r>
      <w:r>
        <w:rPr>
          <w:rFonts w:hint="eastAsia" w:ascii="宋体" w:hAnsi="宋体"/>
        </w:rPr>
        <w:t>招标代理服务费</w:t>
      </w:r>
      <w:r>
        <w:rPr>
          <w:rFonts w:ascii="宋体" w:hAnsi="宋体"/>
        </w:rPr>
        <w:t>专用账号：</w:t>
      </w:r>
      <w:r>
        <w:rPr>
          <w:rFonts w:ascii="宋体" w:hAnsi="宋体"/>
        </w:rPr>
        <w:br w:type="textWrapping"/>
      </w:r>
      <w:r>
        <w:rPr>
          <w:rFonts w:ascii="宋体" w:hAnsi="宋体"/>
        </w:rPr>
        <w:t>账户：</w:t>
      </w:r>
      <w:r>
        <w:rPr>
          <w:rFonts w:hint="eastAsia" w:ascii="宋体" w:hAnsi="宋体"/>
          <w:lang w:eastAsia="zh-CN"/>
        </w:rPr>
        <w:t>广东国科招标</w:t>
      </w:r>
      <w:r>
        <w:rPr>
          <w:rFonts w:ascii="宋体" w:hAnsi="宋体"/>
        </w:rPr>
        <w:t>有限公司</w:t>
      </w:r>
      <w:r>
        <w:rPr>
          <w:rFonts w:ascii="宋体" w:hAnsi="宋体"/>
        </w:rPr>
        <w:br w:type="textWrapping"/>
      </w:r>
      <w:r>
        <w:rPr>
          <w:rFonts w:ascii="宋体" w:hAnsi="宋体"/>
        </w:rPr>
        <w:t>账号：7120 5774 1941</w:t>
      </w:r>
      <w:r>
        <w:rPr>
          <w:rFonts w:ascii="宋体" w:hAnsi="宋体"/>
        </w:rPr>
        <w:br w:type="textWrapping"/>
      </w:r>
      <w:r>
        <w:rPr>
          <w:rFonts w:ascii="宋体" w:hAnsi="宋体"/>
        </w:rPr>
        <w:t>开户银行：中国银行广州先烈中路支行</w:t>
      </w:r>
    </w:p>
    <w:p w14:paraId="65DB790D">
      <w:pPr>
        <w:spacing w:line="360" w:lineRule="auto"/>
        <w:rPr>
          <w:rFonts w:hint="eastAsia" w:ascii="宋体" w:hAnsi="宋体" w:cs="宋体"/>
          <w:b/>
          <w:bCs/>
          <w:szCs w:val="20"/>
        </w:rPr>
      </w:pPr>
      <w:r>
        <w:rPr>
          <w:rFonts w:hint="eastAsia" w:ascii="宋体" w:hAnsi="宋体" w:cs="宋体"/>
          <w:b/>
          <w:bCs/>
          <w:szCs w:val="20"/>
        </w:rPr>
        <w:t>七、对本次招标提出询问，请按以下方式联系。</w:t>
      </w:r>
    </w:p>
    <w:p w14:paraId="0356022F">
      <w:pPr>
        <w:numPr>
          <w:ilvl w:val="0"/>
          <w:numId w:val="6"/>
        </w:numPr>
        <w:spacing w:line="341" w:lineRule="auto"/>
        <w:rPr>
          <w:rFonts w:hint="eastAsia" w:ascii="宋体" w:hAnsi="宋体" w:cs="宋体"/>
          <w:color w:val="auto"/>
          <w:szCs w:val="18"/>
        </w:rPr>
      </w:pPr>
      <w:r>
        <w:rPr>
          <w:rFonts w:hint="eastAsia" w:ascii="宋体" w:hAnsi="宋体" w:cs="宋体"/>
          <w:szCs w:val="18"/>
        </w:rPr>
        <w:t>采购人信息</w:t>
      </w:r>
    </w:p>
    <w:p w14:paraId="0885B965">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名称：</w:t>
      </w:r>
      <w:r>
        <w:rPr>
          <w:rFonts w:hint="eastAsia" w:ascii="宋体" w:hAnsi="宋体" w:cs="宋体"/>
          <w:color w:val="auto"/>
          <w:szCs w:val="21"/>
        </w:rPr>
        <w:t>惠州市第一人民医院</w:t>
      </w:r>
    </w:p>
    <w:p w14:paraId="7E67EEB8">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 xml:space="preserve">地址：广东省惠州市江北三新南路20号 </w:t>
      </w:r>
    </w:p>
    <w:p w14:paraId="330B1BBD">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联系方式：</w:t>
      </w:r>
      <w:r>
        <w:rPr>
          <w:rFonts w:hint="eastAsia" w:ascii="宋体" w:hAnsi="宋体" w:cs="宋体"/>
          <w:bCs/>
          <w:color w:val="auto"/>
          <w:szCs w:val="20"/>
          <w:lang w:val="en-US" w:eastAsia="zh-CN"/>
        </w:rPr>
        <w:t>曾工</w:t>
      </w:r>
      <w:r>
        <w:rPr>
          <w:rFonts w:hint="eastAsia" w:ascii="宋体" w:hAnsi="宋体" w:cs="宋体"/>
          <w:bCs/>
          <w:color w:val="auto"/>
          <w:szCs w:val="20"/>
        </w:rPr>
        <w:t xml:space="preserve"> 0752-2883434</w:t>
      </w:r>
    </w:p>
    <w:p w14:paraId="64E79DC9">
      <w:pPr>
        <w:numPr>
          <w:ilvl w:val="0"/>
          <w:numId w:val="6"/>
        </w:numPr>
        <w:spacing w:line="341" w:lineRule="auto"/>
        <w:rPr>
          <w:rFonts w:hint="eastAsia" w:ascii="宋体" w:hAnsi="宋体" w:cs="宋体"/>
          <w:szCs w:val="18"/>
        </w:rPr>
      </w:pPr>
      <w:r>
        <w:rPr>
          <w:rFonts w:hint="eastAsia" w:ascii="宋体" w:hAnsi="宋体" w:cs="宋体"/>
          <w:szCs w:val="18"/>
          <w:lang w:eastAsia="zh-CN"/>
        </w:rPr>
        <w:t>招标代理</w:t>
      </w:r>
      <w:r>
        <w:rPr>
          <w:rFonts w:hint="eastAsia" w:ascii="宋体" w:hAnsi="宋体" w:cs="宋体"/>
          <w:szCs w:val="18"/>
        </w:rPr>
        <w:t>机构信息</w:t>
      </w:r>
    </w:p>
    <w:p w14:paraId="73167817">
      <w:pPr>
        <w:spacing w:line="360" w:lineRule="auto"/>
        <w:ind w:left="-88" w:leftChars="-42" w:firstLine="512" w:firstLineChars="244"/>
        <w:rPr>
          <w:rFonts w:hint="eastAsia" w:ascii="宋体" w:hAnsi="宋体" w:cs="宋体"/>
          <w:bCs/>
          <w:color w:val="auto"/>
          <w:szCs w:val="20"/>
        </w:rPr>
      </w:pPr>
      <w:r>
        <w:rPr>
          <w:rFonts w:hint="eastAsia" w:ascii="宋体" w:hAnsi="宋体" w:cs="宋体"/>
          <w:bCs/>
          <w:szCs w:val="20"/>
        </w:rPr>
        <w:t>名称：</w:t>
      </w:r>
      <w:r>
        <w:rPr>
          <w:rFonts w:hint="eastAsia" w:ascii="宋体" w:hAnsi="宋体" w:cs="宋体"/>
          <w:bCs/>
          <w:szCs w:val="20"/>
          <w:lang w:eastAsia="zh-CN"/>
        </w:rPr>
        <w:t>广东国科招标</w:t>
      </w:r>
      <w:r>
        <w:rPr>
          <w:rFonts w:hint="eastAsia" w:ascii="宋体" w:hAnsi="宋体" w:cs="宋体"/>
          <w:bCs/>
          <w:color w:val="auto"/>
          <w:szCs w:val="20"/>
        </w:rPr>
        <w:t>有限公司</w:t>
      </w:r>
    </w:p>
    <w:p w14:paraId="4A4481D6">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地址：广州市先烈中路100号科学院大院9号楼东座2楼</w:t>
      </w:r>
      <w:r>
        <w:rPr>
          <w:rFonts w:hint="eastAsia" w:ascii="宋体" w:hAnsi="宋体" w:cs="宋体"/>
          <w:color w:val="auto"/>
        </w:rPr>
        <w:t>（中国广州分析测试中心对面）</w:t>
      </w:r>
    </w:p>
    <w:p w14:paraId="4EE82ED5">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联系方式：</w:t>
      </w:r>
      <w:r>
        <w:rPr>
          <w:rFonts w:hint="eastAsia" w:ascii="宋体" w:hAnsi="宋体"/>
          <w:color w:val="auto"/>
        </w:rPr>
        <w:t>020-87004906、020-87687949</w:t>
      </w:r>
    </w:p>
    <w:p w14:paraId="52F21704">
      <w:pPr>
        <w:numPr>
          <w:ilvl w:val="0"/>
          <w:numId w:val="6"/>
        </w:numPr>
        <w:spacing w:line="341" w:lineRule="auto"/>
        <w:rPr>
          <w:rFonts w:hint="eastAsia" w:ascii="宋体" w:hAnsi="宋体" w:cs="宋体"/>
          <w:color w:val="auto"/>
          <w:szCs w:val="18"/>
        </w:rPr>
      </w:pPr>
      <w:r>
        <w:rPr>
          <w:rFonts w:hint="eastAsia" w:ascii="宋体" w:hAnsi="宋体" w:cs="宋体"/>
          <w:color w:val="auto"/>
          <w:szCs w:val="18"/>
        </w:rPr>
        <w:t>项目联系方式</w:t>
      </w:r>
    </w:p>
    <w:p w14:paraId="4B632D29">
      <w:pPr>
        <w:spacing w:line="360" w:lineRule="auto"/>
        <w:ind w:left="-88" w:leftChars="-42" w:firstLine="512" w:firstLineChars="244"/>
        <w:rPr>
          <w:rFonts w:hint="eastAsia" w:ascii="宋体" w:hAnsi="宋体" w:cs="宋体"/>
          <w:bCs/>
          <w:color w:val="auto"/>
        </w:rPr>
      </w:pPr>
      <w:r>
        <w:rPr>
          <w:rFonts w:hint="eastAsia" w:ascii="宋体" w:hAnsi="宋体" w:cs="宋体"/>
          <w:bCs/>
          <w:color w:val="auto"/>
          <w:szCs w:val="20"/>
        </w:rPr>
        <w:t>项目联系人：</w:t>
      </w:r>
      <w:r>
        <w:rPr>
          <w:rFonts w:hint="eastAsia" w:ascii="宋体" w:hAnsi="宋体"/>
          <w:color w:val="auto"/>
        </w:rPr>
        <w:t>谢小姐、</w:t>
      </w:r>
      <w:r>
        <w:rPr>
          <w:rFonts w:hint="eastAsia" w:ascii="宋体" w:hAnsi="宋体"/>
          <w:color w:val="auto"/>
          <w:lang w:val="en-US" w:eastAsia="zh-CN"/>
        </w:rPr>
        <w:t>凌</w:t>
      </w:r>
      <w:r>
        <w:rPr>
          <w:rFonts w:hint="eastAsia" w:ascii="宋体" w:hAnsi="宋体"/>
          <w:color w:val="auto"/>
        </w:rPr>
        <w:t>小姐</w:t>
      </w:r>
      <w:r>
        <w:rPr>
          <w:rFonts w:hint="eastAsia" w:ascii="宋体" w:hAnsi="宋体" w:cs="宋体"/>
          <w:bCs/>
          <w:color w:val="auto"/>
        </w:rPr>
        <w:t xml:space="preserve"> </w:t>
      </w:r>
    </w:p>
    <w:p w14:paraId="1D9D9878">
      <w:pPr>
        <w:spacing w:line="360" w:lineRule="auto"/>
        <w:ind w:left="-88" w:leftChars="-42" w:firstLine="512" w:firstLineChars="244"/>
        <w:rPr>
          <w:rFonts w:hint="eastAsia" w:ascii="宋体" w:hAnsi="宋体" w:cs="宋体"/>
          <w:bCs/>
          <w:color w:val="auto"/>
          <w:szCs w:val="20"/>
        </w:rPr>
      </w:pPr>
      <w:r>
        <w:rPr>
          <w:rFonts w:hint="eastAsia" w:ascii="宋体" w:hAnsi="宋体" w:cs="宋体"/>
          <w:color w:val="auto"/>
        </w:rPr>
        <w:t>电话：</w:t>
      </w:r>
      <w:r>
        <w:rPr>
          <w:rFonts w:hint="eastAsia" w:ascii="宋体" w:hAnsi="宋体"/>
          <w:color w:val="auto"/>
        </w:rPr>
        <w:t>020-87004906、020-87687949</w:t>
      </w:r>
    </w:p>
    <w:p w14:paraId="0F7C0B9D">
      <w:pPr>
        <w:spacing w:line="360" w:lineRule="auto"/>
        <w:ind w:firstLine="525" w:firstLineChars="250"/>
        <w:jc w:val="right"/>
        <w:rPr>
          <w:rFonts w:hint="eastAsia" w:ascii="宋体" w:hAnsi="宋体" w:cs="宋体"/>
          <w:color w:val="auto"/>
        </w:rPr>
      </w:pPr>
      <w:r>
        <w:rPr>
          <w:rFonts w:hint="eastAsia" w:ascii="宋体" w:hAnsi="宋体" w:cs="宋体"/>
          <w:color w:val="auto"/>
          <w:lang w:eastAsia="zh-CN"/>
        </w:rPr>
        <w:t>广东国科招标</w:t>
      </w:r>
      <w:r>
        <w:rPr>
          <w:rFonts w:hint="eastAsia" w:ascii="宋体" w:hAnsi="宋体" w:cs="宋体"/>
          <w:color w:val="auto"/>
        </w:rPr>
        <w:t>有限公司</w:t>
      </w:r>
    </w:p>
    <w:p w14:paraId="7C0B58D0">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cs="宋体"/>
          <w:color w:val="auto"/>
          <w:lang w:eastAsia="zh-CN"/>
        </w:rPr>
        <w:t>202</w:t>
      </w:r>
      <w:r>
        <w:rPr>
          <w:rFonts w:hint="eastAsia" w:ascii="宋体" w:hAnsi="宋体" w:cs="宋体"/>
          <w:color w:val="auto"/>
          <w:lang w:val="en-US" w:eastAsia="zh-CN"/>
        </w:rPr>
        <w:t>6</w:t>
      </w:r>
      <w:r>
        <w:rPr>
          <w:rFonts w:hint="eastAsia" w:ascii="宋体" w:hAnsi="宋体" w:cs="宋体"/>
          <w:color w:val="auto"/>
        </w:rPr>
        <w:t>年</w:t>
      </w:r>
      <w:r>
        <w:rPr>
          <w:rFonts w:hint="eastAsia" w:ascii="宋体" w:hAnsi="宋体" w:cs="宋体"/>
          <w:color w:val="auto"/>
          <w:lang w:val="en-US" w:eastAsia="zh-CN"/>
        </w:rPr>
        <w:t>05</w:t>
      </w:r>
      <w:r>
        <w:rPr>
          <w:rFonts w:hint="eastAsia" w:ascii="宋体" w:hAnsi="宋体" w:cs="宋体"/>
          <w:color w:val="auto"/>
        </w:rPr>
        <w:t>月</w:t>
      </w:r>
      <w:r>
        <w:rPr>
          <w:rFonts w:hint="eastAsia" w:ascii="宋体" w:hAnsi="宋体" w:cs="宋体"/>
          <w:color w:val="auto"/>
          <w:lang w:val="en-US" w:eastAsia="zh-CN"/>
        </w:rPr>
        <w:t>15</w:t>
      </w:r>
      <w:r>
        <w:rPr>
          <w:rFonts w:hint="eastAsia" w:ascii="宋体" w:hAnsi="宋体" w:cs="宋体"/>
          <w:color w:val="auto"/>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010A4"/>
    <w:multiLevelType w:val="multilevel"/>
    <w:tmpl w:val="099010A4"/>
    <w:lvl w:ilvl="0" w:tentative="0">
      <w:start w:val="1"/>
      <w:numFmt w:val="decimal"/>
      <w:lvlText w:val="（%1）"/>
      <w:lvlJc w:val="left"/>
      <w:pPr>
        <w:tabs>
          <w:tab w:val="left" w:pos="-113"/>
        </w:tabs>
        <w:ind w:left="454" w:hanging="454"/>
      </w:pPr>
      <w:rPr>
        <w:rFonts w:hint="default"/>
        <w:b w:val="0"/>
        <w:i w:val="0"/>
        <w:color w:val="auto"/>
      </w:rPr>
    </w:lvl>
    <w:lvl w:ilvl="1" w:tentative="0">
      <w:start w:val="1"/>
      <w:numFmt w:val="decimal"/>
      <w:lvlText w:val="%2)"/>
      <w:lvlJc w:val="left"/>
      <w:pPr>
        <w:tabs>
          <w:tab w:val="left" w:pos="597"/>
        </w:tabs>
        <w:ind w:left="1561" w:hanging="851"/>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219174BA"/>
    <w:multiLevelType w:val="multilevel"/>
    <w:tmpl w:val="219174BA"/>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2E1CBA"/>
    <w:multiLevelType w:val="multilevel"/>
    <w:tmpl w:val="512E1CBA"/>
    <w:lvl w:ilvl="0" w:tentative="0">
      <w:start w:val="1"/>
      <w:numFmt w:val="decimal"/>
      <w:lvlText w:val="%1）"/>
      <w:lvlJc w:val="left"/>
      <w:pPr>
        <w:tabs>
          <w:tab w:val="left" w:pos="1035"/>
        </w:tabs>
        <w:ind w:left="1035" w:hanging="720"/>
      </w:pPr>
      <w:rPr>
        <w:rFonts w:hint="default"/>
      </w:rPr>
    </w:lvl>
    <w:lvl w:ilvl="1" w:tentative="0">
      <w:start w:val="2"/>
      <w:numFmt w:val="decimal"/>
      <w:lvlText w:val="%2、"/>
      <w:lvlJc w:val="left"/>
      <w:pPr>
        <w:tabs>
          <w:tab w:val="left" w:pos="1095"/>
        </w:tabs>
        <w:ind w:left="1095" w:hanging="360"/>
      </w:pPr>
      <w:rPr>
        <w:rFonts w:hint="default"/>
        <w:b w:val="0"/>
      </w:r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3">
    <w:nsid w:val="6148593A"/>
    <w:multiLevelType w:val="multilevel"/>
    <w:tmpl w:val="6148593A"/>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5755313"/>
    <w:multiLevelType w:val="multilevel"/>
    <w:tmpl w:val="75755313"/>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7D644044"/>
    <w:multiLevelType w:val="multilevel"/>
    <w:tmpl w:val="7D644044"/>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25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2026-05-15T06:27:19Z</dcterms:created>
  <dc:creator>user</dc:creator>
  <cp:lastModifiedBy>XY</cp:lastModifiedBy>
  <dcterms:modified xsi:type="dcterms:W3CDTF">2026-05-15T06:28:07Z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DocerSaveRecord">
    <vt:lpwstr>eyJoZGlkIjoiNzI0YTRhMzM4YzZhMzMwYTFjNDIxNzI4Njc1NjY5M2MiLCJ1c2VySWQiOiI0NDg5MDU5NjIifQ==</vt:lpwstr>
  </property>
  <property fmtid="{D5CDD505-2E9C-101B-9397-08002B2CF9AE}" pid="4" name="ICV">
    <vt:lpwstr>A9EF3D4534424F8C84647B74A150B4FC_12</vt:lpwstr>
  </property>
</Properties>
</file>