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2026年中山市东升医院办公及生活用品协议供货项目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2DBD0CFB">
      <w:pPr>
        <w:pStyle w:val="3"/>
      </w:pPr>
    </w:p>
    <w:tbl>
      <w:tblPr>
        <w:tblStyle w:val="10"/>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2919"/>
        <w:gridCol w:w="3720"/>
        <w:gridCol w:w="2455"/>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85" w:hRule="atLeast"/>
          <w:jc w:val="center"/>
        </w:trPr>
        <w:tc>
          <w:tcPr>
            <w:tcW w:w="2919"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720"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下浮率报价</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455"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74" w:hRule="atLeast"/>
          <w:jc w:val="center"/>
        </w:trPr>
        <w:tc>
          <w:tcPr>
            <w:tcW w:w="2919"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2026年中山市东升医院办公及生活用品协议供货项目</w:t>
            </w:r>
          </w:p>
        </w:tc>
        <w:tc>
          <w:tcPr>
            <w:tcW w:w="3720"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455" w:type="dxa"/>
            <w:vAlign w:val="center"/>
          </w:tcPr>
          <w:p w14:paraId="417A2084">
            <w:pPr>
              <w:jc w:val="center"/>
              <w:rPr>
                <w:rFonts w:hint="default" w:eastAsia="宋体"/>
                <w:lang w:val="en-US" w:eastAsia="zh-CN"/>
              </w:rPr>
            </w:pPr>
            <w:r>
              <w:rPr>
                <w:rFonts w:hint="eastAsia" w:eastAsia="宋体"/>
                <w:lang w:val="en-US" w:eastAsia="zh-CN"/>
              </w:rPr>
              <w:t>按公告文件第三点响应报价要求填写附件一及附件二清单</w:t>
            </w:r>
          </w:p>
        </w:tc>
      </w:tr>
    </w:tbl>
    <w:p w14:paraId="06BFCCF9">
      <w:pPr>
        <w:pStyle w:val="3"/>
        <w:spacing w:line="371" w:lineRule="auto"/>
      </w:pPr>
    </w:p>
    <w:p w14:paraId="1CE97BEE">
      <w:pPr>
        <w:pStyle w:val="3"/>
        <w:spacing w:line="371" w:lineRule="auto"/>
      </w:pPr>
    </w:p>
    <w:p w14:paraId="7491E2FB">
      <w:pPr>
        <w:pStyle w:val="9"/>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4771C8B0">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须按单价最高限价填报一个统一的响应下浮率，下浮率取值范围为0%（含）至50%（含），超出此范围的报价将被视作无效响应。</w:t>
      </w:r>
      <w:r>
        <w:rPr>
          <w:rFonts w:hint="eastAsia" w:ascii="宋体" w:hAnsi="宋体" w:eastAsia="宋体" w:cs="宋体"/>
          <w:b/>
          <w:bCs/>
          <w:spacing w:val="7"/>
          <w:sz w:val="20"/>
          <w:szCs w:val="20"/>
          <w:lang w:eastAsia="zh-CN"/>
        </w:rPr>
        <w:t>不得随意更改本表格式。</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本项目的评审采用综合评分法，最低价不是唯一评定标准（评分标准详见附件三 中山市东升医院办公及生活用品协议供货项目评分表），在符合项目需求的前提下，选取综合评分最高为中选供应商。</w:t>
      </w:r>
    </w:p>
    <w:p w14:paraId="40A56808">
      <w:pPr>
        <w:pStyle w:val="9"/>
        <w:keepNext w:val="0"/>
        <w:keepLines w:val="0"/>
        <w:pageBreakBefore w:val="0"/>
        <w:widowControl w:val="0"/>
        <w:kinsoku/>
        <w:wordWrap/>
        <w:overflowPunct/>
        <w:topLinePunct w:val="0"/>
        <w:autoSpaceDE w:val="0"/>
        <w:autoSpaceDN w:val="0"/>
        <w:bidi w:val="0"/>
        <w:adjustRightInd w:val="0"/>
        <w:snapToGrid/>
        <w:spacing w:before="0" w:beforeLines="50"/>
        <w:textAlignment w:val="auto"/>
        <w:rPr>
          <w:rFonts w:hint="eastAsia" w:hAnsi="宋体" w:cs="宋体"/>
          <w:b/>
          <w:bCs/>
          <w:sz w:val="20"/>
          <w:szCs w:val="20"/>
          <w:lang w:val="en-US" w:eastAsia="zh-CN"/>
        </w:rPr>
      </w:pPr>
      <w:r>
        <w:rPr>
          <w:rFonts w:hint="eastAsia" w:hAnsi="宋体" w:cs="宋体"/>
          <w:b/>
          <w:bCs/>
          <w:sz w:val="20"/>
          <w:szCs w:val="20"/>
          <w:lang w:val="en-US" w:eastAsia="zh-CN"/>
        </w:rPr>
        <w:t>3. 报价次数：1次。</w:t>
      </w:r>
    </w:p>
    <w:p w14:paraId="5177179C">
      <w:pPr>
        <w:pStyle w:val="9"/>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lang w:val="en-US" w:eastAsia="zh-CN"/>
        </w:rPr>
      </w:pPr>
      <w:r>
        <w:rPr>
          <w:rFonts w:hint="eastAsia" w:hAnsi="宋体" w:cs="宋体"/>
          <w:b/>
          <w:bCs/>
          <w:sz w:val="20"/>
          <w:szCs w:val="20"/>
          <w:lang w:val="en-US" w:eastAsia="zh-CN"/>
        </w:rPr>
        <w:t>4. 结算公式：</w:t>
      </w:r>
      <w:r>
        <w:rPr>
          <w:rFonts w:hint="eastAsia" w:hAnsi="宋体" w:cs="宋体"/>
          <w:b/>
          <w:bCs/>
          <w:sz w:val="20"/>
          <w:szCs w:val="20"/>
          <w:u w:val="single"/>
          <w:lang w:val="en-US" w:eastAsia="zh-CN"/>
        </w:rPr>
        <w:t>各类货物的实际供货单价</w:t>
      </w:r>
      <w:r>
        <w:rPr>
          <w:rFonts w:hint="eastAsia" w:hAnsi="宋体" w:cs="宋体"/>
          <w:b/>
          <w:bCs/>
          <w:sz w:val="20"/>
          <w:szCs w:val="20"/>
          <w:lang w:val="en-US" w:eastAsia="zh-CN"/>
        </w:rPr>
        <w:t xml:space="preserve"> = 最高单价限价×（1-成交下浮率），结果四舍五入保留至小数点后两位。此单价为合同履行期间的最终价格，合同期内不随市场同类商品价格波动进行调整。</w:t>
      </w:r>
    </w:p>
    <w:p w14:paraId="17E08FB6">
      <w:pPr>
        <w:pStyle w:val="3"/>
        <w:rPr>
          <w:rFonts w:ascii="宋体" w:hAnsi="宋体" w:eastAsia="宋体" w:cs="宋体"/>
          <w:spacing w:val="2"/>
          <w:sz w:val="24"/>
          <w:szCs w:val="24"/>
          <w:lang w:eastAsia="zh-CN"/>
        </w:rPr>
      </w:pPr>
    </w:p>
    <w:p w14:paraId="573023C5">
      <w:pPr>
        <w:pStyle w:val="9"/>
        <w:rPr>
          <w:rFonts w:ascii="宋体" w:hAnsi="宋体" w:eastAsia="宋体" w:cs="宋体"/>
          <w:spacing w:val="2"/>
          <w:sz w:val="24"/>
          <w:szCs w:val="24"/>
          <w:lang w:eastAsia="zh-CN"/>
        </w:rPr>
      </w:pPr>
    </w:p>
    <w:p w14:paraId="400D596C">
      <w:pPr>
        <w:pStyle w:val="9"/>
        <w:rPr>
          <w:rFonts w:ascii="宋体" w:hAnsi="宋体" w:eastAsia="宋体" w:cs="宋体"/>
          <w:spacing w:val="2"/>
          <w:sz w:val="24"/>
          <w:szCs w:val="24"/>
          <w:lang w:eastAsia="zh-CN"/>
        </w:rPr>
      </w:pPr>
    </w:p>
    <w:p w14:paraId="4E28C739">
      <w:pPr>
        <w:pStyle w:val="9"/>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2026年中山市东升医院办公及生活用品协议供货项目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2026年中山市东升医院办公及生活用品协议供货项目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240"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240"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5F9EBEDF">
      <w:pPr>
        <w:spacing w:before="137"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十一、产品相关资质证明文件及品牌授权书</w:t>
      </w:r>
    </w:p>
    <w:p w14:paraId="16909AC6">
      <w:pPr>
        <w:rPr>
          <w:rFonts w:hint="default"/>
          <w:lang w:val="en-US" w:eastAsia="zh-CN"/>
        </w:rPr>
      </w:pPr>
      <w:r>
        <w:rPr>
          <w:rFonts w:hint="default"/>
          <w:lang w:val="en-US" w:eastAsia="zh-CN"/>
        </w:rPr>
        <w:br w:type="page"/>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二</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0"/>
        <w:tblW w:w="9382" w:type="dxa"/>
        <w:tblInd w:w="-2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13" w:type="dxa"/>
          <w:left w:w="113" w:type="dxa"/>
          <w:bottom w:w="113" w:type="dxa"/>
          <w:right w:w="113" w:type="dxa"/>
        </w:tblCellMar>
      </w:tblPr>
      <w:tblGrid>
        <w:gridCol w:w="871"/>
        <w:gridCol w:w="5460"/>
        <w:gridCol w:w="1541"/>
        <w:gridCol w:w="1510"/>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62" w:hRule="atLeast"/>
        </w:trPr>
        <w:tc>
          <w:tcPr>
            <w:tcW w:w="871" w:type="dxa"/>
            <w:vAlign w:val="center"/>
          </w:tcPr>
          <w:p w14:paraId="5BDB5DDC">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460" w:type="dxa"/>
            <w:vAlign w:val="center"/>
          </w:tcPr>
          <w:p w14:paraId="3674397B">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541" w:type="dxa"/>
            <w:vAlign w:val="center"/>
          </w:tcPr>
          <w:p w14:paraId="53D5C9DE">
            <w:pPr>
              <w:spacing w:before="180" w:line="300" w:lineRule="exact"/>
              <w:ind w:right="241"/>
              <w:jc w:val="center"/>
              <w:rPr>
                <w:rFonts w:ascii="宋体" w:hAnsi="宋体" w:eastAsia="宋体" w:cs="宋体"/>
                <w:b/>
                <w:bCs/>
              </w:rPr>
            </w:pPr>
            <w:r>
              <w:rPr>
                <w:rFonts w:hint="eastAsia" w:ascii="宋体" w:hAnsi="宋体" w:eastAsia="宋体" w:cs="宋体"/>
                <w:b/>
                <w:bCs/>
                <w:spacing w:val="7"/>
              </w:rPr>
              <w:t>完全响应或</w:t>
            </w:r>
            <w:r>
              <w:rPr>
                <w:rFonts w:hint="eastAsia" w:ascii="宋体" w:hAnsi="宋体" w:eastAsia="宋体" w:cs="宋体"/>
                <w:b/>
                <w:bCs/>
                <w:spacing w:val="6"/>
              </w:rPr>
              <w:t>正/负偏离</w:t>
            </w:r>
          </w:p>
        </w:tc>
        <w:tc>
          <w:tcPr>
            <w:tcW w:w="1510" w:type="dxa"/>
            <w:vAlign w:val="center"/>
          </w:tcPr>
          <w:p w14:paraId="189B2D09">
            <w:pPr>
              <w:spacing w:before="65" w:line="300" w:lineRule="exact"/>
              <w:jc w:val="center"/>
              <w:rPr>
                <w:rFonts w:ascii="宋体" w:hAnsi="宋体" w:eastAsia="宋体" w:cs="宋体"/>
                <w:b/>
                <w:bCs/>
              </w:rPr>
            </w:pPr>
            <w:r>
              <w:rPr>
                <w:rFonts w:hint="eastAsia" w:ascii="宋体" w:hAnsi="宋体" w:eastAsia="宋体" w:cs="宋体"/>
                <w:b/>
                <w:bCs/>
                <w:spacing w:val="7"/>
              </w:rPr>
              <w:t>偏离情况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871"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5460" w:type="dxa"/>
          </w:tcPr>
          <w:p w14:paraId="5F30450B">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一、项目概况</w:t>
            </w:r>
          </w:p>
          <w:p w14:paraId="42F2DA5B">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1. 项目名称：</w:t>
            </w:r>
            <w:r>
              <w:rPr>
                <w:rFonts w:hint="eastAsia" w:ascii="宋体" w:hAnsi="宋体" w:eastAsia="宋体" w:cs="宋体"/>
                <w:sz w:val="20"/>
                <w:szCs w:val="20"/>
              </w:rPr>
              <w:t>2026年中山市东升医院办公</w:t>
            </w:r>
            <w:r>
              <w:rPr>
                <w:rFonts w:hint="eastAsia" w:ascii="宋体" w:hAnsi="宋体" w:eastAsia="宋体" w:cs="宋体"/>
                <w:sz w:val="20"/>
                <w:szCs w:val="20"/>
                <w:lang w:eastAsia="zh-CN"/>
              </w:rPr>
              <w:t>及</w:t>
            </w:r>
            <w:r>
              <w:rPr>
                <w:rFonts w:hint="eastAsia" w:ascii="宋体" w:hAnsi="宋体" w:eastAsia="宋体" w:cs="宋体"/>
                <w:sz w:val="20"/>
                <w:szCs w:val="20"/>
              </w:rPr>
              <w:t>生活用品协议供货项目</w:t>
            </w:r>
          </w:p>
          <w:p w14:paraId="3113095D">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2. 项目编号：HW-CW-CW-2026034</w:t>
            </w:r>
          </w:p>
          <w:p w14:paraId="6AC3392B">
            <w:pPr>
              <w:pStyle w:val="5"/>
              <w:widowControl w:val="0"/>
              <w:kinsoku/>
              <w:autoSpaceDN/>
              <w:adjustRightInd/>
              <w:snapToGrid/>
              <w:spacing w:before="0" w:beforeAutospacing="0" w:after="0" w:afterAutospacing="0" w:line="240" w:lineRule="exact"/>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 xml:space="preserve">3. </w:t>
            </w:r>
            <w:r>
              <w:rPr>
                <w:rFonts w:hint="eastAsia" w:ascii="宋体" w:hAnsi="宋体" w:eastAsia="宋体" w:cs="宋体"/>
                <w:sz w:val="20"/>
                <w:szCs w:val="20"/>
              </w:rPr>
              <w:t>预算金额：</w:t>
            </w:r>
            <w:r>
              <w:rPr>
                <w:rFonts w:hint="eastAsia" w:ascii="宋体" w:hAnsi="宋体" w:eastAsia="宋体" w:cs="宋体"/>
                <w:sz w:val="20"/>
                <w:szCs w:val="20"/>
                <w:lang w:val="en-US" w:eastAsia="zh-CN"/>
              </w:rPr>
              <w:t>共235000元</w:t>
            </w:r>
          </w:p>
          <w:p w14:paraId="173AB8BB">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w:t>
            </w:r>
            <w:r>
              <w:rPr>
                <w:rFonts w:hint="eastAsia" w:ascii="宋体" w:hAnsi="宋体" w:eastAsia="宋体" w:cs="宋体"/>
                <w:sz w:val="20"/>
                <w:szCs w:val="20"/>
                <w:lang w:eastAsia="zh-CN"/>
              </w:rPr>
              <w:t>生活用品预算金额：</w:t>
            </w:r>
            <w:r>
              <w:rPr>
                <w:rFonts w:hint="eastAsia" w:ascii="宋体" w:hAnsi="宋体" w:eastAsia="宋体" w:cs="宋体"/>
                <w:sz w:val="20"/>
                <w:szCs w:val="20"/>
                <w:lang w:val="en-US" w:eastAsia="zh-CN"/>
              </w:rPr>
              <w:t>200000</w:t>
            </w:r>
            <w:r>
              <w:rPr>
                <w:rFonts w:hint="eastAsia" w:ascii="宋体" w:hAnsi="宋体" w:eastAsia="宋体" w:cs="宋体"/>
                <w:sz w:val="20"/>
                <w:szCs w:val="20"/>
              </w:rPr>
              <w:t>元</w:t>
            </w:r>
          </w:p>
          <w:p w14:paraId="36483BB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w:t>
            </w:r>
            <w:r>
              <w:rPr>
                <w:rFonts w:hint="eastAsia" w:ascii="宋体" w:hAnsi="宋体" w:eastAsia="宋体" w:cs="宋体"/>
                <w:sz w:val="20"/>
                <w:szCs w:val="20"/>
                <w:lang w:eastAsia="zh-CN"/>
              </w:rPr>
              <w:t>办公用品预算金额：</w:t>
            </w:r>
            <w:r>
              <w:rPr>
                <w:rFonts w:hint="eastAsia" w:ascii="宋体" w:hAnsi="宋体" w:eastAsia="宋体" w:cs="宋体"/>
                <w:sz w:val="20"/>
                <w:szCs w:val="20"/>
                <w:lang w:val="en-US" w:eastAsia="zh-CN"/>
              </w:rPr>
              <w:t>35000</w:t>
            </w:r>
            <w:r>
              <w:rPr>
                <w:rFonts w:hint="eastAsia" w:ascii="宋体" w:hAnsi="宋体" w:eastAsia="宋体" w:cs="宋体"/>
                <w:sz w:val="20"/>
                <w:szCs w:val="20"/>
              </w:rPr>
              <w:t>元</w:t>
            </w:r>
            <w:r>
              <w:rPr>
                <w:rFonts w:hint="eastAsia" w:ascii="宋体" w:hAnsi="宋体" w:eastAsia="宋体" w:cs="宋体"/>
                <w:sz w:val="20"/>
                <w:szCs w:val="20"/>
                <w:lang w:eastAsia="zh-CN"/>
              </w:rPr>
              <w:t>（办公用品不包含纸张、色带、墨盒、硒鼓等电脑周边耗材）</w:t>
            </w:r>
          </w:p>
          <w:p w14:paraId="1C8A676B">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注：具体金额按医院实际需求数量计算，即</w:t>
            </w:r>
            <w:r>
              <w:rPr>
                <w:rFonts w:hint="eastAsia" w:ascii="宋体" w:hAnsi="宋体" w:eastAsia="宋体" w:cs="宋体"/>
                <w:sz w:val="20"/>
                <w:szCs w:val="20"/>
                <w:lang w:val="en-US" w:eastAsia="zh-CN"/>
              </w:rPr>
              <w:t>实际结算价为实际供应数量与中标品种单价的乘积</w:t>
            </w:r>
          </w:p>
          <w:p w14:paraId="7837F182">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供货期限：自合同签订之日起一年。满足下列条件之一时，合同自动终止：</w:t>
            </w:r>
          </w:p>
          <w:p w14:paraId="084E0D3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（1）自合同签订之日起，供货已满一年；</w:t>
            </w:r>
          </w:p>
          <w:p w14:paraId="2D38DB0C">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（2）合同期内采购金额累计达到本项目预算总金额；</w:t>
            </w:r>
          </w:p>
          <w:p w14:paraId="13C08D48">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（3）剩余金额不足以采购清单内任何一项物品。</w:t>
            </w:r>
          </w:p>
          <w:p w14:paraId="20AD0315">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 交货方式：成交供应商应保障货物储备充足，确保及时供货，在收到采购人下单通知后3个自然日内将货物送达指定地点。若遇采购人急需使用的情况，成交供应商应在2小时内送达。</w:t>
            </w:r>
          </w:p>
          <w:p w14:paraId="183F4A1C">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lang w:val="en-US" w:eastAsia="zh-CN"/>
              </w:rPr>
              <w:t>6. 交货条件：</w:t>
            </w:r>
          </w:p>
          <w:p w14:paraId="5A162B90">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（1）成交供应商应将货物送至采购人指定地点并交付给采购人收货人，货物交付前的一切风险由成交供应商承担。</w:t>
            </w:r>
          </w:p>
          <w:p w14:paraId="001648BE">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（2）成交供应商所提交货物的单价若超出合同约定，采购人有权拒绝接收。</w:t>
            </w:r>
          </w:p>
          <w:p w14:paraId="42D84897">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合同期内，成交供应商应按照合同约定的品牌、规格或型号进行供货。如个别产品出现停产或难以寻找到货源的情况，成交供应商应优先在市场上寻找同品牌、同型号、同规格参数的货物供应；若该产品在市场上已无货源供应，成交供应商需提前15天书面告知采购人，并经采购人同意后，提供等同于或优于原参数的产品供采购人使用，且不得中断供货，否则将视为成交供应商违约（如遇紧急或特殊情况，供货时间由双方协商确定，全年变更品牌、规格的项目数量不得超过20项）。</w:t>
            </w:r>
          </w:p>
          <w:p w14:paraId="32C2906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（4）合同期内，若采购人在使用成交供应商所提供的货物过程中，发现其以次充好或使用假冒伪劣产品达2次及以上，或者成交供应商超过规定交货期限15个自然日仍未能交货的，采购人有权单方终止合同。</w:t>
            </w:r>
          </w:p>
          <w:p w14:paraId="7DA9BA2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（5）成交供应商在项目实施过程中如有违法违规行为，采购人有权取消其供货资格，由此造成的损失由成交供应商承担。</w:t>
            </w:r>
          </w:p>
          <w:p w14:paraId="76319B66">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（6）成交供应商不得以任何形式将本项目转包或分包，否则采购人有权单方终止项目。</w:t>
            </w:r>
          </w:p>
          <w:p w14:paraId="3176041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（7）成交供应商应向采购人提供产品的全部相关资质证明。</w:t>
            </w:r>
          </w:p>
          <w:p w14:paraId="3DBED9C3">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8）成交供应商所提交产品数量超出合同约定的部分，采购人有权拒绝接收；若采购人同意接收，则应按合同约定价格计算货款。成交供应商所提交产品数量少于合同约定的部分，应在采购人要求的日期内补足，并承担不足部分总价款20%的违约金。</w:t>
            </w:r>
          </w:p>
          <w:p w14:paraId="551A4E49">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（9）若成交供应商未能按时保质交货，需支付违约金。</w:t>
            </w:r>
          </w:p>
          <w:p w14:paraId="0C6EA31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（10）成交供应商负责送货上门，运费、装卸费及保险费等一切相关费用均由成交供应商承担。</w:t>
            </w:r>
          </w:p>
          <w:p w14:paraId="0F37162F">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（11）成交供应商应依照行业标准对采购人所购买的产品进行包装，以防止产品在转运过程中出现损坏、污染或发生侵权行为等情况，确保产品安全运抵指定地点。</w:t>
            </w:r>
          </w:p>
          <w:p w14:paraId="253D9061">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（12）成交供应商不得无故拖延项目实施，否则，经采购人通知后，若成交供应商未在采购人指定的合理期限内完成，采购人有权向第三方采购，所产生的费用及一切经济损失由供应商自行承担。</w:t>
            </w:r>
          </w:p>
          <w:p w14:paraId="166704FC">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7. 本次采购仅进行供应商供货资格的招标，本次招标旨在确定协议供货资格，并不意味着货物已完成销售，采购人无法预计且无法保证向成交供应商采购的具体数量。采购人将根据本单位使用需求下单采购所需货物数量，成交供应商不得对采购人所采购的货物数量提出要求或进行质疑。本项目的采购数量为一年内的预计发生量，结算时以实际发生量为准。</w:t>
            </w:r>
          </w:p>
        </w:tc>
        <w:tc>
          <w:tcPr>
            <w:tcW w:w="1541" w:type="dxa"/>
          </w:tcPr>
          <w:p w14:paraId="5B3B314A">
            <w:pPr>
              <w:pStyle w:val="11"/>
              <w:rPr>
                <w:rFonts w:ascii="宋体" w:hAnsi="宋体" w:eastAsia="宋体" w:cs="宋体"/>
                <w:lang w:eastAsia="zh-CN"/>
              </w:rPr>
            </w:pPr>
          </w:p>
        </w:tc>
        <w:tc>
          <w:tcPr>
            <w:tcW w:w="1510" w:type="dxa"/>
          </w:tcPr>
          <w:p w14:paraId="28582A36">
            <w:pPr>
              <w:pStyle w:val="11"/>
              <w:rPr>
                <w:rFonts w:ascii="宋体" w:hAnsi="宋体" w:eastAsia="宋体" w:cs="宋体"/>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537" w:hRule="atLeast"/>
        </w:trPr>
        <w:tc>
          <w:tcPr>
            <w:tcW w:w="871"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460" w:type="dxa"/>
          </w:tcPr>
          <w:p w14:paraId="72272FF0">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二、供应商的资格要求</w:t>
            </w:r>
          </w:p>
          <w:p w14:paraId="1CB61F2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响应供应商必须是具有独立承担民事责任的能力：在中华人民共和国境内注册的法人或其他组织或自然人，投标（响应）时提交营业执照（或事业法人登记证或身份证等相关证明） 复印件。分支机构投标的，须提供总公司和分公司营业执照复印件，总公司出具给分支机构的授权书。</w:t>
            </w:r>
          </w:p>
          <w:p w14:paraId="51E4764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响应供应商须具有效的且具备相关经营范围的营业执照；</w:t>
            </w:r>
          </w:p>
          <w:p w14:paraId="059588B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响应供应商应具有项目的承接能力、合同的履约能力、售后供应能力和良好的信誉；</w:t>
            </w:r>
          </w:p>
          <w:p w14:paraId="2348BC37">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4</w:t>
            </w: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响应供应商在参与公开招标活动中未有违法违纪行为并受过处罚，响应供应商无围标、串标行为。</w:t>
            </w:r>
          </w:p>
        </w:tc>
        <w:tc>
          <w:tcPr>
            <w:tcW w:w="1541" w:type="dxa"/>
          </w:tcPr>
          <w:p w14:paraId="11B334CA">
            <w:pPr>
              <w:pStyle w:val="11"/>
              <w:rPr>
                <w:rFonts w:ascii="宋体" w:hAnsi="宋体" w:eastAsia="宋体" w:cs="宋体"/>
                <w:lang w:eastAsia="zh-CN"/>
              </w:rPr>
            </w:pPr>
          </w:p>
        </w:tc>
        <w:tc>
          <w:tcPr>
            <w:tcW w:w="1510" w:type="dxa"/>
          </w:tcPr>
          <w:p w14:paraId="0566467E">
            <w:pPr>
              <w:pStyle w:val="11"/>
              <w:rPr>
                <w:rFonts w:ascii="宋体" w:hAnsi="宋体" w:eastAsia="宋体" w:cs="宋体"/>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871"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460" w:type="dxa"/>
          </w:tcPr>
          <w:p w14:paraId="6D2A02EA">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三、响应报价要求</w:t>
            </w:r>
          </w:p>
          <w:p w14:paraId="4F6E0DC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供应商应依据《附件一2026年中山市东升医院办公用品目录》及《附件二2026年中山市东升医院生活用品目录》中采购物品所列技术参数要求，各填报一个符合技术参数要求的意向品牌，并按单价最高限价报出统一的响应下浮率。下浮率取值范围为0%（含）至50%（含），超出此范围的报价将被视为无效响应。结算公式：各类货物的实际供货单价 = 最高单价限价×（1-成交下浮率），结果四舍五入保留至小数点后两位。该单价为合同期间的最终价格，合同期内不随市场同类商品价格波动进行调整。</w:t>
            </w:r>
          </w:p>
          <w:p w14:paraId="5076D9D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 本次响应报价为人民币含税全包价，涵盖货物价格、包装费、运杂费、保险费、卸车费、配合费、检测费、配送费、税金及本项目执行过程中所需的其他费用或合同实施过程中不可预见的费用等。响应供应商不得再向采购人收取任何额外费用。</w:t>
            </w:r>
          </w:p>
          <w:p w14:paraId="0AF3F7C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响应供应商须对采购清单内容进行整体响应，注明产品意向品牌。存在缺项、漏项或非统一下浮率的报价均为无效报价。</w:t>
            </w:r>
          </w:p>
          <w:p w14:paraId="0F2D0DF8">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响应供应商应在响应报价文件中提供近三年内同类项目业绩的相关证明文件（如有）。</w:t>
            </w:r>
          </w:p>
          <w:p w14:paraId="026D31B3">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5. 报价次数：1次。</w:t>
            </w:r>
          </w:p>
        </w:tc>
        <w:tc>
          <w:tcPr>
            <w:tcW w:w="1541" w:type="dxa"/>
          </w:tcPr>
          <w:p w14:paraId="6483D143">
            <w:pPr>
              <w:pStyle w:val="11"/>
              <w:rPr>
                <w:rFonts w:ascii="宋体" w:hAnsi="宋体" w:eastAsia="宋体" w:cs="宋体"/>
                <w:lang w:eastAsia="zh-CN"/>
              </w:rPr>
            </w:pPr>
          </w:p>
        </w:tc>
        <w:tc>
          <w:tcPr>
            <w:tcW w:w="1510" w:type="dxa"/>
          </w:tcPr>
          <w:p w14:paraId="774B4E9C">
            <w:pPr>
              <w:pStyle w:val="11"/>
              <w:rPr>
                <w:rFonts w:ascii="宋体" w:hAnsi="宋体" w:eastAsia="宋体" w:cs="宋体"/>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210" w:hRule="atLeast"/>
        </w:trPr>
        <w:tc>
          <w:tcPr>
            <w:tcW w:w="871"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460" w:type="dxa"/>
          </w:tcPr>
          <w:p w14:paraId="78F921FD">
            <w:pPr>
              <w:pStyle w:val="3"/>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四、项目人员要求</w:t>
            </w:r>
          </w:p>
          <w:p w14:paraId="5E84875F">
            <w:pPr>
              <w:pStyle w:val="3"/>
              <w:rPr>
                <w:rFonts w:hint="default"/>
                <w:lang w:val="en-US" w:eastAsia="zh-CN"/>
              </w:rPr>
            </w:pPr>
            <w:r>
              <w:rPr>
                <w:rFonts w:hint="eastAsia" w:ascii="宋体" w:hAnsi="宋体" w:eastAsia="宋体" w:cs="宋体"/>
                <w:sz w:val="20"/>
                <w:szCs w:val="20"/>
                <w:lang w:val="en-US" w:eastAsia="zh-CN"/>
              </w:rPr>
              <w:t>项目负责人1名、跟单员1人，送货人员2人、售后人员1人。</w:t>
            </w:r>
          </w:p>
        </w:tc>
        <w:tc>
          <w:tcPr>
            <w:tcW w:w="1541" w:type="dxa"/>
          </w:tcPr>
          <w:p w14:paraId="193D8761">
            <w:pPr>
              <w:pStyle w:val="11"/>
              <w:rPr>
                <w:rFonts w:ascii="宋体" w:hAnsi="宋体" w:eastAsia="宋体" w:cs="宋体"/>
                <w:lang w:eastAsia="zh-CN"/>
              </w:rPr>
            </w:pPr>
          </w:p>
        </w:tc>
        <w:tc>
          <w:tcPr>
            <w:tcW w:w="1510" w:type="dxa"/>
          </w:tcPr>
          <w:p w14:paraId="091A4CD4">
            <w:pPr>
              <w:pStyle w:val="11"/>
              <w:rPr>
                <w:rFonts w:ascii="宋体" w:hAnsi="宋体" w:eastAsia="宋体" w:cs="宋体"/>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468" w:hRule="atLeast"/>
        </w:trPr>
        <w:tc>
          <w:tcPr>
            <w:tcW w:w="871"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460" w:type="dxa"/>
          </w:tcPr>
          <w:p w14:paraId="5948E6F0">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五、技术要求</w:t>
            </w:r>
          </w:p>
          <w:p w14:paraId="70DDA01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成交供应商应提供由已注册品牌制造商生产的原装、全新产品，且产品须符合国家相关质量标准及采购人提出的质量要求。</w:t>
            </w:r>
          </w:p>
          <w:p w14:paraId="2894FD1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 所有货物在开箱检验时必须保持完好，无破损，配置与装箱单一致。</w:t>
            </w:r>
          </w:p>
          <w:p w14:paraId="0BFD96B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成交供应商所提供产品的性能、配置参数等不得低于采购文件规定的要求。</w:t>
            </w:r>
          </w:p>
          <w:p w14:paraId="2E9219A6">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成交供应商提供的货物必须符合国家有关规范、环保要求及采购人的技术标准。所有货物及服务不得侵犯第三方的专利权、商标权、工业设计权、所有权、著作权（版权）等知识产权。若发生侵权行为，成交供应商须承担全部侵权责任及相关费用，采购人不承担任何与此相关的经济和法律责任。</w:t>
            </w:r>
          </w:p>
          <w:p w14:paraId="0CAC42FB">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5. 成交供应商不得经营未经注册、无合格证明、过期、失效或淘汰的产品。如因产品质量问题造成任何损失，由成交供应商承担全部责任。</w:t>
            </w:r>
          </w:p>
        </w:tc>
        <w:tc>
          <w:tcPr>
            <w:tcW w:w="1541" w:type="dxa"/>
          </w:tcPr>
          <w:p w14:paraId="400EB205">
            <w:pPr>
              <w:pStyle w:val="11"/>
              <w:rPr>
                <w:rFonts w:ascii="宋体" w:hAnsi="宋体" w:eastAsia="宋体" w:cs="宋体"/>
                <w:lang w:eastAsia="zh-CN"/>
              </w:rPr>
            </w:pPr>
          </w:p>
        </w:tc>
        <w:tc>
          <w:tcPr>
            <w:tcW w:w="1510" w:type="dxa"/>
          </w:tcPr>
          <w:p w14:paraId="4379F7B4">
            <w:pPr>
              <w:pStyle w:val="11"/>
              <w:rPr>
                <w:rFonts w:ascii="宋体" w:hAnsi="宋体" w:eastAsia="宋体" w:cs="宋体"/>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53" w:hRule="atLeast"/>
        </w:trPr>
        <w:tc>
          <w:tcPr>
            <w:tcW w:w="871" w:type="dxa"/>
            <w:vAlign w:val="center"/>
          </w:tcPr>
          <w:p w14:paraId="5E6150C9">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460" w:type="dxa"/>
          </w:tcPr>
          <w:p w14:paraId="7E941CB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六、包装、装卸、运输及保险</w:t>
            </w:r>
          </w:p>
          <w:p w14:paraId="2C6B887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1. 成交供应商所供货物的包装质量必须符合国家相关标准，具备良好的防锈、防腐、防潮及防破损等保护措施，确保货物在运输至现场过程中得到有效防护。因包装不良导致的损失及产生的费用，均由成交供应商承担。</w:t>
            </w:r>
          </w:p>
          <w:p w14:paraId="4434AE6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2. 成交供应商负责将货物运输至采购人指定地点的全部过程，包括装卸车及货物在现场的搬运，相关费用由成交供应商承担。</w:t>
            </w:r>
          </w:p>
          <w:p w14:paraId="502E2D9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 若货物在运输过程中因事故导致短缺或损坏，成交供应商应及时安排补换货物，以保证合同货物按时交付，补换货产生的相关费用由成交供应商承担。</w:t>
            </w:r>
          </w:p>
          <w:p w14:paraId="25E6220E">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4. 货物的质量保险由成交供应商负责，其派出的现场服务人员的人身意外保险亦由成交供应商承担。</w:t>
            </w:r>
          </w:p>
        </w:tc>
        <w:tc>
          <w:tcPr>
            <w:tcW w:w="1541" w:type="dxa"/>
          </w:tcPr>
          <w:p w14:paraId="0ECC2677">
            <w:pPr>
              <w:pStyle w:val="11"/>
              <w:rPr>
                <w:rFonts w:ascii="宋体" w:hAnsi="宋体" w:eastAsia="宋体" w:cs="宋体"/>
                <w:lang w:eastAsia="zh-CN"/>
              </w:rPr>
            </w:pPr>
          </w:p>
        </w:tc>
        <w:tc>
          <w:tcPr>
            <w:tcW w:w="1510" w:type="dxa"/>
          </w:tcPr>
          <w:p w14:paraId="79CBAC54">
            <w:pPr>
              <w:pStyle w:val="11"/>
              <w:rPr>
                <w:rFonts w:ascii="宋体" w:hAnsi="宋体" w:eastAsia="宋体" w:cs="宋体"/>
                <w:lang w:eastAsia="zh-CN"/>
              </w:rPr>
            </w:pPr>
          </w:p>
        </w:tc>
      </w:tr>
      <w:tr w14:paraId="4BFA7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054" w:hRule="atLeast"/>
        </w:trPr>
        <w:tc>
          <w:tcPr>
            <w:tcW w:w="871" w:type="dxa"/>
            <w:vAlign w:val="center"/>
          </w:tcPr>
          <w:p w14:paraId="2A8B819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460" w:type="dxa"/>
          </w:tcPr>
          <w:p w14:paraId="4F58DAD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七、</w:t>
            </w:r>
            <w:r>
              <w:rPr>
                <w:rFonts w:hint="eastAsia" w:ascii="宋体" w:hAnsi="宋体" w:eastAsia="宋体" w:cs="宋体"/>
                <w:color w:val="auto"/>
                <w:sz w:val="20"/>
                <w:szCs w:val="20"/>
                <w:shd w:val="clear" w:color="auto" w:fill="FFFFFF"/>
                <w:lang w:eastAsia="zh-CN" w:bidi="ar"/>
              </w:rPr>
              <w:t>验收方式</w:t>
            </w:r>
          </w:p>
          <w:p w14:paraId="4E9B473D">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1. 成交供应商将货物送至采购人指定地点后，由采购人依据采购合同、相关采购文件要求、产品合格证及样品等进行核对，并按照国家相关法律法规和质量标准，对货物的规格参数与质量进行验收。</w:t>
            </w:r>
          </w:p>
          <w:p w14:paraId="5E9EA14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2. 供货期间，采购人有权对交付货物进行实时现场抽检测试。若检测结果不达标，供应商须无条件更换合格产品。验收过程中，如发现货物存在短缺、次品、损坏或其他不符合相关采购文件及合同规定的情形，采购人有权拒收该批货物并拒付相应费用，成交供应商须无条件更换货物，并承担由此产生的一切费用和损失。</w:t>
            </w:r>
          </w:p>
          <w:p w14:paraId="0F3FB380">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 若在货物使用过程中发现以次充好或使用假冒伪劣产品的情况，成交供应商须无条件更换货物，并按“假一赔三”标准进行赔偿。若此类情况发生两次及以上，采购人有权单方终止合同，且履约保证金不予退还。</w:t>
            </w:r>
          </w:p>
          <w:p w14:paraId="0598B8C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因质量问题发生争议时，由地级市及以上质检部门进行鉴定，鉴定费用先由成交供应商垫付。若鉴定结果符合质量技术要求，所有鉴定费用由采购人承担；若鉴定结果若产品不符合质量技术要求，相关鉴定费用由成交供应商全额承担。</w:t>
            </w:r>
          </w:p>
          <w:p w14:paraId="4FB267B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若成交供应商所提供产品引发知识产权纠纷，应由成交供应商负责与原知识产权所有者协商解决，采购人对此不承担任何经济及法律责任。</w:t>
            </w:r>
          </w:p>
          <w:p w14:paraId="281B6DC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成交供应商应按照双方约定时间向采购人交付产品，采购人需及时组织验收；对于符合合同约定的标的物予以接收，对不符合合同要求的质量、品种、规格、数量等情形，采购人有权拒绝接收。成交供应商应及时更换被拒绝产品，且不得影响采购人正常使用。若因此影响采购人使用并造成损失，采购人有权要求成交供应商赔偿相关损失。</w:t>
            </w:r>
          </w:p>
          <w:p w14:paraId="0278661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成交供应商若需提前交付产品，必须事先获得采购人同意，否则由此产生的储存保管费用及标的物毁损灭失风险由成交供应商自行承担。</w:t>
            </w:r>
          </w:p>
          <w:p w14:paraId="0407EED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8. 成交供应商应按采购人采购计划中指定医院地址送货，相关费用由成交供应商承担。</w:t>
            </w:r>
          </w:p>
        </w:tc>
        <w:tc>
          <w:tcPr>
            <w:tcW w:w="1541" w:type="dxa"/>
          </w:tcPr>
          <w:p w14:paraId="3CC5F3B6">
            <w:pPr>
              <w:pStyle w:val="11"/>
              <w:rPr>
                <w:rFonts w:ascii="宋体" w:hAnsi="宋体" w:eastAsia="宋体" w:cs="宋体"/>
                <w:lang w:eastAsia="zh-CN"/>
              </w:rPr>
            </w:pPr>
          </w:p>
        </w:tc>
        <w:tc>
          <w:tcPr>
            <w:tcW w:w="1510" w:type="dxa"/>
          </w:tcPr>
          <w:p w14:paraId="3ECDB715">
            <w:pPr>
              <w:pStyle w:val="11"/>
              <w:rPr>
                <w:rFonts w:ascii="宋体" w:hAnsi="宋体" w:eastAsia="宋体" w:cs="宋体"/>
                <w:lang w:eastAsia="zh-CN"/>
              </w:rPr>
            </w:pPr>
          </w:p>
        </w:tc>
      </w:tr>
      <w:tr w14:paraId="7EE4C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871" w:type="dxa"/>
            <w:vAlign w:val="center"/>
          </w:tcPr>
          <w:p w14:paraId="46291B8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460" w:type="dxa"/>
          </w:tcPr>
          <w:p w14:paraId="208C722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八、售后服务要求</w:t>
            </w:r>
          </w:p>
          <w:p w14:paraId="539584A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所提供货物应为原厂生产或该品牌授权生产、销售的全新正品，其质量、规格、性能、品牌、有效期限等均需满足用户需求，无任何侵权行为，且必须符合国家及行业生产、经营标准，保证货真价实，并能提供相应合格证明资料。货物交付时，成交供应商应提供合同货物真实有效的生产日期，且保证生产日期距交付时间不超过6个月。</w:t>
            </w:r>
          </w:p>
          <w:p w14:paraId="3249D45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因成交供应商所供应货物质量问题导致采购人设备故障、人身伤害或发生严重事故的，由成交供应商负责更换，由此造成的一切损失及责任由成交供应商承担，同时采购人有权单方面终止合同，且履约保证金不予退还。</w:t>
            </w:r>
          </w:p>
          <w:p w14:paraId="0A8392E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质保期：当次所提供货物质保期自验收合格之日起计算，期限为一年。质保期内，成交供应商须提供货物“包退、包换、包修”的质量“三包”服务。货物如不符合国家有关质量技术标准、采购文件及合同参数要求，采购人有权拒收，成交供应商应无条件退换货物，退换期限为2个自然日，由此产生的一切费用由成交供应商承担，若造成采购人经济损失，采购人有权进行索赔。</w:t>
            </w:r>
          </w:p>
          <w:p w14:paraId="265C6A9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质保期内，成交供应商应提供24小时响应服务，并指定一名项目负责人，负责人须保证服务电话24小时畅通。成交供应商对采购人提出的质量异议须在1小时内予以响应并提出解决办法；货物因非人为因素出现损坏、变形等情况的，成交供应商应在接到通知后1小时内派遣专业人员上门服务，解决问题时限为到达现场后4小时内，确保按要求完成更换、送回等服务，保证货物合格率达到100%，并对造成的损失承担赔偿责任。若到场4小时后仍未能有效解决问题，成交供应商应向采购人书面说明原因并经采购人同意后，提供同档次或优于原参数的货物供采购人使用；未能及时完成修理或更换的，采购人有权自行购买更换，所支付费用从履约保证金中扣除。若因此造成采购人损失，由成交供应商承担赔偿责任。</w:t>
            </w:r>
          </w:p>
          <w:p w14:paraId="08EC527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5. 货物如不符合国家有关质量标准、进货渠道不正规，或经证实存在缺陷（包括潜在缺陷或使用不符合要求材料等），采购人有权要求成交供应商无条件退换货物，退换期限为2个自然日，由此产生的一切费用由成交供应商承担，并赔偿因此给采购人造成的经济损失。</w:t>
            </w:r>
          </w:p>
        </w:tc>
        <w:tc>
          <w:tcPr>
            <w:tcW w:w="1541" w:type="dxa"/>
          </w:tcPr>
          <w:p w14:paraId="0F06F75D">
            <w:pPr>
              <w:pStyle w:val="11"/>
              <w:rPr>
                <w:rFonts w:ascii="宋体" w:hAnsi="宋体" w:eastAsia="宋体" w:cs="宋体"/>
                <w:lang w:eastAsia="zh-CN"/>
              </w:rPr>
            </w:pPr>
          </w:p>
        </w:tc>
        <w:tc>
          <w:tcPr>
            <w:tcW w:w="1510" w:type="dxa"/>
          </w:tcPr>
          <w:p w14:paraId="1CE95EF2">
            <w:pPr>
              <w:pStyle w:val="11"/>
              <w:rPr>
                <w:rFonts w:ascii="宋体" w:hAnsi="宋体" w:eastAsia="宋体" w:cs="宋体"/>
                <w:lang w:eastAsia="zh-CN"/>
              </w:rPr>
            </w:pPr>
          </w:p>
        </w:tc>
      </w:tr>
      <w:tr w14:paraId="36038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871" w:type="dxa"/>
            <w:vAlign w:val="center"/>
          </w:tcPr>
          <w:p w14:paraId="652B5B5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460" w:type="dxa"/>
          </w:tcPr>
          <w:p w14:paraId="07A6247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★九、投标样品</w:t>
            </w:r>
          </w:p>
          <w:p w14:paraId="38877F5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投标人须于投标时提供下表所列成品作为样品，供评标委员会评审。若投标人未提供成品或样品存在缺失项，其投标将无法通过初步评审。</w:t>
            </w:r>
          </w:p>
          <w:tbl>
            <w:tblPr>
              <w:tblStyle w:val="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867"/>
              <w:gridCol w:w="902"/>
              <w:gridCol w:w="893"/>
              <w:gridCol w:w="869"/>
              <w:gridCol w:w="700"/>
            </w:tblGrid>
            <w:tr w14:paraId="20568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exact"/>
              </w:trPr>
              <w:tc>
                <w:tcPr>
                  <w:tcW w:w="17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A9E04">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商品名称</w:t>
                  </w:r>
                </w:p>
              </w:tc>
              <w:tc>
                <w:tcPr>
                  <w:tcW w:w="8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0CD2C">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规格型号</w:t>
                  </w:r>
                </w:p>
              </w:tc>
              <w:tc>
                <w:tcPr>
                  <w:tcW w:w="8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F01E3">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i w:val="0"/>
                      <w:iCs w:val="0"/>
                      <w:color w:val="000000"/>
                      <w:kern w:val="0"/>
                      <w:sz w:val="20"/>
                      <w:szCs w:val="20"/>
                      <w:highlight w:val="none"/>
                      <w:u w:val="none"/>
                      <w:lang w:val="en-US" w:eastAsia="zh-CN" w:bidi="ar"/>
                    </w:rPr>
                  </w:pPr>
                  <w:r>
                    <w:rPr>
                      <w:rFonts w:hint="eastAsia" w:ascii="宋体" w:hAnsi="宋体" w:eastAsia="宋体" w:cs="宋体"/>
                      <w:b/>
                      <w:bCs/>
                      <w:i w:val="0"/>
                      <w:iCs w:val="0"/>
                      <w:color w:val="000000"/>
                      <w:kern w:val="0"/>
                      <w:sz w:val="20"/>
                      <w:szCs w:val="20"/>
                      <w:highlight w:val="none"/>
                      <w:u w:val="none"/>
                      <w:lang w:val="en-US" w:eastAsia="zh-CN" w:bidi="ar"/>
                    </w:rPr>
                    <w:t>包装规格</w:t>
                  </w:r>
                </w:p>
                <w:p w14:paraId="32B26107">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（加单位）</w:t>
                  </w:r>
                </w:p>
              </w:tc>
              <w:tc>
                <w:tcPr>
                  <w:tcW w:w="8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042B4">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计价单位</w:t>
                  </w:r>
                </w:p>
              </w:tc>
              <w:tc>
                <w:tcPr>
                  <w:tcW w:w="6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C58DF">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提交数量</w:t>
                  </w:r>
                </w:p>
              </w:tc>
            </w:tr>
            <w:tr w14:paraId="4A425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exact"/>
              </w:trPr>
              <w:tc>
                <w:tcPr>
                  <w:tcW w:w="1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E2516">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背心胶袋</w:t>
                  </w:r>
                </w:p>
              </w:tc>
              <w:tc>
                <w:tcPr>
                  <w:tcW w:w="8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00AFA">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4383B">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bottom"/>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1*60扎</w:t>
                  </w:r>
                </w:p>
              </w:tc>
              <w:tc>
                <w:tcPr>
                  <w:tcW w:w="8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7213E">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扎</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14E54">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w:t>
                  </w:r>
                </w:p>
              </w:tc>
            </w:tr>
            <w:tr w14:paraId="75700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exact"/>
              </w:trPr>
              <w:tc>
                <w:tcPr>
                  <w:tcW w:w="1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33B60">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航空杯一次性杯</w:t>
                  </w:r>
                </w:p>
              </w:tc>
              <w:tc>
                <w:tcPr>
                  <w:tcW w:w="8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9486D">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170ml</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6000F">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bottom"/>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1*40条</w:t>
                  </w:r>
                </w:p>
              </w:tc>
              <w:tc>
                <w:tcPr>
                  <w:tcW w:w="8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E0A10">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8A82D">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w:t>
                  </w:r>
                </w:p>
              </w:tc>
            </w:tr>
            <w:tr w14:paraId="1C560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exact"/>
              </w:trPr>
              <w:tc>
                <w:tcPr>
                  <w:tcW w:w="1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C0EA6">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背心胶袋</w:t>
                  </w:r>
                </w:p>
              </w:tc>
              <w:tc>
                <w:tcPr>
                  <w:tcW w:w="8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8D4B2">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F076C">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bottom"/>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1*100扎</w:t>
                  </w:r>
                </w:p>
              </w:tc>
              <w:tc>
                <w:tcPr>
                  <w:tcW w:w="8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B1B7F">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扎</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337F8">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w:t>
                  </w:r>
                </w:p>
              </w:tc>
            </w:tr>
            <w:tr w14:paraId="41D00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exact"/>
              </w:trPr>
              <w:tc>
                <w:tcPr>
                  <w:tcW w:w="1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936F1">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卫生纸4层200g 卷纸</w:t>
                  </w:r>
                </w:p>
              </w:tc>
              <w:tc>
                <w:tcPr>
                  <w:tcW w:w="8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137E1">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200g*10卷</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A7211">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bottom"/>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1*6条</w:t>
                  </w:r>
                </w:p>
              </w:tc>
              <w:tc>
                <w:tcPr>
                  <w:tcW w:w="8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DDB6B">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0F355">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1</w:t>
                  </w:r>
                </w:p>
              </w:tc>
            </w:tr>
            <w:tr w14:paraId="59540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exact"/>
              </w:trPr>
              <w:tc>
                <w:tcPr>
                  <w:tcW w:w="1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763B8">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525ML 洗手液</w:t>
                  </w:r>
                </w:p>
              </w:tc>
              <w:tc>
                <w:tcPr>
                  <w:tcW w:w="8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C918E">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525ml</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CFD82">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bottom"/>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1*12支</w:t>
                  </w:r>
                </w:p>
              </w:tc>
              <w:tc>
                <w:tcPr>
                  <w:tcW w:w="8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EADCB">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9F34B">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w:t>
                  </w:r>
                </w:p>
              </w:tc>
            </w:tr>
            <w:tr w14:paraId="0988C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exact"/>
              </w:trPr>
              <w:tc>
                <w:tcPr>
                  <w:tcW w:w="1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3CD3C">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擦手纸（20包）</w:t>
                  </w:r>
                </w:p>
              </w:tc>
              <w:tc>
                <w:tcPr>
                  <w:tcW w:w="8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4948D">
                  <w:pPr>
                    <w:keepNext w:val="0"/>
                    <w:keepLines w:val="0"/>
                    <w:pageBreakBefore w:val="0"/>
                    <w:widowControl w:val="0"/>
                    <w:kinsoku/>
                    <w:wordWrap/>
                    <w:overflowPunct/>
                    <w:topLinePunct w:val="0"/>
                    <w:autoSpaceDE/>
                    <w:autoSpaceDN/>
                    <w:bidi w:val="0"/>
                    <w:adjustRightInd/>
                    <w:snapToGrid/>
                    <w:spacing w:line="280" w:lineRule="exact"/>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220mm*170mm</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47C5A">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bottom"/>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1*20包</w:t>
                  </w:r>
                </w:p>
              </w:tc>
              <w:tc>
                <w:tcPr>
                  <w:tcW w:w="8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5BEC5">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包</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C3E31">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w:t>
                  </w:r>
                </w:p>
              </w:tc>
            </w:tr>
            <w:tr w14:paraId="36CE4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exact"/>
              </w:trPr>
              <w:tc>
                <w:tcPr>
                  <w:tcW w:w="1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A8ECF">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电池</w:t>
                  </w:r>
                </w:p>
              </w:tc>
              <w:tc>
                <w:tcPr>
                  <w:tcW w:w="8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F5FFF">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17713">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bottom"/>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1*10排</w:t>
                  </w:r>
                </w:p>
              </w:tc>
              <w:tc>
                <w:tcPr>
                  <w:tcW w:w="8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5F3E5">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粒</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737E1">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10</w:t>
                  </w:r>
                </w:p>
              </w:tc>
            </w:tr>
            <w:tr w14:paraId="0750A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exact"/>
              </w:trPr>
              <w:tc>
                <w:tcPr>
                  <w:tcW w:w="1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C24F2">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500ML抑菌洗手液</w:t>
                  </w:r>
                </w:p>
              </w:tc>
              <w:tc>
                <w:tcPr>
                  <w:tcW w:w="8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5B20">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500ML</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8C968">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bottom"/>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1*30瓶</w:t>
                  </w:r>
                </w:p>
              </w:tc>
              <w:tc>
                <w:tcPr>
                  <w:tcW w:w="8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3C08A">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B057C">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w:t>
                  </w:r>
                </w:p>
              </w:tc>
            </w:tr>
            <w:tr w14:paraId="3678E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exact"/>
              </w:trPr>
              <w:tc>
                <w:tcPr>
                  <w:tcW w:w="1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CFB9A">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双面胶</w:t>
                  </w:r>
                </w:p>
              </w:tc>
              <w:tc>
                <w:tcPr>
                  <w:tcW w:w="8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CEC5F">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12MM</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172F7">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bottom"/>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1*24卷</w:t>
                  </w:r>
                </w:p>
              </w:tc>
              <w:tc>
                <w:tcPr>
                  <w:tcW w:w="8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199DB">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47F9C">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w:t>
                  </w:r>
                </w:p>
              </w:tc>
            </w:tr>
            <w:tr w14:paraId="23C81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exact"/>
              </w:trPr>
              <w:tc>
                <w:tcPr>
                  <w:tcW w:w="17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431C1">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白带子</w:t>
                  </w:r>
                </w:p>
              </w:tc>
              <w:tc>
                <w:tcPr>
                  <w:tcW w:w="8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6F7B0">
                  <w:pPr>
                    <w:keepNext w:val="0"/>
                    <w:keepLines w:val="0"/>
                    <w:pageBreakBefore w:val="0"/>
                    <w:widowControl w:val="0"/>
                    <w:kinsoku/>
                    <w:wordWrap/>
                    <w:overflowPunct/>
                    <w:topLinePunct w:val="0"/>
                    <w:autoSpaceDE/>
                    <w:autoSpaceDN/>
                    <w:bidi w:val="0"/>
                    <w:adjustRightInd/>
                    <w:snapToGrid/>
                    <w:spacing w:line="280" w:lineRule="exact"/>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1.5CM纯棉45米/盘</w:t>
                  </w:r>
                </w:p>
              </w:tc>
              <w:tc>
                <w:tcPr>
                  <w:tcW w:w="8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17927">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bottom"/>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1*16卷</w:t>
                  </w:r>
                </w:p>
              </w:tc>
              <w:tc>
                <w:tcPr>
                  <w:tcW w:w="8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2F7AC">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6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36620">
                  <w:pPr>
                    <w:keepNext w:val="0"/>
                    <w:keepLines w:val="0"/>
                    <w:pageBreakBefore w:val="0"/>
                    <w:widowControl w:val="0"/>
                    <w:suppressLineNumbers w:val="0"/>
                    <w:kinsoku/>
                    <w:wordWrap/>
                    <w:overflowPunct/>
                    <w:topLinePunct w:val="0"/>
                    <w:autoSpaceDE/>
                    <w:autoSpaceDN/>
                    <w:bidi w:val="0"/>
                    <w:adjustRightInd/>
                    <w:snapToGrid/>
                    <w:spacing w:line="280" w:lineRule="exact"/>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2</w:t>
                  </w:r>
                </w:p>
              </w:tc>
            </w:tr>
          </w:tbl>
          <w:p w14:paraId="4D45163D">
            <w:pPr>
              <w:keepNext w:val="0"/>
              <w:keepLines w:val="0"/>
              <w:pageBreakBefore w:val="0"/>
              <w:widowControl w:val="0"/>
              <w:kinsoku w:val="0"/>
              <w:wordWrap/>
              <w:overflowPunct/>
              <w:topLinePunct w:val="0"/>
              <w:autoSpaceDE w:val="0"/>
              <w:autoSpaceDN w:val="0"/>
              <w:bidi w:val="0"/>
              <w:adjustRightInd w:val="0"/>
              <w:snapToGrid w:val="0"/>
              <w:spacing w:before="0" w:beforeLines="20" w:line="240" w:lineRule="exact"/>
              <w:textAlignment w:val="baseline"/>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投标人须提供样品的合格证或质量检验报告原件复印件，否则其投标将作无效标处理。</w:t>
            </w:r>
            <w:bookmarkStart w:id="0" w:name="_GoBack"/>
            <w:bookmarkEnd w:id="0"/>
          </w:p>
          <w:p w14:paraId="368739A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样品须分开独立封装，封口处应加盖单位公章，样品外包装必须粘贴《投标样品包装箱封面》，内放置用A4纸打印的样品数据（含名称、品牌、材质、规格等信息）及实物样品。</w:t>
            </w:r>
          </w:p>
          <w:p w14:paraId="7C9BC63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投标样品递交时间：投标人应于本项目招标公告规定的投标截止时间前半小时开始递交，并在该截止时间前将投标样品送达指定递交地点，医院有权拒收逾期送达的投标样品。</w:t>
            </w:r>
          </w:p>
          <w:p w14:paraId="4274402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投标样品递交地点：中山市小榄镇兆隆路1号之二东升医院行政楼7楼采购办。</w:t>
            </w:r>
          </w:p>
          <w:p w14:paraId="7A528C0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招标任务完成后，中标人的样品由招标人单位封存，作为实物样品。招标人及招标代理机构对投标人所递交样品的破损或质量不承担任何责任。未中标的投标人应在本项目中标公告发布之日起5个工作日内自行到采购办取回投标样品；逾期未取回的，视为自动放弃样品所有权，采购办有权自行处置相关样品。</w:t>
            </w:r>
          </w:p>
        </w:tc>
        <w:tc>
          <w:tcPr>
            <w:tcW w:w="1541" w:type="dxa"/>
          </w:tcPr>
          <w:p w14:paraId="1CFCF2A1">
            <w:pPr>
              <w:pStyle w:val="11"/>
              <w:rPr>
                <w:rFonts w:ascii="宋体" w:hAnsi="宋体" w:eastAsia="宋体" w:cs="宋体"/>
                <w:lang w:eastAsia="zh-CN"/>
              </w:rPr>
            </w:pPr>
          </w:p>
        </w:tc>
        <w:tc>
          <w:tcPr>
            <w:tcW w:w="1510" w:type="dxa"/>
          </w:tcPr>
          <w:p w14:paraId="5E81E370">
            <w:pPr>
              <w:pStyle w:val="11"/>
              <w:rPr>
                <w:rFonts w:ascii="宋体" w:hAnsi="宋体" w:eastAsia="宋体" w:cs="宋体"/>
                <w:lang w:eastAsia="zh-CN"/>
              </w:rPr>
            </w:pPr>
          </w:p>
        </w:tc>
      </w:tr>
      <w:tr w14:paraId="2537A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871" w:type="dxa"/>
            <w:vAlign w:val="center"/>
          </w:tcPr>
          <w:p w14:paraId="35C3489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460" w:type="dxa"/>
          </w:tcPr>
          <w:p w14:paraId="68B22F7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十、付款方式</w:t>
            </w:r>
          </w:p>
          <w:p w14:paraId="5BF4786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签订合同后5个工作日内，成交供应商须向采购人缴纳合同总金额5%的履约保证金。该保证金在最后一批货物送货验收合格后一个月内一次性无息退还。</w:t>
            </w:r>
          </w:p>
          <w:p w14:paraId="3450722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（1）若发生违约事项，采购人将根据约定条款进行扣款，剩余款项无息退还。</w:t>
            </w:r>
          </w:p>
          <w:p w14:paraId="76BD830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（2）若逾期未缴交履约保证金，每逾期一天，成交供应商应按履约保证金金额的5‰向采购人支付违约金。</w:t>
            </w:r>
          </w:p>
          <w:p w14:paraId="3474E6F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合同签订后，供货期内采购人可依据实际使用需求分批次要求成交供应商供货。合同无预付款，每批次订货亦无预付款。</w:t>
            </w:r>
          </w:p>
          <w:p w14:paraId="3319292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按月结算。成交供应商接到采购人的下单通知后，应按要求的品种及数量提供货物，经双方确认验收合格后，成交供应商开具该月所供货物的有效全额增值税普通发票（含税），采购人在收到发票并审核无误后60个工作日内支付货款给成交供应商。</w:t>
            </w:r>
          </w:p>
          <w:p w14:paraId="6A5BB1C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特别说明：合同约定的付款期限须遵守《保障中小企业款项支付条例》的规定。若成交供应商为中小企业，付款期限最长不超过60日。</w:t>
            </w:r>
          </w:p>
          <w:p w14:paraId="057EE80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成交供应商须开具与响应文件中报价人名称、响应报价一致的有效全额增值税普通发票。</w:t>
            </w:r>
          </w:p>
        </w:tc>
        <w:tc>
          <w:tcPr>
            <w:tcW w:w="1541" w:type="dxa"/>
          </w:tcPr>
          <w:p w14:paraId="7D075FF8">
            <w:pPr>
              <w:pStyle w:val="11"/>
              <w:rPr>
                <w:rFonts w:ascii="宋体" w:hAnsi="宋体" w:eastAsia="宋体" w:cs="宋体"/>
                <w:lang w:eastAsia="zh-CN"/>
              </w:rPr>
            </w:pPr>
          </w:p>
        </w:tc>
        <w:tc>
          <w:tcPr>
            <w:tcW w:w="1510" w:type="dxa"/>
          </w:tcPr>
          <w:p w14:paraId="686D7884">
            <w:pPr>
              <w:pStyle w:val="11"/>
              <w:rPr>
                <w:rFonts w:ascii="宋体" w:hAnsi="宋体" w:eastAsia="宋体" w:cs="宋体"/>
                <w:lang w:eastAsia="zh-CN"/>
              </w:rPr>
            </w:pPr>
          </w:p>
        </w:tc>
      </w:tr>
      <w:tr w14:paraId="2E720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871" w:type="dxa"/>
            <w:vAlign w:val="center"/>
          </w:tcPr>
          <w:p w14:paraId="3FBE6087">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11</w:t>
            </w:r>
          </w:p>
        </w:tc>
        <w:tc>
          <w:tcPr>
            <w:tcW w:w="5460" w:type="dxa"/>
          </w:tcPr>
          <w:p w14:paraId="375EBED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十一、违约责任</w:t>
            </w:r>
          </w:p>
          <w:p w14:paraId="6B8B6E8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采购人应在合同规定时间内按合同执行进度向成交供应商支付货款，逾期支付的，应按合同订立时全国银行间同业拆借中心公布的一年期贷款市场报价利率向成交供应商支付违约金。</w:t>
            </w:r>
          </w:p>
          <w:p w14:paraId="25CE49E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成交供应商未能按时交货，或未能在交货之日起10个自然日内提供该项目验收所需的合法有效文件，每逾期一天，须向采购人支付合同金额5‰的违约金。若逾期达10个自然日，经采购人书面通知后仍未履行的，视为成交供应商不能交货，应按合同总价的30%支付违约金，同时采购人有权单方面解除合同且不予退还履约保证金。若上述违约金及履约保证金不足以补偿采购人因成交供应商违约造成的损失，采购人有权进一步索赔。</w:t>
            </w:r>
          </w:p>
          <w:p w14:paraId="45D94643">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成交供应商交付的货物不符合合同规定的，采购人有权拒收，成交供应商应向采购人支付合同总价20％的违约金。</w:t>
            </w:r>
          </w:p>
          <w:p w14:paraId="0E901E13">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 采购人无正当理由拒收货物的，应向成交供应商支付当次送货金额5‰的违约金。</w:t>
            </w:r>
          </w:p>
          <w:p w14:paraId="4F5050B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 货物在保质期内如无法提供质保服务，成交供应商应承担采购人因此产生的一切更换费用及其他损失。</w:t>
            </w:r>
          </w:p>
          <w:p w14:paraId="2E20DE0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6. 所有货物在使用过程中若发现以次充好或使用假冒伪劣产品的，成交供应商须无条件更换货物并按假一赔三进行赔偿。若此类情况发生2次及以上，履约保证金不予退还，采购人有权单方终止合同。</w:t>
            </w:r>
          </w:p>
          <w:p w14:paraId="062E8DB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7. 若成交供应商提供的货物发生知识产权纠纷，由成交供应商负责与原知识产权所有者协商解决，采购人不承担相关的任何经济和法律责任。</w:t>
            </w:r>
          </w:p>
          <w:p w14:paraId="2BC8B69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8. 因成交供应商原因导致采购人货物无法按时正常使用的，成交供应商应承担支付合同总价20％的违约金，若该违约金不足以弥补采购人所受损失，违约方需另行补足差额。</w:t>
            </w:r>
          </w:p>
          <w:p w14:paraId="28906DE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9. 双方对于本项目相关内容（包括涉及本项目的各类通知及函电）负有严格的保密义务，未经一方书面同意或授权，任何一方在任何情况下均不得以任何形式、任何理由向第三方泄露，否则应赔偿对方因此遭受的全部损失。</w:t>
            </w:r>
          </w:p>
          <w:p w14:paraId="4A003A2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10. 违约行为给守约方造成损失的，守约方有权通过必要途径或方式进行追索，由此产生的费用由违约方承担，具体涵盖但不限于律师费、查档费、鉴定费、公证费、交通费、诉讼费、财产保全责任保险费等。</w:t>
            </w:r>
          </w:p>
          <w:p w14:paraId="3348D97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11. 其他未尽违约责任事宜，依照《中华人民共和国民法典》相关规定处理。</w:t>
            </w:r>
          </w:p>
        </w:tc>
        <w:tc>
          <w:tcPr>
            <w:tcW w:w="1541" w:type="dxa"/>
          </w:tcPr>
          <w:p w14:paraId="1B8D985F">
            <w:pPr>
              <w:pStyle w:val="11"/>
              <w:rPr>
                <w:rFonts w:ascii="宋体" w:hAnsi="宋体" w:eastAsia="宋体" w:cs="宋体"/>
                <w:lang w:eastAsia="zh-CN"/>
              </w:rPr>
            </w:pPr>
          </w:p>
        </w:tc>
        <w:tc>
          <w:tcPr>
            <w:tcW w:w="1510" w:type="dxa"/>
          </w:tcPr>
          <w:p w14:paraId="688F0AC4">
            <w:pPr>
              <w:pStyle w:val="11"/>
              <w:rPr>
                <w:rFonts w:ascii="宋体" w:hAnsi="宋体" w:eastAsia="宋体" w:cs="宋体"/>
                <w:lang w:eastAsia="zh-CN"/>
              </w:rPr>
            </w:pPr>
          </w:p>
        </w:tc>
      </w:tr>
      <w:tr w14:paraId="2C51AD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871" w:type="dxa"/>
            <w:vAlign w:val="center"/>
          </w:tcPr>
          <w:p w14:paraId="2CD25E01">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12</w:t>
            </w:r>
          </w:p>
        </w:tc>
        <w:tc>
          <w:tcPr>
            <w:tcW w:w="5460" w:type="dxa"/>
          </w:tcPr>
          <w:p w14:paraId="618F796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十二、评审方式</w:t>
            </w:r>
          </w:p>
          <w:p w14:paraId="6EEE428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本项目的评审采用综合评分法，最低价不是唯一评定标准（评分标准详见附件三 中山市东升医院办公及生活用品协议供货项目评分表）。先进行资格符合性评审，再进行商务、技术及价格的详细评审(商务技术评分：70分，价格评分：30分)。</w:t>
            </w:r>
          </w:p>
        </w:tc>
        <w:tc>
          <w:tcPr>
            <w:tcW w:w="1541" w:type="dxa"/>
          </w:tcPr>
          <w:p w14:paraId="4514532B">
            <w:pPr>
              <w:pStyle w:val="11"/>
              <w:rPr>
                <w:rFonts w:ascii="宋体" w:hAnsi="宋体" w:eastAsia="宋体" w:cs="宋体"/>
                <w:lang w:eastAsia="zh-CN"/>
              </w:rPr>
            </w:pPr>
          </w:p>
        </w:tc>
        <w:tc>
          <w:tcPr>
            <w:tcW w:w="1510" w:type="dxa"/>
          </w:tcPr>
          <w:p w14:paraId="4616B146">
            <w:pPr>
              <w:pStyle w:val="11"/>
              <w:rPr>
                <w:rFonts w:ascii="宋体" w:hAnsi="宋体" w:eastAsia="宋体" w:cs="宋体"/>
                <w:lang w:eastAsia="zh-CN"/>
              </w:rPr>
            </w:pPr>
          </w:p>
        </w:tc>
      </w:tr>
    </w:tbl>
    <w:p w14:paraId="626B4607">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ascii="宋体" w:hAnsi="宋体" w:eastAsia="宋体" w:cs="宋体"/>
          <w:b/>
          <w:bCs/>
          <w:spacing w:val="5"/>
          <w:sz w:val="20"/>
          <w:szCs w:val="20"/>
          <w:lang w:eastAsia="zh-CN"/>
        </w:rPr>
        <w:t>十</w:t>
      </w:r>
      <w:r>
        <w:rPr>
          <w:rFonts w:hint="eastAsia" w:ascii="宋体" w:hAnsi="宋体" w:eastAsia="宋体" w:cs="宋体"/>
          <w:b/>
          <w:bCs/>
          <w:spacing w:val="5"/>
          <w:sz w:val="20"/>
          <w:szCs w:val="20"/>
          <w:lang w:val="en-US" w:eastAsia="zh-CN"/>
        </w:rPr>
        <w:t>三</w:t>
      </w:r>
      <w:r>
        <w:rPr>
          <w:rFonts w:ascii="宋体" w:hAnsi="宋体" w:eastAsia="宋体" w:cs="宋体"/>
          <w:b/>
          <w:bCs/>
          <w:spacing w:val="5"/>
          <w:sz w:val="20"/>
          <w:szCs w:val="20"/>
          <w:lang w:eastAsia="zh-CN"/>
        </w:rPr>
        <w:t>、</w:t>
      </w:r>
      <w:r>
        <w:rPr>
          <w:rFonts w:hint="eastAsia" w:ascii="宋体" w:hAnsi="宋体" w:eastAsia="宋体" w:cs="宋体"/>
          <w:b/>
          <w:bCs/>
          <w:spacing w:val="5"/>
          <w:sz w:val="20"/>
          <w:szCs w:val="20"/>
          <w:lang w:val="en-US" w:eastAsia="zh-CN"/>
        </w:rPr>
        <w:t>近三年同类规模业绩相关证明文件</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0"/>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1"/>
            </w:pPr>
          </w:p>
        </w:tc>
        <w:tc>
          <w:tcPr>
            <w:tcW w:w="1854" w:type="dxa"/>
          </w:tcPr>
          <w:p w14:paraId="43601105">
            <w:pPr>
              <w:pStyle w:val="11"/>
            </w:pPr>
          </w:p>
        </w:tc>
        <w:tc>
          <w:tcPr>
            <w:tcW w:w="1986" w:type="dxa"/>
          </w:tcPr>
          <w:p w14:paraId="6311272B">
            <w:pPr>
              <w:pStyle w:val="11"/>
            </w:pPr>
          </w:p>
        </w:tc>
        <w:tc>
          <w:tcPr>
            <w:tcW w:w="1722" w:type="dxa"/>
          </w:tcPr>
          <w:p w14:paraId="3768DC7F">
            <w:pPr>
              <w:pStyle w:val="11"/>
            </w:pPr>
          </w:p>
        </w:tc>
        <w:tc>
          <w:tcPr>
            <w:tcW w:w="1191" w:type="dxa"/>
          </w:tcPr>
          <w:p w14:paraId="2305DC57">
            <w:pPr>
              <w:pStyle w:val="11"/>
            </w:pPr>
          </w:p>
        </w:tc>
        <w:tc>
          <w:tcPr>
            <w:tcW w:w="1471" w:type="dxa"/>
            <w:tcBorders>
              <w:right w:val="single" w:color="000000" w:sz="2" w:space="0"/>
            </w:tcBorders>
          </w:tcPr>
          <w:p w14:paraId="1DC4DC5D">
            <w:pPr>
              <w:pStyle w:val="11"/>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1"/>
            </w:pPr>
          </w:p>
        </w:tc>
        <w:tc>
          <w:tcPr>
            <w:tcW w:w="1854" w:type="dxa"/>
          </w:tcPr>
          <w:p w14:paraId="26C3F9DC">
            <w:pPr>
              <w:pStyle w:val="11"/>
            </w:pPr>
          </w:p>
        </w:tc>
        <w:tc>
          <w:tcPr>
            <w:tcW w:w="1986" w:type="dxa"/>
          </w:tcPr>
          <w:p w14:paraId="0C8FC5A6">
            <w:pPr>
              <w:pStyle w:val="11"/>
            </w:pPr>
          </w:p>
        </w:tc>
        <w:tc>
          <w:tcPr>
            <w:tcW w:w="1722" w:type="dxa"/>
          </w:tcPr>
          <w:p w14:paraId="036176B2">
            <w:pPr>
              <w:pStyle w:val="11"/>
            </w:pPr>
          </w:p>
        </w:tc>
        <w:tc>
          <w:tcPr>
            <w:tcW w:w="1191" w:type="dxa"/>
          </w:tcPr>
          <w:p w14:paraId="69BDA775">
            <w:pPr>
              <w:pStyle w:val="11"/>
            </w:pPr>
          </w:p>
        </w:tc>
        <w:tc>
          <w:tcPr>
            <w:tcW w:w="1471" w:type="dxa"/>
            <w:tcBorders>
              <w:right w:val="single" w:color="000000" w:sz="2" w:space="0"/>
            </w:tcBorders>
          </w:tcPr>
          <w:p w14:paraId="74EE419A">
            <w:pPr>
              <w:pStyle w:val="11"/>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1"/>
            </w:pPr>
          </w:p>
        </w:tc>
        <w:tc>
          <w:tcPr>
            <w:tcW w:w="1854" w:type="dxa"/>
            <w:tcBorders>
              <w:bottom w:val="single" w:color="000000" w:sz="2" w:space="0"/>
            </w:tcBorders>
          </w:tcPr>
          <w:p w14:paraId="40B04108">
            <w:pPr>
              <w:pStyle w:val="11"/>
            </w:pPr>
          </w:p>
        </w:tc>
        <w:tc>
          <w:tcPr>
            <w:tcW w:w="1986" w:type="dxa"/>
            <w:tcBorders>
              <w:bottom w:val="single" w:color="000000" w:sz="2" w:space="0"/>
            </w:tcBorders>
          </w:tcPr>
          <w:p w14:paraId="4C40CFD8">
            <w:pPr>
              <w:pStyle w:val="11"/>
            </w:pPr>
          </w:p>
        </w:tc>
        <w:tc>
          <w:tcPr>
            <w:tcW w:w="1722" w:type="dxa"/>
            <w:tcBorders>
              <w:bottom w:val="single" w:color="000000" w:sz="2" w:space="0"/>
            </w:tcBorders>
          </w:tcPr>
          <w:p w14:paraId="4F595AE5">
            <w:pPr>
              <w:pStyle w:val="11"/>
            </w:pPr>
          </w:p>
        </w:tc>
        <w:tc>
          <w:tcPr>
            <w:tcW w:w="1191" w:type="dxa"/>
            <w:tcBorders>
              <w:bottom w:val="single" w:color="000000" w:sz="2" w:space="0"/>
            </w:tcBorders>
          </w:tcPr>
          <w:p w14:paraId="7692FA63">
            <w:pPr>
              <w:pStyle w:val="11"/>
            </w:pPr>
          </w:p>
        </w:tc>
        <w:tc>
          <w:tcPr>
            <w:tcW w:w="1471" w:type="dxa"/>
            <w:tcBorders>
              <w:bottom w:val="single" w:color="000000" w:sz="2" w:space="0"/>
              <w:right w:val="single" w:color="000000" w:sz="2" w:space="0"/>
            </w:tcBorders>
          </w:tcPr>
          <w:p w14:paraId="48AC055B">
            <w:pPr>
              <w:pStyle w:val="11"/>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7D41CDD9">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人员配置清单（格式自拟）【为证明拟投入人员为供应商员工，供应商需要提供为其购买社保证明（开标当天前三个月内的任意一个月）复印件，若供应商成立时间不足1个月的应提供《社保声明函》（格式自拟）代替社保证明（成立时间以营业执照注册时间为准）。】</w:t>
      </w:r>
    </w:p>
    <w:p w14:paraId="70FC09FE">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69D3EEE6">
      <w:pPr>
        <w:spacing w:before="41"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十五、服务便利性承诺书（格式自拟）</w:t>
      </w:r>
    </w:p>
    <w:p w14:paraId="2345DAAF">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37C98485">
      <w:pPr>
        <w:spacing w:before="41" w:line="227" w:lineRule="auto"/>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十六</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eastAsia="zh-CN"/>
        </w:rPr>
        <w:t>，包括但不限于配送、售后服务、应急服务方案、服务质量保障措施。</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十七</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LT Pro">
    <w:altName w:val="Yu Gothic UI"/>
    <w:panose1 w:val="020B0504020202020204"/>
    <w:charset w:val="00"/>
    <w:family w:val="auto"/>
    <w:pitch w:val="default"/>
    <w:sig w:usb0="00000000" w:usb1="00000000" w:usb2="00000000" w:usb3="00000000" w:csb0="20000097" w:csb1="00000000"/>
  </w:font>
  <w:font w:name="Yu Gothic UI">
    <w:panose1 w:val="020B05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E26336"/>
    <w:rsid w:val="05D250F6"/>
    <w:rsid w:val="06984FFC"/>
    <w:rsid w:val="07D772C8"/>
    <w:rsid w:val="07DE22A7"/>
    <w:rsid w:val="0A1B60BD"/>
    <w:rsid w:val="0A382368"/>
    <w:rsid w:val="0E881903"/>
    <w:rsid w:val="0E9C78E3"/>
    <w:rsid w:val="126C008B"/>
    <w:rsid w:val="13666B31"/>
    <w:rsid w:val="16DD5993"/>
    <w:rsid w:val="18C80C4B"/>
    <w:rsid w:val="1E9D0594"/>
    <w:rsid w:val="1EA21FDF"/>
    <w:rsid w:val="1EDF5020"/>
    <w:rsid w:val="20607AD1"/>
    <w:rsid w:val="20BE2A44"/>
    <w:rsid w:val="220611C3"/>
    <w:rsid w:val="22732647"/>
    <w:rsid w:val="231E7145"/>
    <w:rsid w:val="23487B36"/>
    <w:rsid w:val="2695736E"/>
    <w:rsid w:val="26B446CD"/>
    <w:rsid w:val="281105FD"/>
    <w:rsid w:val="28580DF7"/>
    <w:rsid w:val="36073C0B"/>
    <w:rsid w:val="3B082DE1"/>
    <w:rsid w:val="3EB26D88"/>
    <w:rsid w:val="3F7B64B3"/>
    <w:rsid w:val="40671DCB"/>
    <w:rsid w:val="40C03509"/>
    <w:rsid w:val="433379C8"/>
    <w:rsid w:val="45D45685"/>
    <w:rsid w:val="45F428E0"/>
    <w:rsid w:val="48993DFC"/>
    <w:rsid w:val="4A4831FA"/>
    <w:rsid w:val="4C030C69"/>
    <w:rsid w:val="50573AD2"/>
    <w:rsid w:val="5178029F"/>
    <w:rsid w:val="54B97F1A"/>
    <w:rsid w:val="556A1102"/>
    <w:rsid w:val="561F7C12"/>
    <w:rsid w:val="5774562F"/>
    <w:rsid w:val="58514D81"/>
    <w:rsid w:val="5E5E5F4E"/>
    <w:rsid w:val="69CE3A78"/>
    <w:rsid w:val="6DC8099B"/>
    <w:rsid w:val="6E4C5FF1"/>
    <w:rsid w:val="72507210"/>
    <w:rsid w:val="726C3C18"/>
    <w:rsid w:val="73052C46"/>
    <w:rsid w:val="73252077"/>
    <w:rsid w:val="7372318C"/>
    <w:rsid w:val="75E87F4B"/>
    <w:rsid w:val="790F76AC"/>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semiHidden/>
    <w:qFormat/>
    <w:uiPriority w:val="0"/>
  </w:style>
  <w:style w:type="paragraph" w:styleId="4">
    <w:name w:val="Body Text Indent 2"/>
    <w:basedOn w:val="1"/>
    <w:link w:val="12"/>
    <w:qFormat/>
    <w:uiPriority w:val="0"/>
    <w:pPr>
      <w:spacing w:after="120" w:line="480" w:lineRule="auto"/>
      <w:ind w:left="420" w:leftChars="200"/>
    </w:pPr>
    <w:rPr>
      <w:szCs w:val="20"/>
    </w:rPr>
  </w:style>
  <w:style w:type="paragraph" w:styleId="5">
    <w:name w:val="Normal (Web)"/>
    <w:basedOn w:val="1"/>
    <w:qFormat/>
    <w:uiPriority w:val="0"/>
    <w:pPr>
      <w:spacing w:before="100" w:beforeAutospacing="1" w:after="100" w:afterAutospacing="1"/>
    </w:pPr>
    <w:rPr>
      <w:rFonts w:cs="Times New Roman"/>
      <w:sz w:val="24"/>
      <w:lang w:eastAsia="zh-CN"/>
    </w:rPr>
  </w:style>
  <w:style w:type="character" w:styleId="8">
    <w:name w:val="Strong"/>
    <w:basedOn w:val="7"/>
    <w:qFormat/>
    <w:uiPriority w:val="0"/>
    <w:rPr>
      <w:b/>
    </w:rPr>
  </w:style>
  <w:style w:type="paragraph" w:customStyle="1" w:styleId="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4"/>
    <w:autoRedefine/>
    <w:qFormat/>
    <w:uiPriority w:val="0"/>
    <w:rPr>
      <w:szCs w:val="20"/>
    </w:rPr>
  </w:style>
  <w:style w:type="character" w:customStyle="1" w:styleId="13">
    <w:name w:val="font11"/>
    <w:basedOn w:val="7"/>
    <w:autoRedefine/>
    <w:qFormat/>
    <w:uiPriority w:val="0"/>
    <w:rPr>
      <w:rFonts w:hint="eastAsia" w:ascii="宋体" w:hAnsi="宋体" w:eastAsia="宋体" w:cs="宋体"/>
      <w:color w:val="000000"/>
      <w:sz w:val="22"/>
      <w:szCs w:val="22"/>
      <w:u w:val="single"/>
    </w:rPr>
  </w:style>
  <w:style w:type="character" w:customStyle="1" w:styleId="14">
    <w:name w:val="font31"/>
    <w:basedOn w:val="7"/>
    <w:qFormat/>
    <w:uiPriority w:val="0"/>
    <w:rPr>
      <w:rFonts w:hint="eastAsia" w:ascii="宋体" w:hAnsi="宋体" w:eastAsia="宋体" w:cs="宋体"/>
      <w:color w:val="000000"/>
      <w:sz w:val="21"/>
      <w:szCs w:val="21"/>
      <w:u w:val="none"/>
    </w:rPr>
  </w:style>
  <w:style w:type="paragraph" w:styleId="15">
    <w:name w:val="List Paragraph"/>
    <w:basedOn w:val="1"/>
    <w:qFormat/>
    <w:uiPriority w:val="34"/>
    <w:pPr>
      <w:widowControl/>
      <w:ind w:firstLine="420" w:firstLineChars="200"/>
      <w:jc w:val="left"/>
    </w:pPr>
    <w:rPr>
      <w:kern w:val="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24</Pages>
  <Words>3251</Words>
  <Characters>3378</Characters>
  <Lines>55</Lines>
  <Paragraphs>15</Paragraphs>
  <TotalTime>0</TotalTime>
  <ScaleCrop>false</ScaleCrop>
  <LinksUpToDate>false</LinksUpToDate>
  <CharactersWithSpaces>3771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2026-05-25T03:55:49Z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82EF3B5B713A461EAD7CC1D03AFF31E6_13</vt:lpwstr>
  </property>
  <property fmtid="{D5CDD505-2E9C-101B-9397-08002B2CF9AE}" pid="4" name="KSOTemplateDocerSaveRecord">
    <vt:lpwstr>eyJoZGlkIjoiZjMxODI1ZDk1NTM3ZThjZDIyMDM0N2Q4Njc3ODMwMjMiLCJ1c2VySWQiOiIyNjI5MDY5MzEifQ==</vt:lpwstr>
  </property>
</Properties>
</file>