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61EA706F">
      <w:pPr>
        <w:spacing w:before="153" w:line="295" w:lineRule="auto"/>
        <w:ind w:right="191"/>
        <w:jc w:val="center"/>
        <w:outlineLvl w:val="0"/>
        <w:rPr>
          <w:rFonts w:ascii="宋体" w:hAnsi="宋体" w:eastAsia="宋体" w:cs="宋体"/>
          <w:sz w:val="47"/>
          <w:szCs w:val="47"/>
          <w:lang w:eastAsia="zh-CN"/>
        </w:rPr>
      </w:pPr>
      <w:r>
        <w:rPr>
          <w:rFonts w:hint="eastAsia" w:ascii="宋体" w:hAnsi="宋体" w:eastAsia="宋体" w:cs="宋体"/>
          <w:b/>
          <w:bCs/>
          <w:spacing w:val="-1"/>
          <w:sz w:val="47"/>
          <w:szCs w:val="47"/>
          <w:lang w:val="en-US" w:eastAsia="zh-CN"/>
        </w:rPr>
        <w:t>中山市东升医院坦背院区板房拆除及处置服务项目（三次）</w:t>
      </w:r>
      <w:r>
        <w:rPr>
          <w:rFonts w:ascii="宋体" w:hAnsi="宋体" w:eastAsia="宋体" w:cs="宋体"/>
          <w:b/>
          <w:bCs/>
          <w:spacing w:val="4"/>
          <w:sz w:val="47"/>
          <w:szCs w:val="47"/>
          <w:lang w:eastAsia="zh-CN"/>
        </w:rPr>
        <w:t>响应文件</w:t>
      </w:r>
    </w:p>
    <w:p w14:paraId="338CD2FE">
      <w:pPr>
        <w:pStyle w:val="3"/>
        <w:spacing w:line="247" w:lineRule="auto"/>
        <w:rPr>
          <w:lang w:eastAsia="zh-CN"/>
        </w:rPr>
      </w:pPr>
    </w:p>
    <w:p w14:paraId="1073FC52">
      <w:pPr>
        <w:pStyle w:val="3"/>
        <w:spacing w:line="247" w:lineRule="auto"/>
        <w:rPr>
          <w:lang w:eastAsia="zh-CN"/>
        </w:rPr>
      </w:pPr>
    </w:p>
    <w:p w14:paraId="76DBF516">
      <w:pPr>
        <w:pStyle w:val="3"/>
        <w:spacing w:line="247" w:lineRule="auto"/>
        <w:rPr>
          <w:lang w:eastAsia="zh-CN"/>
        </w:rPr>
      </w:pPr>
    </w:p>
    <w:p w14:paraId="7E46F770">
      <w:pPr>
        <w:pStyle w:val="3"/>
        <w:spacing w:line="247" w:lineRule="auto"/>
        <w:rPr>
          <w:lang w:eastAsia="zh-CN"/>
        </w:rPr>
      </w:pPr>
    </w:p>
    <w:p w14:paraId="769B815E">
      <w:pPr>
        <w:pStyle w:val="3"/>
        <w:spacing w:line="247" w:lineRule="auto"/>
        <w:rPr>
          <w:lang w:eastAsia="zh-CN"/>
        </w:rPr>
      </w:pPr>
    </w:p>
    <w:p w14:paraId="7B529BE3">
      <w:pPr>
        <w:pStyle w:val="3"/>
        <w:spacing w:line="247" w:lineRule="auto"/>
        <w:rPr>
          <w:lang w:eastAsia="zh-CN"/>
        </w:rPr>
      </w:pPr>
    </w:p>
    <w:p w14:paraId="16208457">
      <w:pPr>
        <w:pStyle w:val="3"/>
        <w:spacing w:line="247" w:lineRule="auto"/>
        <w:rPr>
          <w:lang w:eastAsia="zh-CN"/>
        </w:rPr>
      </w:pPr>
    </w:p>
    <w:p w14:paraId="5723285D">
      <w:pPr>
        <w:pStyle w:val="3"/>
        <w:spacing w:line="248" w:lineRule="auto"/>
        <w:rPr>
          <w:lang w:eastAsia="zh-CN"/>
        </w:rPr>
      </w:pPr>
    </w:p>
    <w:p w14:paraId="37C9723C">
      <w:pPr>
        <w:pStyle w:val="3"/>
        <w:spacing w:line="248" w:lineRule="auto"/>
        <w:rPr>
          <w:lang w:eastAsia="zh-CN"/>
        </w:rPr>
      </w:pPr>
    </w:p>
    <w:p w14:paraId="58D11985">
      <w:pPr>
        <w:pStyle w:val="3"/>
        <w:spacing w:line="248" w:lineRule="auto"/>
        <w:rPr>
          <w:lang w:eastAsia="zh-CN"/>
        </w:rPr>
      </w:pPr>
    </w:p>
    <w:p w14:paraId="5E2B3D32">
      <w:pPr>
        <w:pStyle w:val="3"/>
        <w:spacing w:line="248" w:lineRule="auto"/>
        <w:rPr>
          <w:lang w:eastAsia="zh-CN"/>
        </w:rPr>
      </w:pPr>
    </w:p>
    <w:p w14:paraId="7F891FFF">
      <w:pPr>
        <w:pStyle w:val="3"/>
        <w:spacing w:line="248" w:lineRule="auto"/>
        <w:rPr>
          <w:lang w:eastAsia="zh-CN"/>
        </w:rPr>
      </w:pPr>
    </w:p>
    <w:p w14:paraId="2B03D7A3">
      <w:pPr>
        <w:pStyle w:val="3"/>
        <w:spacing w:line="248" w:lineRule="auto"/>
        <w:rPr>
          <w:lang w:eastAsia="zh-CN"/>
        </w:rPr>
      </w:pPr>
    </w:p>
    <w:p w14:paraId="21F1022D">
      <w:pPr>
        <w:pStyle w:val="3"/>
        <w:spacing w:line="248" w:lineRule="auto"/>
        <w:rPr>
          <w:lang w:eastAsia="zh-CN"/>
        </w:rPr>
      </w:pPr>
    </w:p>
    <w:p w14:paraId="2F827075">
      <w:pPr>
        <w:pStyle w:val="3"/>
        <w:spacing w:line="248" w:lineRule="auto"/>
        <w:rPr>
          <w:lang w:eastAsia="zh-CN"/>
        </w:rPr>
      </w:pPr>
    </w:p>
    <w:p w14:paraId="0713AC1F">
      <w:pPr>
        <w:pStyle w:val="3"/>
        <w:spacing w:line="248" w:lineRule="auto"/>
        <w:rPr>
          <w:lang w:eastAsia="zh-CN"/>
        </w:rPr>
      </w:pPr>
    </w:p>
    <w:p w14:paraId="7F42F37A">
      <w:pPr>
        <w:pStyle w:val="3"/>
        <w:spacing w:line="248" w:lineRule="auto"/>
        <w:rPr>
          <w:lang w:eastAsia="zh-CN"/>
        </w:rPr>
      </w:pPr>
    </w:p>
    <w:p w14:paraId="514364A2">
      <w:pPr>
        <w:pStyle w:val="3"/>
        <w:spacing w:line="248" w:lineRule="auto"/>
        <w:rPr>
          <w:lang w:eastAsia="zh-CN"/>
        </w:rPr>
      </w:pPr>
    </w:p>
    <w:p w14:paraId="1626D0EF">
      <w:pPr>
        <w:pStyle w:val="3"/>
        <w:spacing w:line="248" w:lineRule="auto"/>
        <w:rPr>
          <w:lang w:eastAsia="zh-CN"/>
        </w:rPr>
      </w:pPr>
    </w:p>
    <w:p w14:paraId="45CE5823">
      <w:pPr>
        <w:pStyle w:val="3"/>
        <w:spacing w:line="248" w:lineRule="auto"/>
        <w:rPr>
          <w:lang w:eastAsia="zh-CN"/>
        </w:rPr>
      </w:pPr>
    </w:p>
    <w:p w14:paraId="3F3159DE">
      <w:pPr>
        <w:pStyle w:val="3"/>
        <w:spacing w:line="248" w:lineRule="auto"/>
        <w:rPr>
          <w:lang w:eastAsia="zh-CN"/>
        </w:rPr>
      </w:pPr>
    </w:p>
    <w:p w14:paraId="16776187">
      <w:pPr>
        <w:pStyle w:val="3"/>
        <w:spacing w:line="248" w:lineRule="auto"/>
        <w:rPr>
          <w:lang w:eastAsia="zh-CN"/>
        </w:rPr>
      </w:pPr>
    </w:p>
    <w:p w14:paraId="17459F8B">
      <w:pPr>
        <w:pStyle w:val="3"/>
        <w:spacing w:line="248" w:lineRule="auto"/>
        <w:rPr>
          <w:lang w:eastAsia="zh-CN"/>
        </w:rPr>
      </w:pPr>
    </w:p>
    <w:p w14:paraId="7464C756">
      <w:pPr>
        <w:pStyle w:val="3"/>
        <w:spacing w:line="248" w:lineRule="auto"/>
        <w:rPr>
          <w:lang w:eastAsia="zh-CN"/>
        </w:rPr>
      </w:pPr>
    </w:p>
    <w:p w14:paraId="3BD43258">
      <w:pPr>
        <w:spacing w:before="78" w:line="219" w:lineRule="auto"/>
        <w:ind w:firstLine="828" w:firstLineChars="300"/>
        <w:outlineLvl w:val="0"/>
        <w:rPr>
          <w:rFonts w:ascii="宋体" w:hAnsi="宋体" w:eastAsia="宋体" w:cs="宋体"/>
          <w:sz w:val="28"/>
          <w:szCs w:val="28"/>
          <w:lang w:eastAsia="zh-CN"/>
        </w:rPr>
      </w:pPr>
      <w:r>
        <w:rPr>
          <w:rFonts w:ascii="宋体" w:hAnsi="宋体" w:eastAsia="宋体" w:cs="宋体"/>
          <w:spacing w:val="-2"/>
          <w:sz w:val="28"/>
          <w:szCs w:val="28"/>
          <w:lang w:eastAsia="zh-CN"/>
        </w:rPr>
        <w:t>报名单位</w:t>
      </w:r>
      <w:r>
        <w:rPr>
          <w:rFonts w:ascii="宋体" w:hAnsi="宋体" w:eastAsia="宋体" w:cs="宋体"/>
          <w:spacing w:val="-1"/>
          <w:sz w:val="28"/>
          <w:szCs w:val="28"/>
          <w:lang w:eastAsia="zh-CN"/>
        </w:rPr>
        <w:t>（盖章</w:t>
      </w:r>
      <w:r>
        <w:rPr>
          <w:rFonts w:ascii="宋体" w:hAnsi="宋体" w:eastAsia="宋体" w:cs="宋体"/>
          <w:sz w:val="28"/>
          <w:szCs w:val="28"/>
          <w:lang w:eastAsia="zh-CN"/>
        </w:rPr>
        <w:t>）</w:t>
      </w:r>
      <w:r>
        <w:rPr>
          <w:rFonts w:ascii="宋体" w:hAnsi="宋体" w:eastAsia="宋体" w:cs="宋体"/>
          <w:spacing w:val="-2"/>
          <w:sz w:val="28"/>
          <w:szCs w:val="28"/>
          <w:lang w:eastAsia="zh-CN"/>
        </w:rPr>
        <w:t>：</w:t>
      </w:r>
    </w:p>
    <w:p w14:paraId="41B67F3C">
      <w:pPr>
        <w:spacing w:before="183"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联系人：</w:t>
      </w:r>
    </w:p>
    <w:p w14:paraId="6F66936F">
      <w:pPr>
        <w:spacing w:before="178"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联系电话：</w:t>
      </w:r>
    </w:p>
    <w:p w14:paraId="4CABE41A">
      <w:pPr>
        <w:spacing w:before="180" w:line="220" w:lineRule="auto"/>
        <w:ind w:firstLine="780" w:firstLineChars="300"/>
        <w:outlineLvl w:val="0"/>
        <w:rPr>
          <w:rFonts w:ascii="宋体" w:hAnsi="宋体" w:eastAsia="宋体" w:cs="宋体"/>
          <w:sz w:val="28"/>
          <w:szCs w:val="28"/>
          <w:lang w:eastAsia="zh-CN"/>
        </w:rPr>
      </w:pPr>
      <w:r>
        <w:rPr>
          <w:rFonts w:ascii="宋体" w:hAnsi="宋体" w:eastAsia="宋体" w:cs="宋体"/>
          <w:spacing w:val="-10"/>
          <w:sz w:val="28"/>
          <w:szCs w:val="28"/>
          <w:lang w:eastAsia="zh-CN"/>
        </w:rPr>
        <w:t>邮箱：</w:t>
      </w:r>
    </w:p>
    <w:p w14:paraId="466896BE">
      <w:pPr>
        <w:spacing w:line="220" w:lineRule="auto"/>
        <w:rPr>
          <w:rFonts w:ascii="宋体" w:hAnsi="宋体" w:eastAsia="宋体" w:cs="宋体"/>
          <w:sz w:val="28"/>
          <w:szCs w:val="28"/>
          <w:lang w:eastAsia="zh-CN"/>
        </w:rPr>
        <w:sectPr>
          <w:pgSz w:w="11900" w:h="16840"/>
          <w:pgMar w:top="907" w:right="1701" w:bottom="907" w:left="1701"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spacing w:before="44" w:line="223" w:lineRule="auto"/>
        <w:ind w:left="3792"/>
        <w:rPr>
          <w:rFonts w:ascii="宋体" w:hAnsi="宋体" w:eastAsia="宋体" w:cs="宋体"/>
          <w:sz w:val="31"/>
          <w:szCs w:val="31"/>
          <w:lang w:eastAsia="zh-CN"/>
        </w:rPr>
      </w:pPr>
      <w:r>
        <w:rPr>
          <w:rFonts w:ascii="宋体" w:hAnsi="宋体" w:eastAsia="宋体" w:cs="宋体"/>
          <w:spacing w:val="6"/>
          <w:sz w:val="31"/>
          <w:szCs w:val="31"/>
          <w:lang w:eastAsia="zh-CN"/>
        </w:rPr>
        <w:t>报价单</w:t>
      </w:r>
    </w:p>
    <w:p w14:paraId="623E1AD6">
      <w:pPr>
        <w:keepNext w:val="0"/>
        <w:keepLines w:val="0"/>
        <w:pageBreakBefore w:val="0"/>
        <w:widowControl/>
        <w:kinsoku w:val="0"/>
        <w:wordWrap/>
        <w:overflowPunct/>
        <w:topLinePunct w:val="0"/>
        <w:autoSpaceDE w:val="0"/>
        <w:autoSpaceDN w:val="0"/>
        <w:bidi w:val="0"/>
        <w:adjustRightInd w:val="0"/>
        <w:snapToGrid w:val="0"/>
        <w:spacing w:before="229" w:line="324" w:lineRule="auto"/>
        <w:ind w:left="119" w:right="113" w:firstLine="420"/>
        <w:jc w:val="both"/>
        <w:textAlignment w:val="baseline"/>
        <w:rPr>
          <w:rFonts w:ascii="宋体" w:hAnsi="宋体" w:eastAsia="宋体" w:cs="宋体"/>
          <w:sz w:val="20"/>
          <w:szCs w:val="20"/>
        </w:rPr>
      </w:pPr>
      <w:r>
        <w:rPr>
          <w:rFonts w:ascii="宋体" w:hAnsi="宋体" w:eastAsia="宋体" w:cs="宋体"/>
          <w:spacing w:val="12"/>
          <w:sz w:val="20"/>
          <w:szCs w:val="20"/>
          <w:lang w:eastAsia="zh-CN"/>
        </w:rPr>
        <w:t>我单位作为参选人,对此次评审活动中我方所承诺的条款已经完全明确,也深知所承诺</w:t>
      </w:r>
      <w:r>
        <w:rPr>
          <w:rFonts w:ascii="宋体" w:hAnsi="宋体" w:eastAsia="宋体" w:cs="宋体"/>
          <w:spacing w:val="7"/>
          <w:sz w:val="20"/>
          <w:szCs w:val="20"/>
          <w:lang w:eastAsia="zh-CN"/>
        </w:rPr>
        <w:t>的事项和作出的报价可能给我方带来的风险和后果。如果我方在评审活动中有弄虚作假等违</w:t>
      </w:r>
      <w:r>
        <w:rPr>
          <w:rFonts w:ascii="宋体" w:hAnsi="宋体" w:eastAsia="宋体" w:cs="宋体"/>
          <w:spacing w:val="10"/>
          <w:sz w:val="20"/>
          <w:szCs w:val="20"/>
          <w:lang w:eastAsia="zh-CN"/>
        </w:rPr>
        <w:t>法违规行为，以及中选后因报价低或不执行承诺条款而不履约</w:t>
      </w:r>
      <w:r>
        <w:rPr>
          <w:rFonts w:ascii="宋体" w:hAnsi="宋体" w:eastAsia="宋体" w:cs="宋体"/>
          <w:spacing w:val="9"/>
          <w:sz w:val="20"/>
          <w:szCs w:val="20"/>
          <w:lang w:eastAsia="zh-CN"/>
        </w:rPr>
        <w:t>,本单位愿承担一切责任（包括赔偿损失、取消评审及中选资格等）。</w:t>
      </w:r>
      <w:r>
        <w:rPr>
          <w:rFonts w:ascii="宋体" w:hAnsi="宋体" w:eastAsia="宋体" w:cs="宋体"/>
          <w:spacing w:val="9"/>
          <w:sz w:val="20"/>
          <w:szCs w:val="20"/>
        </w:rPr>
        <w:t>我单位本次报价为：</w:t>
      </w:r>
    </w:p>
    <w:p w14:paraId="145C478F">
      <w:pPr>
        <w:spacing w:before="76"/>
      </w:pPr>
    </w:p>
    <w:p w14:paraId="2DBD0CFB">
      <w:pPr>
        <w:pStyle w:val="3"/>
      </w:pPr>
    </w:p>
    <w:tbl>
      <w:tblPr>
        <w:tblStyle w:val="10"/>
        <w:tblW w:w="909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2919"/>
        <w:gridCol w:w="3720"/>
        <w:gridCol w:w="2455"/>
      </w:tblGrid>
      <w:tr w14:paraId="4359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85" w:hRule="atLeast"/>
          <w:jc w:val="center"/>
        </w:trPr>
        <w:tc>
          <w:tcPr>
            <w:tcW w:w="2919" w:type="dxa"/>
            <w:vAlign w:val="center"/>
          </w:tcPr>
          <w:p w14:paraId="2FCE6943">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3720" w:type="dxa"/>
            <w:vAlign w:val="center"/>
          </w:tcPr>
          <w:p w14:paraId="29BBBE45">
            <w:pPr>
              <w:spacing w:before="40" w:line="219" w:lineRule="auto"/>
              <w:jc w:val="center"/>
              <w:rPr>
                <w:rFonts w:hint="eastAsia" w:ascii="宋体" w:hAnsi="宋体" w:eastAsia="宋体" w:cs="宋体"/>
                <w:sz w:val="24"/>
                <w:szCs w:val="24"/>
                <w:lang w:eastAsia="zh-CN"/>
              </w:rPr>
            </w:pPr>
            <w:r>
              <w:rPr>
                <w:rFonts w:hint="eastAsia" w:ascii="宋体" w:hAnsi="宋体" w:eastAsia="宋体" w:cs="宋体"/>
                <w:b/>
                <w:bCs/>
                <w:spacing w:val="-8"/>
                <w:sz w:val="24"/>
                <w:szCs w:val="24"/>
                <w:lang w:val="en-US" w:eastAsia="zh-CN"/>
              </w:rPr>
              <w:t>上浮率报价</w:t>
            </w:r>
            <w:r>
              <w:rPr>
                <w:rFonts w:hint="eastAsia" w:ascii="宋体" w:hAnsi="宋体" w:eastAsia="宋体" w:cs="宋体"/>
                <w:b/>
                <w:bCs/>
                <w:spacing w:val="-8"/>
                <w:sz w:val="24"/>
                <w:szCs w:val="24"/>
                <w:lang w:eastAsia="zh-CN"/>
              </w:rPr>
              <w:t>（</w:t>
            </w:r>
            <w:r>
              <w:rPr>
                <w:rFonts w:hint="eastAsia" w:ascii="宋体" w:hAnsi="宋体" w:eastAsia="宋体" w:cs="宋体"/>
                <w:b/>
                <w:bCs/>
                <w:spacing w:val="-8"/>
                <w:sz w:val="24"/>
                <w:szCs w:val="24"/>
                <w:lang w:val="en-US" w:eastAsia="zh-CN"/>
              </w:rPr>
              <w:t>%</w:t>
            </w:r>
            <w:r>
              <w:rPr>
                <w:rFonts w:hint="eastAsia" w:ascii="宋体" w:hAnsi="宋体" w:eastAsia="宋体" w:cs="宋体"/>
                <w:b/>
                <w:bCs/>
                <w:spacing w:val="-8"/>
                <w:sz w:val="24"/>
                <w:szCs w:val="24"/>
                <w:lang w:eastAsia="zh-CN"/>
              </w:rPr>
              <w:t>）</w:t>
            </w:r>
          </w:p>
        </w:tc>
        <w:tc>
          <w:tcPr>
            <w:tcW w:w="2455" w:type="dxa"/>
            <w:vAlign w:val="center"/>
          </w:tcPr>
          <w:p w14:paraId="576E7BEB">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3B14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274" w:hRule="atLeast"/>
          <w:jc w:val="center"/>
        </w:trPr>
        <w:tc>
          <w:tcPr>
            <w:tcW w:w="2919" w:type="dxa"/>
            <w:vAlign w:val="center"/>
          </w:tcPr>
          <w:p w14:paraId="15FE9704">
            <w:pPr>
              <w:ind w:left="142" w:right="108"/>
              <w:jc w:val="center"/>
              <w:rPr>
                <w:rFonts w:ascii="宋体" w:hAnsi="宋体" w:eastAsia="宋体" w:cs="宋体"/>
                <w:sz w:val="24"/>
                <w:szCs w:val="24"/>
                <w:lang w:eastAsia="zh-CN"/>
              </w:rPr>
            </w:pPr>
            <w:r>
              <w:rPr>
                <w:rFonts w:hint="eastAsia" w:ascii="宋体" w:hAnsi="宋体" w:eastAsia="宋体" w:cs="宋体"/>
                <w:b/>
                <w:bCs/>
                <w:spacing w:val="2"/>
                <w:sz w:val="24"/>
                <w:szCs w:val="24"/>
                <w:lang w:val="en-US" w:eastAsia="zh-CN"/>
              </w:rPr>
              <w:t>中山市东升医院坦背院区板房拆除及处置服务项目（三次）</w:t>
            </w:r>
          </w:p>
        </w:tc>
        <w:tc>
          <w:tcPr>
            <w:tcW w:w="3720" w:type="dxa"/>
            <w:vAlign w:val="center"/>
          </w:tcPr>
          <w:p w14:paraId="7DDAFCE5">
            <w:pPr>
              <w:tabs>
                <w:tab w:val="left" w:pos="1770"/>
              </w:tabs>
              <w:jc w:val="center"/>
              <w:outlineLvl w:val="0"/>
              <w:rPr>
                <w:rFonts w:hint="default" w:ascii="宋体" w:hAnsi="宋体" w:eastAsia="宋体" w:cs="宋体"/>
                <w:sz w:val="24"/>
                <w:szCs w:val="24"/>
                <w:lang w:val="en-US"/>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w:t>
            </w:r>
          </w:p>
        </w:tc>
        <w:tc>
          <w:tcPr>
            <w:tcW w:w="2455" w:type="dxa"/>
            <w:vAlign w:val="center"/>
          </w:tcPr>
          <w:p w14:paraId="417A2084">
            <w:pPr>
              <w:jc w:val="center"/>
              <w:rPr>
                <w:rFonts w:hint="default" w:eastAsia="宋体"/>
                <w:lang w:val="en-US" w:eastAsia="zh-CN"/>
              </w:rPr>
            </w:pPr>
          </w:p>
        </w:tc>
      </w:tr>
    </w:tbl>
    <w:p w14:paraId="06BFCCF9">
      <w:pPr>
        <w:pStyle w:val="3"/>
        <w:spacing w:line="371" w:lineRule="auto"/>
      </w:pPr>
    </w:p>
    <w:p w14:paraId="1CE97BEE">
      <w:pPr>
        <w:pStyle w:val="3"/>
        <w:spacing w:line="371" w:lineRule="auto"/>
      </w:pPr>
    </w:p>
    <w:p w14:paraId="7491E2FB">
      <w:pPr>
        <w:pStyle w:val="4"/>
      </w:pPr>
    </w:p>
    <w:p w14:paraId="1EFC8127">
      <w:pPr>
        <w:pStyle w:val="3"/>
        <w:spacing w:line="246" w:lineRule="auto"/>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注意：</w:t>
      </w:r>
    </w:p>
    <w:p w14:paraId="4771C8B0">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textAlignment w:val="baseline"/>
        <w:rPr>
          <w:rFonts w:ascii="宋体" w:hAnsi="宋体" w:eastAsia="宋体" w:cs="宋体"/>
          <w:b/>
          <w:bCs/>
          <w:spacing w:val="7"/>
          <w:sz w:val="20"/>
          <w:szCs w:val="20"/>
          <w:lang w:eastAsia="zh-CN"/>
        </w:rPr>
      </w:pPr>
      <w:r>
        <w:rPr>
          <w:rFonts w:hint="eastAsia" w:ascii="宋体" w:hAnsi="宋体" w:eastAsia="宋体" w:cs="宋体"/>
          <w:b/>
          <w:bCs/>
          <w:spacing w:val="7"/>
          <w:sz w:val="20"/>
          <w:szCs w:val="20"/>
          <w:lang w:val="en-US" w:eastAsia="zh-CN"/>
        </w:rPr>
        <w:t>该项目采取在底价的基础上报出响应上浮率，价高者得的方式（格式详见响应文件模板中（一）报价单）。响应服务商按残值回收模式，项目底价人民币10000元，进行上浮率报价，合同成交金额=（1+中标上浮率）*底价（可保留小数点后两位），报价的上浮率必须是＞0%（不含本位数），否则视为无效报价。</w:t>
      </w:r>
    </w:p>
    <w:p w14:paraId="31EE09CF">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ind w:left="0" w:leftChars="0" w:firstLine="0" w:firstLineChars="0"/>
        <w:textAlignment w:val="baseline"/>
        <w:rPr>
          <w:rFonts w:hint="eastAsia" w:ascii="宋体" w:hAnsi="宋体" w:eastAsia="宋体" w:cs="宋体"/>
          <w:b/>
          <w:bCs/>
          <w:sz w:val="20"/>
          <w:szCs w:val="20"/>
          <w:lang w:val="en-US" w:eastAsia="zh-CN"/>
        </w:rPr>
      </w:pPr>
      <w:r>
        <w:rPr>
          <w:rFonts w:hint="eastAsia" w:ascii="宋体" w:hAnsi="宋体" w:eastAsia="宋体" w:cs="宋体"/>
          <w:b/>
          <w:bCs/>
          <w:sz w:val="20"/>
          <w:szCs w:val="20"/>
          <w:lang w:val="en-US" w:eastAsia="zh-CN"/>
        </w:rPr>
        <w:t>经资格审查合格后，采用公平竞价方式，本项目以10000元为底价，价高者得为原则，价高者拟决定为成交供应商，如有两家或以上供应商相同报价时，由评审专家按技术方案优劣等综合因素择优选取。</w:t>
      </w:r>
    </w:p>
    <w:p w14:paraId="40A56808">
      <w:pPr>
        <w:pStyle w:val="4"/>
        <w:keepNext w:val="0"/>
        <w:keepLines w:val="0"/>
        <w:pageBreakBefore w:val="0"/>
        <w:widowControl w:val="0"/>
        <w:kinsoku/>
        <w:wordWrap/>
        <w:overflowPunct/>
        <w:topLinePunct w:val="0"/>
        <w:autoSpaceDE w:val="0"/>
        <w:autoSpaceDN w:val="0"/>
        <w:bidi w:val="0"/>
        <w:adjustRightInd w:val="0"/>
        <w:snapToGrid/>
        <w:spacing w:before="0" w:beforeLines="50"/>
        <w:textAlignment w:val="auto"/>
        <w:rPr>
          <w:rFonts w:hint="eastAsia" w:hAnsi="宋体" w:cs="宋体"/>
          <w:b/>
          <w:bCs/>
          <w:sz w:val="20"/>
          <w:szCs w:val="20"/>
          <w:lang w:val="en-US" w:eastAsia="zh-CN"/>
        </w:rPr>
      </w:pPr>
      <w:r>
        <w:rPr>
          <w:rFonts w:hint="eastAsia" w:hAnsi="宋体" w:cs="宋体"/>
          <w:b/>
          <w:bCs/>
          <w:sz w:val="20"/>
          <w:szCs w:val="20"/>
          <w:lang w:val="en-US" w:eastAsia="zh-CN"/>
        </w:rPr>
        <w:t>3. 报价次数：1次。</w:t>
      </w:r>
    </w:p>
    <w:p w14:paraId="17E08FB6">
      <w:pPr>
        <w:pStyle w:val="3"/>
        <w:rPr>
          <w:rFonts w:ascii="宋体" w:hAnsi="宋体" w:eastAsia="宋体" w:cs="宋体"/>
          <w:spacing w:val="2"/>
          <w:sz w:val="24"/>
          <w:szCs w:val="24"/>
          <w:lang w:eastAsia="zh-CN"/>
        </w:rPr>
      </w:pPr>
    </w:p>
    <w:p w14:paraId="573023C5">
      <w:pPr>
        <w:pStyle w:val="4"/>
        <w:rPr>
          <w:rFonts w:ascii="宋体" w:hAnsi="宋体" w:eastAsia="宋体" w:cs="宋体"/>
          <w:spacing w:val="2"/>
          <w:sz w:val="24"/>
          <w:szCs w:val="24"/>
          <w:lang w:eastAsia="zh-CN"/>
        </w:rPr>
      </w:pPr>
    </w:p>
    <w:p w14:paraId="400D596C">
      <w:pPr>
        <w:pStyle w:val="4"/>
        <w:rPr>
          <w:rFonts w:ascii="宋体" w:hAnsi="宋体" w:eastAsia="宋体" w:cs="宋体"/>
          <w:spacing w:val="2"/>
          <w:sz w:val="24"/>
          <w:szCs w:val="24"/>
          <w:lang w:eastAsia="zh-CN"/>
        </w:rPr>
      </w:pPr>
    </w:p>
    <w:p w14:paraId="4E28C739">
      <w:pPr>
        <w:pStyle w:val="4"/>
        <w:rPr>
          <w:rFonts w:ascii="宋体" w:hAnsi="宋体" w:eastAsia="宋体" w:cs="宋体"/>
          <w:spacing w:val="2"/>
          <w:sz w:val="24"/>
          <w:szCs w:val="24"/>
          <w:lang w:eastAsia="zh-CN"/>
        </w:rPr>
      </w:pPr>
    </w:p>
    <w:p w14:paraId="65645BEB">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spacing w:before="1" w:line="212" w:lineRule="auto"/>
        <w:ind w:left="112"/>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spacing w:line="212" w:lineRule="auto"/>
        <w:rPr>
          <w:rFonts w:ascii="宋体" w:hAnsi="宋体" w:eastAsia="宋体" w:cs="宋体"/>
          <w:sz w:val="24"/>
          <w:szCs w:val="24"/>
          <w:lang w:eastAsia="zh-CN"/>
        </w:rPr>
        <w:sectPr>
          <w:pgSz w:w="11900" w:h="16840"/>
          <w:pgMar w:top="907" w:right="1361" w:bottom="907" w:left="1361" w:header="0" w:footer="0" w:gutter="0"/>
          <w:cols w:space="720" w:num="1"/>
        </w:sectPr>
      </w:pPr>
    </w:p>
    <w:p w14:paraId="30D1DA3C">
      <w:pPr>
        <w:spacing w:before="41" w:line="228" w:lineRule="auto"/>
        <w:ind w:left="26"/>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3"/>
        <w:spacing w:line="325" w:lineRule="auto"/>
        <w:rPr>
          <w:lang w:eastAsia="zh-CN"/>
        </w:rPr>
      </w:pPr>
    </w:p>
    <w:p w14:paraId="0DF79E5D">
      <w:pPr>
        <w:pStyle w:val="3"/>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keepNext w:val="0"/>
        <w:keepLines w:val="0"/>
        <w:pageBreakBefore w:val="0"/>
        <w:widowControl/>
        <w:kinsoku w:val="0"/>
        <w:wordWrap/>
        <w:overflowPunct/>
        <w:topLinePunct w:val="0"/>
        <w:autoSpaceDE w:val="0"/>
        <w:autoSpaceDN w:val="0"/>
        <w:bidi w:val="0"/>
        <w:adjustRightInd w:val="0"/>
        <w:snapToGrid w:val="0"/>
        <w:spacing w:before="184" w:line="480" w:lineRule="exact"/>
        <w:ind w:left="23"/>
        <w:textAlignment w:val="baseline"/>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val="en-US" w:eastAsia="zh-CN"/>
        </w:rPr>
        <w:t xml:space="preserve"> 中山市东升医院坦背院区板房拆除及处置服务项目（三次） </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3"/>
        <w:spacing w:line="281" w:lineRule="auto"/>
        <w:rPr>
          <w:lang w:eastAsia="zh-CN"/>
        </w:rPr>
      </w:pPr>
    </w:p>
    <w:p w14:paraId="531F2256">
      <w:pPr>
        <w:pStyle w:val="3"/>
        <w:spacing w:line="281" w:lineRule="auto"/>
        <w:rPr>
          <w:lang w:eastAsia="zh-CN"/>
        </w:rPr>
      </w:pPr>
    </w:p>
    <w:p w14:paraId="1757552E">
      <w:pPr>
        <w:pStyle w:val="3"/>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742BFE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r>
        <w:rPr>
          <w:rFonts w:ascii="宋体" w:hAnsi="宋体" w:eastAsia="宋体" w:cs="宋体"/>
          <w:b/>
          <w:bCs/>
          <w:spacing w:val="7"/>
          <w:sz w:val="20"/>
          <w:szCs w:val="20"/>
          <w:lang w:eastAsia="zh-CN"/>
        </w:rPr>
        <w:t>三、</w:t>
      </w:r>
      <w:r>
        <w:rPr>
          <w:rFonts w:hint="eastAsia" w:ascii="宋体" w:hAnsi="宋体" w:eastAsia="宋体" w:cs="宋体"/>
          <w:b/>
          <w:bCs/>
          <w:spacing w:val="7"/>
          <w:sz w:val="20"/>
          <w:szCs w:val="20"/>
          <w:lang w:eastAsia="zh-CN"/>
        </w:rPr>
        <w:t>具备独立承担民事责任的能力</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相关业务经营范围</w:t>
      </w:r>
      <w:r>
        <w:rPr>
          <w:rFonts w:ascii="宋体" w:hAnsi="宋体" w:eastAsia="宋体" w:cs="宋体"/>
          <w:b/>
          <w:bCs/>
          <w:spacing w:val="7"/>
          <w:sz w:val="20"/>
          <w:szCs w:val="20"/>
          <w:lang w:eastAsia="zh-CN"/>
        </w:rPr>
        <w:t>营业执照)</w:t>
      </w:r>
      <w:r>
        <w:rPr>
          <w:rFonts w:hint="eastAsia" w:ascii="宋体" w:hAnsi="宋体" w:eastAsia="宋体" w:cs="宋体"/>
          <w:b/>
          <w:bCs/>
          <w:spacing w:val="7"/>
          <w:sz w:val="20"/>
          <w:szCs w:val="20"/>
          <w:lang w:eastAsia="zh-CN"/>
        </w:rPr>
        <w:t>；分支机构参与投标的，须提提供总公司及分公司的营业执照复印件，以及总公司向分支机构出具的授权文件。</w:t>
      </w: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3"/>
        <w:spacing w:line="264" w:lineRule="auto"/>
        <w:rPr>
          <w:lang w:eastAsia="zh-CN"/>
        </w:rPr>
      </w:pPr>
    </w:p>
    <w:p w14:paraId="7669B1F2">
      <w:pPr>
        <w:pStyle w:val="3"/>
        <w:spacing w:line="264" w:lineRule="auto"/>
        <w:rPr>
          <w:lang w:eastAsia="zh-CN"/>
        </w:rPr>
      </w:pPr>
    </w:p>
    <w:p w14:paraId="35AD54B7">
      <w:pPr>
        <w:pStyle w:val="3"/>
        <w:spacing w:line="265" w:lineRule="auto"/>
        <w:rPr>
          <w:lang w:eastAsia="zh-CN"/>
        </w:rPr>
      </w:pPr>
    </w:p>
    <w:p w14:paraId="2B647D9C">
      <w:pPr>
        <w:pStyle w:val="3"/>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3"/>
        <w:spacing w:line="296" w:lineRule="auto"/>
        <w:rPr>
          <w:lang w:eastAsia="zh-CN"/>
        </w:rPr>
      </w:pPr>
    </w:p>
    <w:p w14:paraId="6CE3F126">
      <w:pPr>
        <w:pStyle w:val="3"/>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3"/>
        <w:spacing w:line="296" w:lineRule="auto"/>
        <w:rPr>
          <w:lang w:eastAsia="zh-CN"/>
        </w:rPr>
      </w:pPr>
    </w:p>
    <w:p w14:paraId="161E9A72">
      <w:pPr>
        <w:pStyle w:val="3"/>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3"/>
        <w:spacing w:line="267" w:lineRule="auto"/>
        <w:rPr>
          <w:lang w:eastAsia="zh-CN"/>
        </w:rPr>
      </w:pPr>
    </w:p>
    <w:p w14:paraId="74CD3E9F">
      <w:pPr>
        <w:pStyle w:val="3"/>
        <w:spacing w:line="267" w:lineRule="auto"/>
        <w:rPr>
          <w:lang w:eastAsia="zh-CN"/>
        </w:rPr>
      </w:pPr>
    </w:p>
    <w:p w14:paraId="663913BF">
      <w:pPr>
        <w:pStyle w:val="3"/>
        <w:spacing w:line="267" w:lineRule="auto"/>
        <w:rPr>
          <w:lang w:eastAsia="zh-CN"/>
        </w:rPr>
      </w:pPr>
    </w:p>
    <w:p w14:paraId="37346176">
      <w:pPr>
        <w:pStyle w:val="3"/>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3"/>
        <w:spacing w:line="273" w:lineRule="auto"/>
      </w:pPr>
    </w:p>
    <w:p w14:paraId="59ACC4F7">
      <w:pPr>
        <w:pStyle w:val="3"/>
        <w:spacing w:line="273" w:lineRule="auto"/>
      </w:pPr>
    </w:p>
    <w:p w14:paraId="72D9DF12">
      <w:pPr>
        <w:pStyle w:val="3"/>
        <w:spacing w:line="273" w:lineRule="auto"/>
      </w:pPr>
    </w:p>
    <w:p w14:paraId="32571043">
      <w:pPr>
        <w:pStyle w:val="3"/>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0" w:gutter="0"/>
          <w:cols w:space="720" w:num="1"/>
        </w:sectPr>
      </w:pPr>
    </w:p>
    <w:p w14:paraId="7A5E2EDD">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3"/>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06B11D2D">
      <w:pPr>
        <w:spacing w:line="3414" w:lineRule="exact"/>
        <w:sectPr>
          <w:pgSz w:w="11900" w:h="16840"/>
          <w:pgMar w:top="907" w:right="1701" w:bottom="907" w:left="1701" w:header="0" w:footer="0" w:gutter="0"/>
          <w:cols w:space="720" w:num="1"/>
        </w:sectPr>
      </w:pPr>
    </w:p>
    <w:p w14:paraId="23D54E56">
      <w:pPr>
        <w:spacing w:before="41" w:line="228" w:lineRule="auto"/>
        <w:ind w:left="24"/>
        <w:rPr>
          <w:rFonts w:ascii="宋体" w:hAnsi="宋体" w:eastAsia="宋体" w:cs="宋体"/>
          <w:sz w:val="20"/>
          <w:szCs w:val="20"/>
          <w:lang w:eastAsia="zh-CN"/>
        </w:rPr>
      </w:pPr>
      <w:r>
        <w:rPr>
          <w:rFonts w:ascii="宋体" w:hAnsi="宋体" w:eastAsia="宋体" w:cs="宋体"/>
          <w:b/>
          <w:bCs/>
          <w:spacing w:val="7"/>
          <w:sz w:val="20"/>
          <w:szCs w:val="20"/>
          <w:lang w:eastAsia="zh-CN"/>
        </w:rPr>
        <w:t>六、无围标、串标行为声明函</w:t>
      </w:r>
    </w:p>
    <w:p w14:paraId="46DEA0D5">
      <w:pPr>
        <w:spacing w:before="166" w:line="219" w:lineRule="auto"/>
        <w:ind w:left="2906"/>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F6E8CF2">
      <w:pPr>
        <w:pStyle w:val="3"/>
        <w:spacing w:line="373" w:lineRule="auto"/>
        <w:rPr>
          <w:lang w:eastAsia="zh-CN"/>
        </w:rPr>
      </w:pPr>
    </w:p>
    <w:p w14:paraId="2C9DDB3A">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val="en-US" w:eastAsia="zh-CN"/>
        </w:rPr>
        <w:t xml:space="preserve"> 中山市东升医院坦背院区板房拆除及处置服务项目（三次） </w:t>
      </w:r>
      <w:r>
        <w:rPr>
          <w:rFonts w:ascii="宋体" w:hAnsi="宋体" w:eastAsia="宋体" w:cs="宋体"/>
          <w:spacing w:val="-1"/>
          <w:sz w:val="24"/>
          <w:szCs w:val="24"/>
          <w:lang w:eastAsia="zh-CN"/>
        </w:rPr>
        <w:t>，无以下围标、串标行为：</w:t>
      </w:r>
    </w:p>
    <w:p w14:paraId="78416D8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的报价文件由同一单位或者个人编制；</w:t>
      </w:r>
    </w:p>
    <w:p w14:paraId="700E896B">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委托同一单位或者个人办理响应</w:t>
      </w:r>
      <w:r>
        <w:rPr>
          <w:rFonts w:ascii="宋体" w:hAnsi="宋体" w:eastAsia="宋体" w:cs="宋体"/>
          <w:spacing w:val="-2"/>
          <w:sz w:val="24"/>
          <w:szCs w:val="24"/>
          <w:lang w:eastAsia="zh-CN"/>
        </w:rPr>
        <w:t>事宜；</w:t>
      </w:r>
    </w:p>
    <w:p w14:paraId="63FEBB2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的报价文件载明的项目管理成员或者联系人员为同一人；</w:t>
      </w:r>
    </w:p>
    <w:p w14:paraId="60B46159">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的报价文件异常一致或者响应报价呈规律性差异；</w:t>
      </w:r>
    </w:p>
    <w:p w14:paraId="0DC68F00">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的报价文件相互混装；</w:t>
      </w:r>
    </w:p>
    <w:p w14:paraId="2D76146D">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0F1DD6B1">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1121D321">
      <w:pPr>
        <w:pStyle w:val="3"/>
        <w:spacing w:line="283" w:lineRule="auto"/>
        <w:rPr>
          <w:lang w:eastAsia="zh-CN"/>
        </w:rPr>
      </w:pPr>
    </w:p>
    <w:p w14:paraId="6F145D85">
      <w:pPr>
        <w:pStyle w:val="3"/>
        <w:spacing w:line="284" w:lineRule="auto"/>
        <w:rPr>
          <w:lang w:eastAsia="zh-CN"/>
        </w:rPr>
      </w:pPr>
    </w:p>
    <w:p w14:paraId="0CB32484">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49D56D4B">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593E03F9">
      <w:pPr>
        <w:pStyle w:val="3"/>
        <w:spacing w:line="277" w:lineRule="auto"/>
        <w:rPr>
          <w:lang w:eastAsia="zh-CN"/>
        </w:rPr>
      </w:pPr>
    </w:p>
    <w:p w14:paraId="130A4A24">
      <w:pPr>
        <w:pStyle w:val="3"/>
        <w:spacing w:line="277" w:lineRule="auto"/>
        <w:rPr>
          <w:lang w:eastAsia="zh-CN"/>
        </w:rPr>
      </w:pPr>
    </w:p>
    <w:p w14:paraId="379E201F">
      <w:pPr>
        <w:pStyle w:val="3"/>
        <w:spacing w:line="277" w:lineRule="auto"/>
        <w:rPr>
          <w:lang w:eastAsia="zh-CN"/>
        </w:rPr>
      </w:pPr>
    </w:p>
    <w:p w14:paraId="4C47DA1B">
      <w:pPr>
        <w:pStyle w:val="3"/>
        <w:spacing w:line="278" w:lineRule="auto"/>
        <w:rPr>
          <w:lang w:eastAsia="zh-CN"/>
        </w:rPr>
      </w:pPr>
    </w:p>
    <w:p w14:paraId="4CD07A94">
      <w:pPr>
        <w:pStyle w:val="3"/>
        <w:spacing w:line="278" w:lineRule="auto"/>
        <w:rPr>
          <w:lang w:eastAsia="zh-CN"/>
        </w:rPr>
      </w:pPr>
    </w:p>
    <w:p w14:paraId="7A912B19">
      <w:pPr>
        <w:spacing w:before="78" w:line="219" w:lineRule="auto"/>
        <w:ind w:left="24"/>
        <w:rPr>
          <w:rFonts w:ascii="宋体" w:hAnsi="宋体" w:eastAsia="宋体" w:cs="宋体"/>
          <w:sz w:val="24"/>
          <w:szCs w:val="24"/>
          <w:lang w:eastAsia="zh-CN"/>
        </w:rPr>
      </w:pP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名称（盖章</w:t>
      </w:r>
      <w:r>
        <w:rPr>
          <w:rFonts w:ascii="宋体" w:hAnsi="宋体" w:eastAsia="宋体" w:cs="宋体"/>
          <w:sz w:val="24"/>
          <w:szCs w:val="24"/>
          <w:lang w:eastAsia="zh-CN"/>
        </w:rPr>
        <w:t>）：</w:t>
      </w:r>
    </w:p>
    <w:p w14:paraId="1B57311D">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B366163">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5589425E">
      <w:pPr>
        <w:spacing w:line="219"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1DA97DB8">
      <w:pPr>
        <w:spacing w:before="41" w:line="378" w:lineRule="auto"/>
        <w:ind w:left="22" w:right="18"/>
        <w:rPr>
          <w:rFonts w:ascii="宋体" w:hAnsi="宋体" w:eastAsia="宋体" w:cs="宋体"/>
          <w:sz w:val="20"/>
          <w:szCs w:val="20"/>
          <w:lang w:eastAsia="zh-CN"/>
        </w:rPr>
      </w:pPr>
      <w:r>
        <w:rPr>
          <w:rFonts w:ascii="宋体" w:hAnsi="宋体" w:eastAsia="宋体" w:cs="宋体"/>
          <w:b/>
          <w:bCs/>
          <w:spacing w:val="6"/>
          <w:sz w:val="20"/>
          <w:szCs w:val="20"/>
          <w:lang w:eastAsia="zh-CN"/>
        </w:rPr>
        <w:t>七、提供</w:t>
      </w:r>
      <w:r>
        <w:rPr>
          <w:rFonts w:ascii="宋体" w:hAnsi="宋体" w:eastAsia="宋体" w:cs="宋体"/>
          <w:spacing w:val="-42"/>
          <w:sz w:val="20"/>
          <w:szCs w:val="20"/>
          <w:lang w:eastAsia="zh-CN"/>
        </w:rPr>
        <w:t xml:space="preserve"> </w:t>
      </w:r>
      <w:r>
        <w:rPr>
          <w:rFonts w:ascii="宋体" w:hAnsi="宋体" w:eastAsia="宋体" w:cs="宋体"/>
          <w:spacing w:val="-40"/>
          <w:sz w:val="20"/>
          <w:szCs w:val="20"/>
          <w:lang w:eastAsia="zh-CN"/>
        </w:rPr>
        <w:t xml:space="preserve"> </w:t>
      </w:r>
      <w:r>
        <w:rPr>
          <w:rFonts w:ascii="宋体" w:hAnsi="宋体" w:eastAsia="宋体" w:cs="宋体"/>
          <w:b/>
          <w:bCs/>
          <w:spacing w:val="6"/>
          <w:sz w:val="20"/>
          <w:szCs w:val="20"/>
          <w:lang w:eastAsia="zh-CN"/>
        </w:rPr>
        <w:t>近</w:t>
      </w:r>
      <w:r>
        <w:rPr>
          <w:rFonts w:ascii="宋体" w:hAnsi="宋体" w:eastAsia="宋体" w:cs="宋体"/>
          <w:spacing w:val="-29"/>
          <w:sz w:val="20"/>
          <w:szCs w:val="20"/>
          <w:lang w:eastAsia="zh-CN"/>
        </w:rPr>
        <w:t xml:space="preserve"> </w:t>
      </w:r>
      <w:r>
        <w:rPr>
          <w:rFonts w:ascii="Times New Roman" w:hAnsi="Times New Roman" w:eastAsia="Times New Roman" w:cs="Times New Roman"/>
          <w:b/>
          <w:bCs/>
          <w:spacing w:val="6"/>
          <w:sz w:val="20"/>
          <w:szCs w:val="20"/>
          <w:lang w:eastAsia="zh-CN"/>
        </w:rPr>
        <w:t>12</w:t>
      </w:r>
      <w:r>
        <w:rPr>
          <w:rFonts w:ascii="Times New Roman" w:hAnsi="Times New Roman" w:eastAsia="Times New Roman" w:cs="Times New Roman"/>
          <w:b/>
          <w:bCs/>
          <w:spacing w:val="5"/>
          <w:sz w:val="20"/>
          <w:szCs w:val="20"/>
          <w:lang w:eastAsia="zh-CN"/>
        </w:rPr>
        <w:t xml:space="preserve"> </w:t>
      </w:r>
      <w:r>
        <w:rPr>
          <w:rFonts w:ascii="宋体" w:hAnsi="宋体" w:eastAsia="宋体" w:cs="宋体"/>
          <w:b/>
          <w:bCs/>
          <w:spacing w:val="5"/>
          <w:sz w:val="20"/>
          <w:szCs w:val="20"/>
          <w:lang w:eastAsia="zh-CN"/>
        </w:rPr>
        <w:t>个月内任何</w:t>
      </w:r>
      <w:r>
        <w:rPr>
          <w:rFonts w:ascii="宋体" w:hAnsi="宋体" w:eastAsia="宋体" w:cs="宋体"/>
          <w:spacing w:val="-31"/>
          <w:sz w:val="20"/>
          <w:szCs w:val="20"/>
          <w:lang w:eastAsia="zh-CN"/>
        </w:rPr>
        <w:t xml:space="preserve"> </w:t>
      </w:r>
      <w:r>
        <w:rPr>
          <w:rFonts w:ascii="Times New Roman" w:hAnsi="Times New Roman" w:eastAsia="Times New Roman" w:cs="Times New Roman"/>
          <w:b/>
          <w:bCs/>
          <w:spacing w:val="5"/>
          <w:sz w:val="20"/>
          <w:szCs w:val="20"/>
          <w:lang w:eastAsia="zh-CN"/>
        </w:rPr>
        <w:t xml:space="preserve">1 </w:t>
      </w:r>
      <w:r>
        <w:rPr>
          <w:rFonts w:ascii="宋体" w:hAnsi="宋体" w:eastAsia="宋体" w:cs="宋体"/>
          <w:b/>
          <w:bCs/>
          <w:spacing w:val="5"/>
          <w:sz w:val="20"/>
          <w:szCs w:val="20"/>
          <w:lang w:eastAsia="zh-CN"/>
        </w:rPr>
        <w:t>个月编制的财务报表复印</w:t>
      </w:r>
      <w:r>
        <w:rPr>
          <w:rFonts w:ascii="宋体" w:hAnsi="宋体" w:eastAsia="宋体" w:cs="宋体"/>
          <w:b/>
          <w:bCs/>
          <w:spacing w:val="-1"/>
          <w:sz w:val="20"/>
          <w:szCs w:val="20"/>
          <w:lang w:eastAsia="zh-CN"/>
        </w:rPr>
        <w:t>件</w:t>
      </w:r>
    </w:p>
    <w:p w14:paraId="796EEE16">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4EA0C871">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八、近</w:t>
      </w:r>
      <w:r>
        <w:rPr>
          <w:rFonts w:ascii="宋体" w:hAnsi="宋体" w:eastAsia="宋体" w:cs="宋体"/>
          <w:spacing w:val="-34"/>
          <w:sz w:val="20"/>
          <w:szCs w:val="20"/>
          <w:lang w:eastAsia="zh-CN"/>
        </w:rPr>
        <w:t xml:space="preserve"> </w:t>
      </w:r>
      <w:r>
        <w:rPr>
          <w:rFonts w:ascii="Times New Roman" w:hAnsi="Times New Roman" w:eastAsia="Times New Roman" w:cs="Times New Roman"/>
          <w:b/>
          <w:bCs/>
          <w:spacing w:val="8"/>
          <w:sz w:val="20"/>
          <w:szCs w:val="20"/>
          <w:lang w:eastAsia="zh-CN"/>
        </w:rPr>
        <w:t xml:space="preserve">12 </w:t>
      </w:r>
      <w:r>
        <w:rPr>
          <w:rFonts w:ascii="宋体" w:hAnsi="宋体" w:eastAsia="宋体" w:cs="宋体"/>
          <w:b/>
          <w:bCs/>
          <w:spacing w:val="8"/>
          <w:sz w:val="20"/>
          <w:szCs w:val="20"/>
          <w:lang w:eastAsia="zh-CN"/>
        </w:rPr>
        <w:t>个月内任何时间的</w:t>
      </w:r>
      <w:r>
        <w:rPr>
          <w:rFonts w:ascii="宋体" w:hAnsi="宋体" w:eastAsia="宋体" w:cs="宋体"/>
          <w:b/>
          <w:bCs/>
          <w:spacing w:val="8"/>
          <w:sz w:val="20"/>
          <w:szCs w:val="20"/>
          <w:shd w:val="clear" w:color="auto" w:fill="FFFF00"/>
          <w:lang w:eastAsia="zh-CN"/>
        </w:rPr>
        <w:t>纳税证明资料复印件</w:t>
      </w:r>
      <w:r>
        <w:rPr>
          <w:rFonts w:ascii="宋体" w:hAnsi="宋体" w:eastAsia="宋体" w:cs="宋体"/>
          <w:b/>
          <w:bCs/>
          <w:spacing w:val="8"/>
          <w:sz w:val="20"/>
          <w:szCs w:val="20"/>
          <w:lang w:eastAsia="zh-CN"/>
        </w:rPr>
        <w:t>，如</w:t>
      </w:r>
      <w:r>
        <w:rPr>
          <w:rFonts w:ascii="宋体" w:hAnsi="宋体" w:eastAsia="宋体" w:cs="宋体"/>
          <w:b/>
          <w:bCs/>
          <w:spacing w:val="7"/>
          <w:sz w:val="20"/>
          <w:szCs w:val="20"/>
          <w:lang w:eastAsia="zh-CN"/>
        </w:rPr>
        <w:t>依法免税的，应提供相应文件证明</w:t>
      </w:r>
    </w:p>
    <w:p w14:paraId="1C0313C7">
      <w:pPr>
        <w:spacing w:line="227"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0004D1DA">
      <w:pPr>
        <w:spacing w:before="40" w:line="240" w:lineRule="auto"/>
        <w:ind w:left="23" w:firstLine="5"/>
        <w:rPr>
          <w:rFonts w:ascii="宋体" w:hAnsi="宋体" w:eastAsia="宋体" w:cs="宋体"/>
          <w:sz w:val="20"/>
          <w:szCs w:val="20"/>
          <w:lang w:eastAsia="zh-CN"/>
        </w:rPr>
      </w:pPr>
      <w:r>
        <w:rPr>
          <w:rFonts w:ascii="宋体" w:hAnsi="宋体" w:eastAsia="宋体" w:cs="宋体"/>
          <w:b/>
          <w:bCs/>
          <w:spacing w:val="3"/>
          <w:sz w:val="20"/>
          <w:szCs w:val="20"/>
          <w:lang w:eastAsia="zh-CN"/>
        </w:rPr>
        <w:t>九、近</w:t>
      </w:r>
      <w:r>
        <w:rPr>
          <w:rFonts w:ascii="宋体" w:hAnsi="宋体" w:eastAsia="宋体" w:cs="宋体"/>
          <w:spacing w:val="-21"/>
          <w:sz w:val="20"/>
          <w:szCs w:val="20"/>
          <w:lang w:eastAsia="zh-CN"/>
        </w:rPr>
        <w:t xml:space="preserve"> </w:t>
      </w:r>
      <w:r>
        <w:rPr>
          <w:rFonts w:ascii="Times New Roman" w:hAnsi="Times New Roman" w:eastAsia="Times New Roman" w:cs="Times New Roman"/>
          <w:b/>
          <w:bCs/>
          <w:spacing w:val="3"/>
          <w:sz w:val="20"/>
          <w:szCs w:val="20"/>
          <w:lang w:eastAsia="zh-CN"/>
        </w:rPr>
        <w:t xml:space="preserve">12 </w:t>
      </w:r>
      <w:r>
        <w:rPr>
          <w:rFonts w:ascii="宋体" w:hAnsi="宋体" w:eastAsia="宋体" w:cs="宋体"/>
          <w:b/>
          <w:bCs/>
          <w:spacing w:val="3"/>
          <w:sz w:val="20"/>
          <w:szCs w:val="20"/>
          <w:lang w:eastAsia="zh-CN"/>
        </w:rPr>
        <w:t>个月内任何时间的</w:t>
      </w:r>
      <w:r>
        <w:rPr>
          <w:rFonts w:ascii="宋体" w:hAnsi="宋体" w:eastAsia="宋体" w:cs="宋体"/>
          <w:b/>
          <w:bCs/>
          <w:spacing w:val="3"/>
          <w:sz w:val="20"/>
          <w:szCs w:val="20"/>
          <w:shd w:val="clear" w:color="auto" w:fill="FFFF00"/>
          <w:lang w:eastAsia="zh-CN"/>
        </w:rPr>
        <w:t>缴交社保证明资料复印件</w:t>
      </w:r>
      <w:r>
        <w:rPr>
          <w:rFonts w:ascii="宋体" w:hAnsi="宋体" w:eastAsia="宋体" w:cs="宋体"/>
          <w:b/>
          <w:bCs/>
          <w:spacing w:val="3"/>
          <w:sz w:val="20"/>
          <w:szCs w:val="20"/>
          <w:lang w:eastAsia="zh-CN"/>
        </w:rPr>
        <w:t>，如依法不需要缴纳社会保障资金的，</w:t>
      </w:r>
      <w:r>
        <w:rPr>
          <w:rFonts w:ascii="宋体" w:hAnsi="宋体" w:eastAsia="宋体" w:cs="宋体"/>
          <w:b/>
          <w:bCs/>
          <w:spacing w:val="7"/>
          <w:sz w:val="20"/>
          <w:szCs w:val="20"/>
          <w:lang w:eastAsia="zh-CN"/>
        </w:rPr>
        <w:t>应提供相应文件证明</w:t>
      </w:r>
    </w:p>
    <w:p w14:paraId="6E0D33B8">
      <w:pPr>
        <w:spacing w:line="240"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30BB862B">
      <w:pPr>
        <w:keepNext w:val="0"/>
        <w:keepLines w:val="0"/>
        <w:pageBreakBefore w:val="0"/>
        <w:widowControl/>
        <w:kinsoku w:val="0"/>
        <w:wordWrap/>
        <w:overflowPunct/>
        <w:topLinePunct w:val="0"/>
        <w:autoSpaceDE w:val="0"/>
        <w:autoSpaceDN w:val="0"/>
        <w:bidi w:val="0"/>
        <w:adjustRightInd w:val="0"/>
        <w:snapToGrid w:val="0"/>
        <w:spacing w:before="44" w:line="360" w:lineRule="exact"/>
        <w:ind w:left="22" w:right="18" w:firstLine="1"/>
        <w:jc w:val="both"/>
        <w:textAlignment w:val="baseline"/>
        <w:rPr>
          <w:rFonts w:ascii="宋体" w:hAnsi="宋体" w:eastAsia="宋体" w:cs="宋体"/>
          <w:sz w:val="20"/>
          <w:szCs w:val="20"/>
          <w:lang w:eastAsia="zh-CN"/>
        </w:rPr>
      </w:pPr>
      <w:r>
        <w:rPr>
          <w:rFonts w:ascii="宋体" w:hAnsi="宋体" w:eastAsia="宋体" w:cs="宋体"/>
          <w:b/>
          <w:bCs/>
          <w:spacing w:val="8"/>
          <w:sz w:val="20"/>
          <w:szCs w:val="20"/>
          <w:lang w:eastAsia="zh-CN"/>
        </w:rPr>
        <w:t>十、</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未被列入“信用中国”网站</w:t>
      </w:r>
      <w:r>
        <w:rPr>
          <w:rFonts w:ascii="Calibri" w:hAnsi="Calibri" w:eastAsia="Calibri" w:cs="Calibri"/>
          <w:b/>
          <w:bCs/>
          <w:spacing w:val="8"/>
          <w:sz w:val="20"/>
          <w:szCs w:val="20"/>
          <w:lang w:eastAsia="zh-CN"/>
        </w:rPr>
        <w:t>(</w:t>
      </w:r>
      <w:r>
        <w:fldChar w:fldCharType="begin"/>
      </w:r>
      <w:r>
        <w:instrText xml:space="preserve"> HYPERLINK "https://www.creditchina.gov.cn"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creditchina</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8"/>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8"/>
          <w:sz w:val="20"/>
          <w:szCs w:val="20"/>
          <w:shd w:val="clear" w:color="auto" w:fill="FFFF00"/>
          <w:lang w:eastAsia="zh-CN"/>
        </w:rPr>
        <w:t>)</w:t>
      </w:r>
      <w:r>
        <w:rPr>
          <w:rFonts w:ascii="宋体" w:hAnsi="宋体" w:eastAsia="宋体" w:cs="宋体"/>
          <w:b/>
          <w:bCs/>
          <w:spacing w:val="8"/>
          <w:sz w:val="20"/>
          <w:szCs w:val="20"/>
          <w:shd w:val="clear" w:color="auto" w:fill="FFFF00"/>
          <w:lang w:eastAsia="zh-CN"/>
        </w:rPr>
        <w:t>“记录失信被执行人或重大</w:t>
      </w:r>
      <w:r>
        <w:rPr>
          <w:rFonts w:ascii="宋体" w:hAnsi="宋体" w:eastAsia="宋体" w:cs="宋体"/>
          <w:b/>
          <w:bCs/>
          <w:spacing w:val="6"/>
          <w:sz w:val="20"/>
          <w:szCs w:val="20"/>
          <w:shd w:val="clear" w:color="auto" w:fill="FFFF00"/>
          <w:lang w:eastAsia="zh-CN"/>
        </w:rPr>
        <w:t>税收违法案件当事人名单；不处于中国政府采购网</w:t>
      </w:r>
      <w:r>
        <w:rPr>
          <w:rFonts w:ascii="Calibri" w:hAnsi="Calibri" w:eastAsia="Calibri" w:cs="Calibri"/>
          <w:b/>
          <w:bCs/>
          <w:spacing w:val="6"/>
          <w:sz w:val="20"/>
          <w:szCs w:val="20"/>
          <w:shd w:val="clear" w:color="auto" w:fill="FFFF00"/>
          <w:lang w:eastAsia="zh-CN"/>
        </w:rPr>
        <w:t>(</w:t>
      </w:r>
      <w:r>
        <w:fldChar w:fldCharType="begin"/>
      </w:r>
      <w:r>
        <w:instrText xml:space="preserve"> HYPERLINK "https://www.ccgp.gov.cn" </w:instrText>
      </w:r>
      <w:r>
        <w:fldChar w:fldCharType="separate"/>
      </w:r>
      <w:r>
        <w:rPr>
          <w:rFonts w:ascii="Calibri" w:hAnsi="Calibri" w:eastAsia="Calibri" w:cs="Calibri"/>
          <w:b/>
          <w:bCs/>
          <w:sz w:val="20"/>
          <w:szCs w:val="20"/>
          <w:lang w:eastAsia="zh-CN"/>
        </w:rPr>
        <w:t>www</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ccgp</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gov</w:t>
      </w:r>
      <w:r>
        <w:rPr>
          <w:rFonts w:ascii="Calibri" w:hAnsi="Calibri" w:eastAsia="Calibri" w:cs="Calibri"/>
          <w:b/>
          <w:bCs/>
          <w:spacing w:val="6"/>
          <w:sz w:val="20"/>
          <w:szCs w:val="20"/>
          <w:lang w:eastAsia="zh-CN"/>
        </w:rPr>
        <w:t>.</w:t>
      </w:r>
      <w:r>
        <w:rPr>
          <w:rFonts w:ascii="Calibri" w:hAnsi="Calibri" w:eastAsia="Calibri" w:cs="Calibri"/>
          <w:b/>
          <w:bCs/>
          <w:sz w:val="20"/>
          <w:szCs w:val="20"/>
          <w:lang w:eastAsia="zh-CN"/>
        </w:rPr>
        <w:t>cn</w:t>
      </w:r>
      <w:r>
        <w:rPr>
          <w:rFonts w:ascii="Calibri" w:hAnsi="Calibri" w:eastAsia="Calibri" w:cs="Calibri"/>
          <w:b/>
          <w:bCs/>
          <w:sz w:val="20"/>
          <w:szCs w:val="20"/>
          <w:lang w:eastAsia="zh-CN"/>
        </w:rPr>
        <w:fldChar w:fldCharType="end"/>
      </w:r>
      <w:r>
        <w:rPr>
          <w:rFonts w:ascii="Calibri" w:hAnsi="Calibri" w:eastAsia="Calibri" w:cs="Calibri"/>
          <w:b/>
          <w:bCs/>
          <w:spacing w:val="6"/>
          <w:sz w:val="20"/>
          <w:szCs w:val="20"/>
          <w:shd w:val="clear" w:color="auto" w:fill="FFFF00"/>
          <w:lang w:eastAsia="zh-CN"/>
        </w:rPr>
        <w:t>)</w:t>
      </w:r>
      <w:r>
        <w:rPr>
          <w:rFonts w:ascii="宋体" w:hAnsi="宋体" w:eastAsia="宋体" w:cs="宋体"/>
          <w:b/>
          <w:bCs/>
          <w:spacing w:val="6"/>
          <w:sz w:val="20"/>
          <w:szCs w:val="20"/>
          <w:shd w:val="clear" w:color="auto" w:fill="FFFF00"/>
          <w:lang w:eastAsia="zh-CN"/>
        </w:rPr>
        <w:t>“政府采购严重违法失</w:t>
      </w:r>
      <w:r>
        <w:rPr>
          <w:rFonts w:ascii="宋体" w:hAnsi="宋体" w:eastAsia="宋体" w:cs="宋体"/>
          <w:b/>
          <w:bCs/>
          <w:spacing w:val="7"/>
          <w:sz w:val="20"/>
          <w:szCs w:val="20"/>
          <w:shd w:val="clear" w:color="auto" w:fill="FFFF00"/>
          <w:lang w:eastAsia="zh-CN"/>
        </w:rPr>
        <w:t>信行为信息记录</w:t>
      </w:r>
      <w:r>
        <w:rPr>
          <w:rFonts w:ascii="宋体" w:hAnsi="宋体" w:eastAsia="宋体" w:cs="宋体"/>
          <w:spacing w:val="-69"/>
          <w:sz w:val="20"/>
          <w:szCs w:val="20"/>
          <w:lang w:eastAsia="zh-CN"/>
        </w:rPr>
        <w:t xml:space="preserve"> </w:t>
      </w:r>
      <w:r>
        <w:rPr>
          <w:rFonts w:ascii="宋体" w:hAnsi="宋体" w:eastAsia="宋体" w:cs="宋体"/>
          <w:b/>
          <w:bCs/>
          <w:spacing w:val="7"/>
          <w:sz w:val="20"/>
          <w:szCs w:val="20"/>
          <w:lang w:eastAsia="zh-CN"/>
        </w:rPr>
        <w:t>”中的禁止参加政府采购活动期间。</w:t>
      </w:r>
      <w:r>
        <w:rPr>
          <w:rFonts w:ascii="宋体" w:hAnsi="宋体" w:eastAsia="宋体" w:cs="宋体"/>
          <w:b/>
          <w:bCs/>
          <w:color w:val="FF0000"/>
          <w:spacing w:val="7"/>
          <w:sz w:val="20"/>
          <w:szCs w:val="20"/>
          <w:lang w:eastAsia="zh-CN"/>
        </w:rPr>
        <w:t>（提供以上截图）</w:t>
      </w:r>
    </w:p>
    <w:p w14:paraId="46792666">
      <w:pPr>
        <w:keepNext w:val="0"/>
        <w:keepLines w:val="0"/>
        <w:pageBreakBefore w:val="0"/>
        <w:widowControl/>
        <w:kinsoku w:val="0"/>
        <w:wordWrap/>
        <w:overflowPunct/>
        <w:topLinePunct w:val="0"/>
        <w:autoSpaceDE w:val="0"/>
        <w:autoSpaceDN w:val="0"/>
        <w:bidi w:val="0"/>
        <w:adjustRightInd w:val="0"/>
        <w:snapToGrid w:val="0"/>
        <w:spacing w:line="36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p>
    <w:p w14:paraId="5F9EBEDF">
      <w:pPr>
        <w:spacing w:before="137" w:line="227" w:lineRule="auto"/>
        <w:rPr>
          <w:rFonts w:hint="default"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十一、相关资质证明文件，包括但不限于：有效的建筑工程施工总承包三级或以上资质，或钢结构工程专业承包三级及以上资质，同时具备有效的安全生产许可证。</w:t>
      </w:r>
    </w:p>
    <w:p w14:paraId="16909AC6">
      <w:pPr>
        <w:rPr>
          <w:rFonts w:hint="default"/>
          <w:lang w:val="en-US" w:eastAsia="zh-CN"/>
        </w:rPr>
      </w:pPr>
      <w:r>
        <w:rPr>
          <w:rFonts w:hint="default"/>
          <w:lang w:val="en-US" w:eastAsia="zh-CN"/>
        </w:rPr>
        <w:br w:type="page"/>
      </w:r>
    </w:p>
    <w:p w14:paraId="1AD104C4">
      <w:pPr>
        <w:spacing w:before="137"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二</w:t>
      </w:r>
      <w:r>
        <w:rPr>
          <w:rFonts w:ascii="宋体" w:hAnsi="宋体" w:eastAsia="宋体" w:cs="宋体"/>
          <w:b/>
          <w:bCs/>
          <w:spacing w:val="7"/>
          <w:sz w:val="20"/>
          <w:szCs w:val="20"/>
          <w:lang w:eastAsia="zh-CN"/>
        </w:rPr>
        <w:t>、采购需求偏离表</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3"/>
        <w:spacing w:line="286" w:lineRule="auto"/>
        <w:rPr>
          <w:lang w:eastAsia="zh-CN"/>
        </w:rPr>
      </w:pPr>
    </w:p>
    <w:p w14:paraId="65E86C6A">
      <w:pPr>
        <w:spacing w:before="65" w:line="228" w:lineRule="auto"/>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spacing w:before="220" w:line="227" w:lineRule="auto"/>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spacing w:before="221" w:line="228" w:lineRule="auto"/>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spacing w:before="221" w:line="228" w:lineRule="auto"/>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p w14:paraId="1BEB5AA2">
      <w:pPr>
        <w:spacing w:before="163"/>
        <w:rPr>
          <w:lang w:eastAsia="zh-CN"/>
        </w:rPr>
      </w:pPr>
    </w:p>
    <w:tbl>
      <w:tblPr>
        <w:tblStyle w:val="10"/>
        <w:tblW w:w="9382" w:type="dxa"/>
        <w:tblInd w:w="-25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113" w:type="dxa"/>
          <w:left w:w="113" w:type="dxa"/>
          <w:bottom w:w="113" w:type="dxa"/>
          <w:right w:w="113" w:type="dxa"/>
        </w:tblCellMar>
      </w:tblPr>
      <w:tblGrid>
        <w:gridCol w:w="958"/>
        <w:gridCol w:w="5373"/>
        <w:gridCol w:w="1541"/>
        <w:gridCol w:w="1510"/>
      </w:tblGrid>
      <w:tr w14:paraId="1C0D13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962" w:hRule="atLeast"/>
        </w:trPr>
        <w:tc>
          <w:tcPr>
            <w:tcW w:w="958" w:type="dxa"/>
            <w:vAlign w:val="center"/>
          </w:tcPr>
          <w:p w14:paraId="5BDB5DDC">
            <w:pPr>
              <w:spacing w:before="65" w:line="300" w:lineRule="exact"/>
              <w:jc w:val="center"/>
              <w:rPr>
                <w:rFonts w:ascii="宋体" w:hAnsi="宋体" w:eastAsia="宋体" w:cs="宋体"/>
                <w:b/>
                <w:bCs/>
              </w:rPr>
            </w:pPr>
            <w:r>
              <w:rPr>
                <w:rFonts w:hint="eastAsia" w:ascii="宋体" w:hAnsi="宋体" w:eastAsia="宋体" w:cs="宋体"/>
                <w:b/>
                <w:bCs/>
                <w:spacing w:val="5"/>
              </w:rPr>
              <w:t>序号</w:t>
            </w:r>
          </w:p>
        </w:tc>
        <w:tc>
          <w:tcPr>
            <w:tcW w:w="5373" w:type="dxa"/>
            <w:vAlign w:val="center"/>
          </w:tcPr>
          <w:p w14:paraId="3674397B">
            <w:pPr>
              <w:spacing w:before="65" w:line="300" w:lineRule="exact"/>
              <w:jc w:val="center"/>
              <w:rPr>
                <w:rFonts w:ascii="宋体" w:hAnsi="宋体" w:eastAsia="宋体" w:cs="宋体"/>
                <w:b/>
                <w:bCs/>
              </w:rPr>
            </w:pPr>
            <w:r>
              <w:rPr>
                <w:rFonts w:hint="eastAsia" w:ascii="宋体" w:hAnsi="宋体" w:eastAsia="宋体" w:cs="宋体"/>
                <w:b/>
                <w:bCs/>
                <w:spacing w:val="8"/>
              </w:rPr>
              <w:t>采购需求的要求</w:t>
            </w:r>
          </w:p>
        </w:tc>
        <w:tc>
          <w:tcPr>
            <w:tcW w:w="1541" w:type="dxa"/>
            <w:vAlign w:val="center"/>
          </w:tcPr>
          <w:p w14:paraId="53D5C9DE">
            <w:pPr>
              <w:spacing w:before="180" w:line="300" w:lineRule="exact"/>
              <w:ind w:right="241"/>
              <w:jc w:val="center"/>
              <w:rPr>
                <w:rFonts w:ascii="宋体" w:hAnsi="宋体" w:eastAsia="宋体" w:cs="宋体"/>
                <w:b/>
                <w:bCs/>
              </w:rPr>
            </w:pPr>
            <w:r>
              <w:rPr>
                <w:rFonts w:hint="eastAsia" w:ascii="宋体" w:hAnsi="宋体" w:eastAsia="宋体" w:cs="宋体"/>
                <w:b/>
                <w:bCs/>
                <w:spacing w:val="7"/>
              </w:rPr>
              <w:t>完全响应或</w:t>
            </w:r>
            <w:r>
              <w:rPr>
                <w:rFonts w:hint="eastAsia" w:ascii="宋体" w:hAnsi="宋体" w:eastAsia="宋体" w:cs="宋体"/>
                <w:b/>
                <w:bCs/>
                <w:spacing w:val="6"/>
              </w:rPr>
              <w:t>正/负偏离</w:t>
            </w:r>
          </w:p>
        </w:tc>
        <w:tc>
          <w:tcPr>
            <w:tcW w:w="1510" w:type="dxa"/>
            <w:vAlign w:val="center"/>
          </w:tcPr>
          <w:p w14:paraId="189B2D09">
            <w:pPr>
              <w:spacing w:before="65" w:line="300" w:lineRule="exact"/>
              <w:jc w:val="center"/>
              <w:rPr>
                <w:rFonts w:ascii="宋体" w:hAnsi="宋体" w:eastAsia="宋体" w:cs="宋体"/>
                <w:b/>
                <w:bCs/>
              </w:rPr>
            </w:pPr>
            <w:r>
              <w:rPr>
                <w:rFonts w:hint="eastAsia" w:ascii="宋体" w:hAnsi="宋体" w:eastAsia="宋体" w:cs="宋体"/>
                <w:b/>
                <w:bCs/>
                <w:spacing w:val="7"/>
              </w:rPr>
              <w:t>偏离情况</w:t>
            </w:r>
          </w:p>
        </w:tc>
      </w:tr>
      <w:tr w14:paraId="471DF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962" w:hRule="atLeast"/>
        </w:trPr>
        <w:tc>
          <w:tcPr>
            <w:tcW w:w="958" w:type="dxa"/>
            <w:vAlign w:val="center"/>
          </w:tcPr>
          <w:p w14:paraId="65A6A3D8">
            <w:pPr>
              <w:spacing w:before="65" w:line="270" w:lineRule="exact"/>
              <w:jc w:val="center"/>
              <w:rPr>
                <w:rFonts w:ascii="宋体" w:hAnsi="宋体" w:eastAsia="宋体" w:cs="宋体"/>
              </w:rPr>
            </w:pPr>
            <w:r>
              <w:rPr>
                <w:rFonts w:hint="eastAsia" w:ascii="宋体" w:hAnsi="宋体" w:eastAsia="宋体" w:cs="宋体"/>
                <w:position w:val="1"/>
              </w:rPr>
              <w:t>1</w:t>
            </w:r>
          </w:p>
        </w:tc>
        <w:tc>
          <w:tcPr>
            <w:tcW w:w="5373" w:type="dxa"/>
          </w:tcPr>
          <w:p w14:paraId="2F00B249">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一、项目概况</w:t>
            </w:r>
          </w:p>
          <w:p w14:paraId="76C54502">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1. </w:t>
            </w:r>
            <w:r>
              <w:rPr>
                <w:rFonts w:hint="eastAsia" w:ascii="宋体" w:hAnsi="宋体" w:eastAsia="宋体" w:cs="宋体"/>
                <w:sz w:val="20"/>
                <w:szCs w:val="20"/>
                <w:lang w:eastAsia="zh-CN"/>
              </w:rPr>
              <w:t>项目名称：中山市东升医院坦背院区板房拆除及处置服务项目（</w:t>
            </w:r>
            <w:r>
              <w:rPr>
                <w:rFonts w:hint="eastAsia" w:ascii="宋体" w:hAnsi="宋体" w:eastAsia="宋体" w:cs="宋体"/>
                <w:sz w:val="20"/>
                <w:szCs w:val="20"/>
                <w:lang w:val="en-US" w:eastAsia="zh-CN"/>
              </w:rPr>
              <w:t>三次）</w:t>
            </w:r>
          </w:p>
          <w:p w14:paraId="31174EEE">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项目编号：FW-CW-CW-2026033</w:t>
            </w:r>
          </w:p>
          <w:p w14:paraId="79B8A754">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3. </w:t>
            </w:r>
            <w:r>
              <w:rPr>
                <w:rFonts w:hint="eastAsia" w:ascii="宋体" w:hAnsi="宋体" w:eastAsia="宋体" w:cs="宋体"/>
                <w:sz w:val="20"/>
                <w:szCs w:val="20"/>
                <w:lang w:eastAsia="zh-CN"/>
              </w:rPr>
              <w:t>项目地点：中山市小榄镇坦背沿河西路</w:t>
            </w:r>
            <w:r>
              <w:rPr>
                <w:rFonts w:hint="eastAsia" w:ascii="宋体" w:hAnsi="宋体" w:eastAsia="宋体" w:cs="宋体"/>
                <w:sz w:val="20"/>
                <w:szCs w:val="20"/>
                <w:lang w:val="en-US" w:eastAsia="zh-CN"/>
              </w:rPr>
              <w:t>19号</w:t>
            </w:r>
          </w:p>
          <w:p w14:paraId="4F96DDD2">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4. 项目底价：人民币10000元（采用残值回收模式，由供应商向采购人支付残值费用，供应商报价即为此残值回收报价，且拆除、运输及处置等相关费用均由供应商自行承担）</w:t>
            </w:r>
          </w:p>
          <w:p w14:paraId="25000EBE">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5. 工期要求：自合同签订之日起7个日历天内完成全部工作</w:t>
            </w:r>
          </w:p>
          <w:p w14:paraId="384E63FB">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6. 本项目所提供的数据仅供参考，供应商应依据现场实际状况复核工程量。若存在疑问，须以书面形式提出，否则将视为清单要求已涵盖项目实际的全部内容及配套收尾工程。</w:t>
            </w:r>
          </w:p>
          <w:p w14:paraId="00DF1075">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7</w:t>
            </w:r>
            <w:r>
              <w:rPr>
                <w:rFonts w:hint="eastAsia" w:ascii="宋体" w:hAnsi="宋体" w:eastAsia="宋体" w:cs="宋体"/>
                <w:sz w:val="20"/>
                <w:szCs w:val="20"/>
                <w:lang w:eastAsia="zh-CN"/>
              </w:rPr>
              <w:t>. 本项目采用总价承包方式，报价应包含人工、材料、机械、运输、残值处置、安全措施、税金等所有相关费用。</w:t>
            </w:r>
          </w:p>
          <w:p w14:paraId="11EC363D">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8. </w:t>
            </w:r>
            <w:r>
              <w:rPr>
                <w:rFonts w:hint="eastAsia" w:ascii="宋体" w:hAnsi="宋体" w:eastAsia="宋体" w:cs="宋体"/>
                <w:sz w:val="20"/>
                <w:szCs w:val="20"/>
                <w:lang w:eastAsia="zh-CN"/>
              </w:rPr>
              <w:t>拆除规模与范围：</w:t>
            </w:r>
          </w:p>
          <w:p w14:paraId="7638FC70">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8.1 本次拆除的板房位于中山市小榄镇坦背沿河西路19号坦背院区办公楼天台及门诊楼天台，总建筑面积约700平方米。其中，办公楼天台与门诊楼天台的板房均为单层结构，采用轻钢骨架复合彩钢板围护体系，基础依托原建筑物天面。</w:t>
            </w:r>
          </w:p>
          <w:p w14:paraId="54DE536D">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8.2 本次拆除范围仅限于板房主体，原建筑物天面及办公楼楼梯口不锈钢门予以保留。拆除后需对场地进行平整，并负责建筑垃圾的清运与处置。板房内存在以下固定资产：挂式空气消毒机3台、柜式空气消毒机1台、手术无影灯5套、供氧系统1套、大会议桌1张。其中，空气消毒机与手术无影灯拆除后需搬运至住院部四楼的指定房间内集中摆放。</w:t>
            </w:r>
          </w:p>
          <w:p w14:paraId="0F7E308C">
            <w:pPr>
              <w:pStyle w:val="6"/>
              <w:widowControl w:val="0"/>
              <w:kinsoku/>
              <w:autoSpaceDN/>
              <w:adjustRightInd/>
              <w:snapToGrid/>
              <w:spacing w:before="0" w:beforeAutospacing="0" w:after="0" w:afterAutospacing="0"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8.3 本项目的具体内容以现场实际情况复核的工程量及残值价值为准。</w:t>
            </w:r>
          </w:p>
          <w:p w14:paraId="5DEC4B2D">
            <w:pPr>
              <w:pStyle w:val="6"/>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lang w:val="en-US" w:eastAsia="zh-CN"/>
              </w:rPr>
              <w:t>9. 本项目成交供应商在签订合同后3个工作日内，须向采购人缴纳保证金人民币20000元。待工程完成并通过验收后，供应商可向采购人提出退款申请，经审核通过后30个工作日内，该保证金将无息退还成交供应商。</w:t>
            </w:r>
          </w:p>
        </w:tc>
        <w:tc>
          <w:tcPr>
            <w:tcW w:w="1541" w:type="dxa"/>
          </w:tcPr>
          <w:p w14:paraId="5B3B314A">
            <w:pPr>
              <w:pStyle w:val="11"/>
              <w:rPr>
                <w:rFonts w:ascii="宋体" w:hAnsi="宋体" w:eastAsia="宋体" w:cs="宋体"/>
                <w:lang w:eastAsia="zh-CN"/>
              </w:rPr>
            </w:pPr>
          </w:p>
        </w:tc>
        <w:tc>
          <w:tcPr>
            <w:tcW w:w="1510" w:type="dxa"/>
          </w:tcPr>
          <w:p w14:paraId="28582A36">
            <w:pPr>
              <w:pStyle w:val="11"/>
              <w:rPr>
                <w:rFonts w:ascii="宋体" w:hAnsi="宋体" w:eastAsia="宋体" w:cs="宋体"/>
                <w:lang w:eastAsia="zh-CN"/>
              </w:rPr>
            </w:pPr>
          </w:p>
        </w:tc>
      </w:tr>
      <w:tr w14:paraId="1DD114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537" w:hRule="atLeast"/>
        </w:trPr>
        <w:tc>
          <w:tcPr>
            <w:tcW w:w="958" w:type="dxa"/>
            <w:vAlign w:val="center"/>
          </w:tcPr>
          <w:p w14:paraId="2D18E0F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5373" w:type="dxa"/>
          </w:tcPr>
          <w:p w14:paraId="0F66C3F8">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二、供应商的资格要求</w:t>
            </w:r>
          </w:p>
          <w:p w14:paraId="51572898">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 响应供应商须为在中华人民共和国境内注册，能够独立承担民事责任的企业法人、其他组织或自然人。若为分支机构参与投标，须提供总公司与分公司的营业执照复印件，以及总公司出具给分支机构的授权书。</w:t>
            </w:r>
          </w:p>
          <w:p w14:paraId="2F3B66D0">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响应供应商须具备有效的营业执照及相关经营范围，并拥有相应资质（包含但不限于：有效的建筑工程施工总承包三级或以上资质，或钢结构工程专业承包三级及以上资质，同时具备有效的安全生产许可证）。</w:t>
            </w:r>
          </w:p>
          <w:p w14:paraId="1F183CBF">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 响应供应商应具备项目承接能力、合同履约能力、售后保障能力及良好的商业信誉。</w:t>
            </w:r>
          </w:p>
          <w:p w14:paraId="584D3ABF">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4. 响应供应商在参与公开招标活动中，不得有违法违纪行为及受处罚记录，且不存在围标、串标等行为。</w:t>
            </w:r>
          </w:p>
        </w:tc>
        <w:tc>
          <w:tcPr>
            <w:tcW w:w="1541" w:type="dxa"/>
          </w:tcPr>
          <w:p w14:paraId="11B334CA">
            <w:pPr>
              <w:pStyle w:val="11"/>
              <w:rPr>
                <w:rFonts w:ascii="宋体" w:hAnsi="宋体" w:eastAsia="宋体" w:cs="宋体"/>
                <w:lang w:eastAsia="zh-CN"/>
              </w:rPr>
            </w:pPr>
          </w:p>
        </w:tc>
        <w:tc>
          <w:tcPr>
            <w:tcW w:w="1510" w:type="dxa"/>
          </w:tcPr>
          <w:p w14:paraId="0566467E">
            <w:pPr>
              <w:pStyle w:val="11"/>
              <w:rPr>
                <w:rFonts w:ascii="宋体" w:hAnsi="宋体" w:eastAsia="宋体" w:cs="宋体"/>
                <w:lang w:eastAsia="zh-CN"/>
              </w:rPr>
            </w:pPr>
          </w:p>
        </w:tc>
      </w:tr>
      <w:tr w14:paraId="2ACC3E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962" w:hRule="atLeast"/>
        </w:trPr>
        <w:tc>
          <w:tcPr>
            <w:tcW w:w="958" w:type="dxa"/>
            <w:vAlign w:val="center"/>
          </w:tcPr>
          <w:p w14:paraId="7A7E1C2D">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5373" w:type="dxa"/>
          </w:tcPr>
          <w:p w14:paraId="33C610E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三、项目总体要求</w:t>
            </w:r>
          </w:p>
          <w:p w14:paraId="3996CB5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（一）</w:t>
            </w:r>
            <w:r>
              <w:rPr>
                <w:rFonts w:hint="eastAsia" w:ascii="宋体" w:hAnsi="宋体" w:eastAsia="宋体" w:cs="宋体"/>
                <w:sz w:val="20"/>
                <w:szCs w:val="20"/>
                <w:lang w:eastAsia="zh-CN"/>
              </w:rPr>
              <w:t>人员要求</w:t>
            </w:r>
          </w:p>
          <w:p w14:paraId="27C9FD9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 成交供应商须委派1名项目负责人，该负责人应持有有效的二级或以上注册建造师（建筑工程专业）证书及安全生产考核合格证（B证），负责在本项目服务期内对工程现场进行组织、指挥、管理与协调等工作，确保工程在规定期限内完成。在项目完成后的规定保修期内，须根据项目实际保修工作需求随时到场负责指挥，并安排相应的保修工作。在具体零星工程施工期间，应确保项目负责人在岗，若因项目负责人缺位而严重影响工程进展，采购人有权要求更换项目负责人，由此造成的损失由成交供应商承担。【响应方式：①在响应文件中提供拟投入项目负责人的有效二级或以上注册建造师（建筑工程专业）证书、安全生产考核合格证（B证）及身份证复印件；②为证明拟投入项目负责人系供应商员工，供应商需提供为其购买社保证明的复印件（开标当天前三个月内的任意一个月），若供应商成立时间不足1个月，应提供《社保声明函》（详见附件）以替代社保证明（成立时间以营业执照注册时间为准）。】</w:t>
            </w:r>
          </w:p>
          <w:p w14:paraId="5CE643D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2. 成交供应商需委派1名专职安全员，该安全员应持有安全生产考核合格证（C证）及建筑工程相关专业助理工程师（初级）或以上职称，负责项目的安全管理、检查与监督工作。</w:t>
            </w:r>
          </w:p>
          <w:p w14:paraId="6D90B28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3. 对于须持证上岗的作业项目，如高空作业、电工、焊工等，操作人员人员</w:t>
            </w:r>
            <w:r>
              <w:rPr>
                <w:rFonts w:hint="eastAsia" w:ascii="宋体" w:hAnsi="宋体" w:eastAsia="宋体" w:cs="宋体"/>
                <w:sz w:val="20"/>
                <w:szCs w:val="20"/>
                <w:lang w:eastAsia="zh-CN"/>
              </w:rPr>
              <w:t>【响应方式：提供承诺函。】</w:t>
            </w:r>
          </w:p>
          <w:p w14:paraId="6B8B297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4. 建筑工程施工人员人身保险单（供应商投标时提供承诺函，中标后须向采购人提交有效期内复印件）</w:t>
            </w:r>
          </w:p>
          <w:p w14:paraId="557D126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（二）</w:t>
            </w:r>
            <w:r>
              <w:rPr>
                <w:rFonts w:hint="eastAsia" w:ascii="宋体" w:hAnsi="宋体" w:eastAsia="宋体" w:cs="宋体"/>
                <w:sz w:val="20"/>
                <w:szCs w:val="20"/>
                <w:lang w:eastAsia="zh-CN"/>
              </w:rPr>
              <w:t>清拆要求：</w:t>
            </w:r>
          </w:p>
          <w:p w14:paraId="0423832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 本次拆除范围仅限板房主体，原建筑物天面及办公楼楼梯口不锈钢门予以保留。施工完成后需进行场地平整及建筑垃圾清运处置工作。板房内包含以下固定资产：挂式空气消毒机3台、柜式空气消毒机1台、手术无影灯5套、供氧系统1套、大会议桌1张。其中空气消毒机与手术无影灯拆除后须搬运至住院部四楼房间内集中存放。</w:t>
            </w:r>
          </w:p>
          <w:p w14:paraId="5DB8D14C">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2. 成交供应商须严格依照相关部门规定，配备防尘设施设备，规范设置警戒线，严防扬尘污染，确保不影响周边环境卫生。</w:t>
            </w:r>
          </w:p>
          <w:p w14:paraId="5867122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3. 成交供应商应接受主管部门监督，完成施工备案流程并满足审批部门各项要求，建筑垃圾处理须按规定在行政管理部门完成方案备案、排放核准等手续。</w:t>
            </w:r>
          </w:p>
          <w:p w14:paraId="7D3E0CC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4. </w:t>
            </w:r>
            <w:r>
              <w:rPr>
                <w:rFonts w:hint="eastAsia" w:ascii="宋体" w:hAnsi="宋体" w:eastAsia="宋体" w:cs="宋体"/>
                <w:sz w:val="20"/>
                <w:szCs w:val="20"/>
                <w:lang w:eastAsia="zh-CN"/>
              </w:rPr>
              <w:t>成交供应商须确保清拆工作符合国家及履约地相关安全质量标准、行业技术规范标准与环保节能标准。</w:t>
            </w:r>
          </w:p>
          <w:p w14:paraId="4FA9617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5. 板房等建（构）筑物拆除后，成交供应商须按时将全部拆除物（含建筑垃圾及可回收废旧材料等）清运出场。除医院固定资产外，成交供应商拥有对拆除物的处置权，但须依照国家相关法律法规及广东省、中山市有关规定进行合规处置。渣土、垃圾须运送至相关部门指定地点倾倒，出场前应冲洗车轮及车身，运输过程中确保车辆清洁、封盖严密，防止抛洒、溢漏及道路、城市环境污染。否则，由此产生的一切经济及法律责任由成交供应商自行承担。供应商须安排专人指挥交通，避免发生交通事故或造成交通堵塞。</w:t>
            </w:r>
          </w:p>
          <w:p w14:paraId="4E5CBEE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6. 清拆工程质量须接受采购人或监理单位验收。</w:t>
            </w:r>
          </w:p>
          <w:p w14:paraId="557ED9A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7. 成交供应商必须严格依据相关法规施工作业，落实文明施工要求，主动与周边单位及群众做好协调工作。应采取有效措施降低噪音与粉尘污染，严格执行环保规定：通过洒水降尘控制粉尘，合理控制施工噪声，消除安全隐患。施工过程中须保障周边道路畅通、水电供应正常、排水系统通畅，确保周边环境设施完好。施工时间按国家相关规定执行，暂定每日上午8:00-12:00、下午14:00-18:00，如需调整由双方协商确定。应合理安排作业时间，保障施工现场周边群众正常工作与休息，不得对附近办公区域、商业大楼及住户的正常生产生活造成显著影响。</w:t>
            </w:r>
          </w:p>
          <w:p w14:paraId="5424A6E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三</w:t>
            </w:r>
            <w:r>
              <w:rPr>
                <w:rFonts w:hint="eastAsia" w:ascii="宋体" w:hAnsi="宋体" w:eastAsia="宋体" w:cs="宋体"/>
                <w:sz w:val="20"/>
                <w:szCs w:val="20"/>
                <w:lang w:eastAsia="zh-CN"/>
              </w:rPr>
              <w:t>）安全施工要求：</w:t>
            </w:r>
          </w:p>
          <w:p w14:paraId="17AC72A2">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 成交供应商应严格遵守安全生产管理规定及采购人、上级主管部门的监督要求。负责在施工前对施工人员进行安全教育，制定安全施工方案，配备足额专职安全员，在施工现场设置安全标识与警示标语。自清拆工作实施起至总体验收合格期间，须全面落实安全防护措施，消除事故隐患；配合采购人做好拆除过程中的维稳工作；拆除期间须服从采购人现场统一管理与指挥，遇拆除障碍时及时向采购人报告，确保拆除工作安全顺利进行。施工人员进入现场须佩戴安全帽，高空作业人员应穿着防滑鞋、系挂安全带，按规定配备并使用有效安全防护用品。现场须设置专职监护人员，严禁废品回收人员等非施工人员进入，防止意外事故发生。</w:t>
            </w:r>
          </w:p>
          <w:p w14:paraId="3AB479E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2. 为保障现场周边及过往群众的安全与通行便利，在必要时及采购人或有关主管部门要求的情况下，成交供应商须负责提供照明、警卫、护棚、警告标志等安全防护设施，并承担相应责任。成交供应商须为施工人员购买安全责任保险（保险责任应包含从业人员责任险、第三者责任险、救援费用责任险），现场施工须遵守国家及地方关于劳动安全、劳务用工的法律法规与规章制度，确保用工合法合规。成交供应商必须按国家有关规定为施工人员配备合格的劳动防护用品与安全用具，因清拆施工引发的工作人员或过往群众安全事故，由成交供应商承担全部责任。</w:t>
            </w:r>
          </w:p>
          <w:p w14:paraId="37A88C93">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3. 成交供应商保证施工人员均经过专业技能培训，操作专业设备的技术人员须持有有效上岗证。成交供应商应从事拆除作业的人员须严格依照法律法规落实安全作业责任，规范佩戴安全帽，进行高处作业时应系牢安全带，进入危险区域必须采取严格的防护措施。施工过程中若发生伤亡责任事故，应严格按照法定程序及时限向有关部门报告，严禁拖延或隐瞒。</w:t>
            </w:r>
          </w:p>
          <w:p w14:paraId="7BC7518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4. 拆除区域须设置连续封闭的围挡，围挡效果图须经采购人或监理单位确认同意后方可实施设置，成交供应商须无条件遵从采购人或监理单位关于围挡设置的调整意见。（若存在毗邻房屋的附属物影响围挡施工，成交供应商应与毗邻房屋业主进行沟通，在征得业主同意后，对所拆除的附属物，应在工程竣工后予以重新修复或搭建，由此产生的相关费用由成交供应商承担。）</w:t>
            </w:r>
          </w:p>
          <w:p w14:paraId="39E5943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5. 施工区域周边应设置临时交通标志、夜间反光警示灯，并配备专职交通引导员；人行道严禁堆放材料或设备；运输车辆须错峰进出（避开7:30-9:00、17:00-19:00高峰时段）。</w:t>
            </w:r>
          </w:p>
          <w:p w14:paraId="2498D1F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四</w:t>
            </w:r>
            <w:r>
              <w:rPr>
                <w:rFonts w:hint="eastAsia" w:ascii="宋体" w:hAnsi="宋体" w:eastAsia="宋体" w:cs="宋体"/>
                <w:sz w:val="20"/>
                <w:szCs w:val="20"/>
                <w:lang w:eastAsia="zh-CN"/>
              </w:rPr>
              <w:t>）施工技术要求：</w:t>
            </w:r>
          </w:p>
          <w:p w14:paraId="17229AB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1. </w:t>
            </w:r>
            <w:r>
              <w:rPr>
                <w:rFonts w:hint="eastAsia" w:ascii="宋体" w:hAnsi="宋体" w:eastAsia="宋体" w:cs="宋体"/>
                <w:sz w:val="20"/>
                <w:szCs w:val="20"/>
                <w:lang w:eastAsia="zh-CN"/>
              </w:rPr>
              <w:t>拆除工程必须严格执行行业标准《建筑拆除工程安全技术规范》（JGJ147-2016）。具体技术要求如下：</w:t>
            </w:r>
          </w:p>
          <w:p w14:paraId="429BA1AD">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（1）拆除顺序：拆除施工应自上而下分区域进行，严禁实施立体交叉作业。具体可按照“先清理后拆除、先地上后地下、先非承重后承重”的原则执行。</w:t>
            </w:r>
          </w:p>
          <w:p w14:paraId="2366F30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2）安全监测：拆除过程中应对拆除物的稳定状态进行监测，一旦发现安全隐患，必须立即停止作业；当局部构件拆除可能影响结构安全时，应先进行加固，再实施拆除。</w:t>
            </w:r>
          </w:p>
          <w:p w14:paraId="1BA22DE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3）拆除前准备：应首先切断电源、水源，而后拆除设备管线设施及主体结构。</w:t>
            </w:r>
          </w:p>
          <w:p w14:paraId="79FAD0C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4）保留部分保护：若需保留部分板房，应采取有效保护措施，确保保留部分的结构安全及功能完整。</w:t>
            </w:r>
          </w:p>
          <w:p w14:paraId="68DFAF7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w:t>
            </w:r>
            <w:r>
              <w:rPr>
                <w:rFonts w:hint="eastAsia" w:ascii="宋体" w:hAnsi="宋体" w:eastAsia="宋体" w:cs="宋体"/>
                <w:sz w:val="20"/>
                <w:szCs w:val="20"/>
                <w:lang w:val="en-US" w:eastAsia="zh-CN"/>
              </w:rPr>
              <w:t>五</w:t>
            </w:r>
            <w:r>
              <w:rPr>
                <w:rFonts w:hint="eastAsia" w:ascii="宋体" w:hAnsi="宋体" w:eastAsia="宋体" w:cs="宋体"/>
                <w:sz w:val="20"/>
                <w:szCs w:val="20"/>
                <w:lang w:eastAsia="zh-CN"/>
              </w:rPr>
              <w:t>）成交供应商的责任：</w:t>
            </w:r>
          </w:p>
          <w:p w14:paraId="71D84ABF">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1. 在清拆、清运等施工期间，成交供应商应文明规范施工，落实安全防范措施，施工人员的人身安全由成交供应商负责，且成交供应商必须为现场施工人员购买意外保险。</w:t>
            </w:r>
          </w:p>
          <w:p w14:paraId="0B3BAA1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2. </w:t>
            </w:r>
            <w:r>
              <w:rPr>
                <w:rFonts w:hint="eastAsia" w:ascii="宋体" w:hAnsi="宋体" w:eastAsia="宋体" w:cs="宋体"/>
                <w:sz w:val="20"/>
                <w:szCs w:val="20"/>
                <w:lang w:eastAsia="zh-CN"/>
              </w:rPr>
              <w:t>成交供应商在施工过程中，如因清拆工程导致人身损害、财产损失、劳资纠纷等情况，一律由成交供应商承担全部责任及赔偿费用，具体包括但不限于以下情形：</w:t>
            </w:r>
            <w:r>
              <w:rPr>
                <w:rFonts w:hint="eastAsia" w:ascii="宋体" w:hAnsi="宋体" w:eastAsia="宋体" w:cs="宋体"/>
                <w:sz w:val="20"/>
                <w:szCs w:val="20"/>
                <w:lang w:eastAsia="zh-CN"/>
              </w:rPr>
              <w:br w:type="textWrapping"/>
            </w:r>
            <w:r>
              <w:rPr>
                <w:rFonts w:hint="eastAsia" w:ascii="宋体" w:hAnsi="宋体" w:eastAsia="宋体" w:cs="宋体"/>
                <w:sz w:val="20"/>
                <w:szCs w:val="20"/>
                <w:lang w:eastAsia="zh-CN"/>
              </w:rPr>
              <w:t>（1）对周边房屋等造成损坏的；</w:t>
            </w:r>
            <w:r>
              <w:rPr>
                <w:rFonts w:hint="eastAsia" w:ascii="宋体" w:hAnsi="宋体" w:eastAsia="宋体" w:cs="宋体"/>
                <w:sz w:val="20"/>
                <w:szCs w:val="20"/>
                <w:lang w:eastAsia="zh-CN"/>
              </w:rPr>
              <w:br w:type="textWrapping"/>
            </w:r>
            <w:r>
              <w:rPr>
                <w:rFonts w:hint="eastAsia" w:ascii="宋体" w:hAnsi="宋体" w:eastAsia="宋体" w:cs="宋体"/>
                <w:sz w:val="20"/>
                <w:szCs w:val="20"/>
                <w:lang w:eastAsia="zh-CN"/>
              </w:rPr>
              <w:t>（2）对周边行人的人身安全造成损害的；</w:t>
            </w:r>
            <w:r>
              <w:rPr>
                <w:rFonts w:hint="eastAsia" w:ascii="宋体" w:hAnsi="宋体" w:eastAsia="宋体" w:cs="宋体"/>
                <w:sz w:val="20"/>
                <w:szCs w:val="20"/>
                <w:lang w:eastAsia="zh-CN"/>
              </w:rPr>
              <w:br w:type="textWrapping"/>
            </w:r>
            <w:r>
              <w:rPr>
                <w:rFonts w:hint="eastAsia" w:ascii="宋体" w:hAnsi="宋体" w:eastAsia="宋体" w:cs="宋体"/>
                <w:sz w:val="20"/>
                <w:szCs w:val="20"/>
                <w:lang w:eastAsia="zh-CN"/>
              </w:rPr>
              <w:t>（3）对周边行车或停泊车辆造成损坏的；</w:t>
            </w:r>
            <w:r>
              <w:rPr>
                <w:rFonts w:hint="eastAsia" w:ascii="宋体" w:hAnsi="宋体" w:eastAsia="宋体" w:cs="宋体"/>
                <w:sz w:val="20"/>
                <w:szCs w:val="20"/>
                <w:lang w:eastAsia="zh-CN"/>
              </w:rPr>
              <w:br w:type="textWrapping"/>
            </w:r>
            <w:r>
              <w:rPr>
                <w:rFonts w:hint="eastAsia" w:ascii="宋体" w:hAnsi="宋体" w:eastAsia="宋体" w:cs="宋体"/>
                <w:sz w:val="20"/>
                <w:szCs w:val="20"/>
                <w:lang w:eastAsia="zh-CN"/>
              </w:rPr>
              <w:t>（4）对周边公共设施造成损坏的；</w:t>
            </w:r>
            <w:r>
              <w:rPr>
                <w:rFonts w:hint="eastAsia" w:ascii="宋体" w:hAnsi="宋体" w:eastAsia="宋体" w:cs="宋体"/>
                <w:sz w:val="20"/>
                <w:szCs w:val="20"/>
                <w:lang w:eastAsia="zh-CN"/>
              </w:rPr>
              <w:br w:type="textWrapping"/>
            </w:r>
            <w:r>
              <w:rPr>
                <w:rFonts w:hint="eastAsia" w:ascii="宋体" w:hAnsi="宋体" w:eastAsia="宋体" w:cs="宋体"/>
                <w:sz w:val="20"/>
                <w:szCs w:val="20"/>
                <w:lang w:eastAsia="zh-CN"/>
              </w:rPr>
              <w:t>（5）成交供应商与其施工人员之间的劳动纠纷、工伤保险待遇纠纷等。</w:t>
            </w:r>
          </w:p>
          <w:p w14:paraId="7C07F0FA">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 xml:space="preserve">3. </w:t>
            </w:r>
            <w:r>
              <w:rPr>
                <w:rFonts w:hint="eastAsia" w:ascii="宋体" w:hAnsi="宋体" w:eastAsia="宋体" w:cs="宋体"/>
                <w:sz w:val="20"/>
                <w:szCs w:val="20"/>
                <w:lang w:eastAsia="zh-CN"/>
              </w:rPr>
              <w:t>因施工引发管线破损、道路塌陷等事故，成交供应商须立即停工，并承担全部修复费用及赔偿责任。</w:t>
            </w:r>
          </w:p>
        </w:tc>
        <w:tc>
          <w:tcPr>
            <w:tcW w:w="1541" w:type="dxa"/>
          </w:tcPr>
          <w:p w14:paraId="6483D143">
            <w:pPr>
              <w:pStyle w:val="11"/>
              <w:rPr>
                <w:rFonts w:ascii="宋体" w:hAnsi="宋体" w:eastAsia="宋体" w:cs="宋体"/>
                <w:lang w:eastAsia="zh-CN"/>
              </w:rPr>
            </w:pPr>
          </w:p>
        </w:tc>
        <w:tc>
          <w:tcPr>
            <w:tcW w:w="1510" w:type="dxa"/>
          </w:tcPr>
          <w:p w14:paraId="774B4E9C">
            <w:pPr>
              <w:pStyle w:val="11"/>
              <w:rPr>
                <w:rFonts w:ascii="宋体" w:hAnsi="宋体" w:eastAsia="宋体" w:cs="宋体"/>
                <w:lang w:eastAsia="zh-CN"/>
              </w:rPr>
            </w:pPr>
          </w:p>
        </w:tc>
      </w:tr>
      <w:tr w14:paraId="515EF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210" w:hRule="atLeast"/>
        </w:trPr>
        <w:tc>
          <w:tcPr>
            <w:tcW w:w="958" w:type="dxa"/>
            <w:vAlign w:val="center"/>
          </w:tcPr>
          <w:p w14:paraId="66BBC161">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5373" w:type="dxa"/>
          </w:tcPr>
          <w:p w14:paraId="5F2CE6FD">
            <w:pPr>
              <w:pStyle w:val="3"/>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四、工程质量要求</w:t>
            </w:r>
          </w:p>
          <w:p w14:paraId="1F0659A0">
            <w:pPr>
              <w:pStyle w:val="3"/>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 工程质量须符合国家及行业规定的建筑工程质量检验评定“合格”标准。</w:t>
            </w:r>
          </w:p>
          <w:p w14:paraId="075073E0">
            <w:pPr>
              <w:pStyle w:val="3"/>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成交供应商应严格依据国家颁布的现行施工规范及安全操作规程进行施工。</w:t>
            </w:r>
          </w:p>
          <w:p w14:paraId="739725E1">
            <w:pPr>
              <w:pStyle w:val="3"/>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 施工现场各类管线、设施情况复杂，施工期间应注意保护原有设备设施，若造成损坏，成交供应商应负责修复或照价赔偿。</w:t>
            </w:r>
          </w:p>
          <w:p w14:paraId="2A54B112">
            <w:pPr>
              <w:pStyle w:val="3"/>
              <w:keepNext w:val="0"/>
              <w:keepLines w:val="0"/>
              <w:pageBreakBefore w:val="0"/>
              <w:widowControl/>
              <w:kinsoku w:val="0"/>
              <w:wordWrap/>
              <w:overflowPunct/>
              <w:topLinePunct w:val="0"/>
              <w:autoSpaceDE w:val="0"/>
              <w:autoSpaceDN w:val="0"/>
              <w:bidi w:val="0"/>
              <w:adjustRightInd w:val="0"/>
              <w:snapToGrid w:val="0"/>
              <w:spacing w:line="240" w:lineRule="exact"/>
              <w:textAlignment w:val="baseline"/>
              <w:rPr>
                <w:rFonts w:hint="default"/>
                <w:lang w:val="en-US" w:eastAsia="zh-CN"/>
              </w:rPr>
            </w:pPr>
            <w:r>
              <w:rPr>
                <w:rFonts w:hint="eastAsia" w:ascii="宋体" w:hAnsi="宋体" w:eastAsia="宋体" w:cs="宋体"/>
                <w:sz w:val="20"/>
                <w:szCs w:val="20"/>
                <w:lang w:val="en-US" w:eastAsia="zh-CN"/>
              </w:rPr>
              <w:t>4. 因成交供应商原因导致工程质量未达到双方约定标准的，采购人有权要求成交供应商在规定期限内返工，直至工程质量符合合同约定标准，由此增加的费用和（或）延误的工期由成交供应商承担。</w:t>
            </w:r>
          </w:p>
        </w:tc>
        <w:tc>
          <w:tcPr>
            <w:tcW w:w="1541" w:type="dxa"/>
          </w:tcPr>
          <w:p w14:paraId="193D8761">
            <w:pPr>
              <w:pStyle w:val="11"/>
              <w:rPr>
                <w:rFonts w:ascii="宋体" w:hAnsi="宋体" w:eastAsia="宋体" w:cs="宋体"/>
                <w:lang w:eastAsia="zh-CN"/>
              </w:rPr>
            </w:pPr>
          </w:p>
        </w:tc>
        <w:tc>
          <w:tcPr>
            <w:tcW w:w="1510" w:type="dxa"/>
          </w:tcPr>
          <w:p w14:paraId="091A4CD4">
            <w:pPr>
              <w:pStyle w:val="11"/>
              <w:rPr>
                <w:rFonts w:ascii="宋体" w:hAnsi="宋体" w:eastAsia="宋体" w:cs="宋体"/>
                <w:lang w:eastAsia="zh-CN"/>
              </w:rPr>
            </w:pPr>
          </w:p>
        </w:tc>
      </w:tr>
      <w:tr w14:paraId="15F7B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468" w:hRule="atLeast"/>
        </w:trPr>
        <w:tc>
          <w:tcPr>
            <w:tcW w:w="958" w:type="dxa"/>
            <w:vAlign w:val="center"/>
          </w:tcPr>
          <w:p w14:paraId="7F4016B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5373" w:type="dxa"/>
          </w:tcPr>
          <w:p w14:paraId="0C21506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五、材料及设备要求</w:t>
            </w:r>
          </w:p>
          <w:p w14:paraId="3A2FE49E">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本项目施工所需的设备由成交供应商自行解决（相关费用已包含在成交价中）。</w:t>
            </w:r>
          </w:p>
          <w:p w14:paraId="27BA6E0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w:t>
            </w:r>
            <w:r>
              <w:rPr>
                <w:rFonts w:hint="eastAsia" w:ascii="宋体" w:hAnsi="宋体" w:eastAsia="宋体" w:cs="宋体"/>
                <w:sz w:val="20"/>
                <w:szCs w:val="20"/>
                <w:lang w:val="en-US" w:eastAsia="zh-CN"/>
              </w:rPr>
              <w:t xml:space="preserve"> </w:t>
            </w:r>
            <w:r>
              <w:rPr>
                <w:rFonts w:hint="eastAsia" w:ascii="宋体" w:hAnsi="宋体" w:eastAsia="宋体" w:cs="宋体"/>
                <w:sz w:val="20"/>
                <w:szCs w:val="20"/>
                <w:lang w:eastAsia="zh-CN"/>
              </w:rPr>
              <w:t>本项目所用材料由成交供应商自行采购（相关费用已包含在成交价中）。所用材料必须符合国家及行业质量要求，主要材料需提供出厂合格证或检验报告，并经采购人、设计单位、监理单位（若有）共同确认后方可使用。</w:t>
            </w:r>
          </w:p>
          <w:p w14:paraId="070DB410">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3.</w:t>
            </w:r>
            <w:r>
              <w:rPr>
                <w:rFonts w:hint="eastAsia" w:ascii="宋体" w:hAnsi="宋体" w:eastAsia="宋体" w:cs="宋体"/>
                <w:sz w:val="20"/>
                <w:szCs w:val="20"/>
                <w:lang w:val="en-US" w:eastAsia="zh-CN"/>
              </w:rPr>
              <w:t xml:space="preserve"> 采购人保留对本工程使用的主要材料品质进行确认审查的权利，以及另行委托第三方检测机构对本工程进行独立检测的权利。</w:t>
            </w:r>
          </w:p>
        </w:tc>
        <w:tc>
          <w:tcPr>
            <w:tcW w:w="1541" w:type="dxa"/>
          </w:tcPr>
          <w:p w14:paraId="400EB205">
            <w:pPr>
              <w:pStyle w:val="11"/>
              <w:rPr>
                <w:rFonts w:ascii="宋体" w:hAnsi="宋体" w:eastAsia="宋体" w:cs="宋体"/>
                <w:lang w:eastAsia="zh-CN"/>
              </w:rPr>
            </w:pPr>
          </w:p>
        </w:tc>
        <w:tc>
          <w:tcPr>
            <w:tcW w:w="1510" w:type="dxa"/>
          </w:tcPr>
          <w:p w14:paraId="4379F7B4">
            <w:pPr>
              <w:pStyle w:val="11"/>
              <w:rPr>
                <w:rFonts w:ascii="宋体" w:hAnsi="宋体" w:eastAsia="宋体" w:cs="宋体"/>
                <w:lang w:eastAsia="zh-CN"/>
              </w:rPr>
            </w:pPr>
          </w:p>
        </w:tc>
      </w:tr>
      <w:tr w14:paraId="7B31F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753" w:hRule="atLeast"/>
        </w:trPr>
        <w:tc>
          <w:tcPr>
            <w:tcW w:w="958" w:type="dxa"/>
            <w:vAlign w:val="center"/>
          </w:tcPr>
          <w:p w14:paraId="5E6150C9">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6</w:t>
            </w:r>
          </w:p>
        </w:tc>
        <w:tc>
          <w:tcPr>
            <w:tcW w:w="5373" w:type="dxa"/>
          </w:tcPr>
          <w:p w14:paraId="1ED96335">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六、安全文明措施</w:t>
            </w:r>
          </w:p>
          <w:p w14:paraId="7CC2F79F">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安全文明施工应达到中山市规定的文明工地标准，并按照采购人的相关制度执行。</w:t>
            </w:r>
          </w:p>
          <w:p w14:paraId="7892B0AC">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成交供应商应遵守工程建设安全生产有关管理规定，严格依照安全标准组织施工，采取必要的安全防护措施，消除事故隐患。严格按照安全技术操作规程进行操作，采取严格科学的安全措施，确保施工安全和第三施工方应保障作业人员安全，对因自身安全措施不足引发的事故承担全部责任及相关费用。</w:t>
            </w:r>
          </w:p>
          <w:p w14:paraId="6AC3C2CB">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w:t>
            </w:r>
            <w:r>
              <w:rPr>
                <w:rFonts w:hint="eastAsia" w:ascii="宋体" w:hAnsi="宋体" w:eastAsia="宋体" w:cs="宋体"/>
                <w:color w:val="auto"/>
                <w:sz w:val="20"/>
                <w:szCs w:val="20"/>
                <w:shd w:val="clear" w:color="auto" w:fill="FFFFFF"/>
                <w:lang w:val="en-US" w:eastAsia="zh-CN" w:bidi="ar"/>
              </w:rPr>
              <w:t xml:space="preserve"> 成交供应商在施工期间须严格遵守国家及省、市关于防火、爆破、施工安全、文明施工、夜间施工、环境卫生及城市管理等相关规定，建立健全规章制度并落实防护措施。</w:t>
            </w:r>
          </w:p>
          <w:p w14:paraId="77B97DC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4.</w:t>
            </w:r>
            <w:r>
              <w:rPr>
                <w:rFonts w:hint="eastAsia" w:ascii="宋体" w:hAnsi="宋体" w:eastAsia="宋体" w:cs="宋体"/>
                <w:color w:val="auto"/>
                <w:sz w:val="20"/>
                <w:szCs w:val="20"/>
                <w:shd w:val="clear" w:color="auto" w:fill="FFFFFF"/>
                <w:lang w:val="en-US" w:eastAsia="zh-CN" w:bidi="ar"/>
              </w:rPr>
              <w:t xml:space="preserve"> 施工过程中应遵循文明施工要求，严格遵守现场管理规定，服从主管部门监管，保持施工区域环境卫生整洁，妥善处理现场垃圾，控制施工噪音，避免对周边人员造成影响。</w:t>
            </w:r>
          </w:p>
          <w:p w14:paraId="36C9F341">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5.</w:t>
            </w:r>
            <w:r>
              <w:rPr>
                <w:rFonts w:hint="eastAsia" w:ascii="宋体" w:hAnsi="宋体" w:eastAsia="宋体" w:cs="宋体"/>
                <w:color w:val="auto"/>
                <w:sz w:val="20"/>
                <w:szCs w:val="20"/>
                <w:shd w:val="clear" w:color="auto" w:fill="FFFFFF"/>
                <w:lang w:val="en-US" w:eastAsia="zh-CN" w:bidi="ar"/>
              </w:rPr>
              <w:t xml:space="preserve"> 落实安全施工规范，在施工现场设置安全警示标识，对危险区域实施有效围蔽，严禁无关人员进入；施工期间须确保用电安全，规范操作流程，保障自身及他人生命财产安全。因成交供应商责任导致的施工事故，由其承担全部责任。</w:t>
            </w:r>
          </w:p>
          <w:p w14:paraId="7F6CB844">
            <w:pPr>
              <w:widowControl w:val="0"/>
              <w:spacing w:line="240" w:lineRule="exact"/>
              <w:rPr>
                <w:rFonts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6.</w:t>
            </w:r>
            <w:r>
              <w:rPr>
                <w:rFonts w:hint="eastAsia" w:ascii="宋体" w:hAnsi="宋体" w:eastAsia="宋体" w:cs="宋体"/>
                <w:color w:val="auto"/>
                <w:sz w:val="20"/>
                <w:szCs w:val="20"/>
                <w:shd w:val="clear" w:color="auto" w:fill="FFFFFF"/>
                <w:lang w:val="en-US" w:eastAsia="zh-CN" w:bidi="ar"/>
              </w:rPr>
              <w:t xml:space="preserve"> 施工期间，人员安全防护用品须按规定配备；对违规危险施工行为，一经发现将予以严肃处理；特种作业人员须经专业培训并持有效证件上岗，上岗前应接受专项安全培训。</w:t>
            </w:r>
          </w:p>
        </w:tc>
        <w:tc>
          <w:tcPr>
            <w:tcW w:w="1541" w:type="dxa"/>
          </w:tcPr>
          <w:p w14:paraId="0ECC2677">
            <w:pPr>
              <w:pStyle w:val="11"/>
              <w:rPr>
                <w:rFonts w:ascii="宋体" w:hAnsi="宋体" w:eastAsia="宋体" w:cs="宋体"/>
                <w:lang w:eastAsia="zh-CN"/>
              </w:rPr>
            </w:pPr>
          </w:p>
        </w:tc>
        <w:tc>
          <w:tcPr>
            <w:tcW w:w="1510" w:type="dxa"/>
          </w:tcPr>
          <w:p w14:paraId="79CBAC54">
            <w:pPr>
              <w:pStyle w:val="11"/>
              <w:rPr>
                <w:rFonts w:ascii="宋体" w:hAnsi="宋体" w:eastAsia="宋体" w:cs="宋体"/>
                <w:lang w:eastAsia="zh-CN"/>
              </w:rPr>
            </w:pPr>
          </w:p>
        </w:tc>
      </w:tr>
      <w:tr w14:paraId="4BFA76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054" w:hRule="atLeast"/>
        </w:trPr>
        <w:tc>
          <w:tcPr>
            <w:tcW w:w="958" w:type="dxa"/>
            <w:vAlign w:val="center"/>
          </w:tcPr>
          <w:p w14:paraId="2A8B819C">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5373" w:type="dxa"/>
          </w:tcPr>
          <w:p w14:paraId="5FDC3911">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七、验收</w:t>
            </w:r>
          </w:p>
          <w:p w14:paraId="2FC014DA">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w:t>
            </w:r>
            <w:r>
              <w:rPr>
                <w:rFonts w:hint="eastAsia" w:ascii="宋体" w:hAnsi="宋体" w:eastAsia="宋体" w:cs="宋体"/>
                <w:color w:val="auto"/>
                <w:sz w:val="20"/>
                <w:szCs w:val="20"/>
                <w:shd w:val="clear" w:color="auto" w:fill="FFFFFF"/>
                <w:lang w:val="en-US" w:eastAsia="zh-CN" w:bidi="ar"/>
              </w:rPr>
              <w:t xml:space="preserve"> 工程施工及验收须严格依照国家、省、市现行质量评定标准及施工验收规范执行。本工程质量评定验收标准以设计变更文件及《建筑工程施工质量验收统一标准》（GB50300-2013）等国家现行施工验收规范为依据，工程质量应达到合格标准。</w:t>
            </w:r>
          </w:p>
          <w:p w14:paraId="2CC81839">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w:t>
            </w:r>
            <w:r>
              <w:rPr>
                <w:rFonts w:hint="eastAsia" w:ascii="宋体" w:hAnsi="宋体" w:eastAsia="宋体" w:cs="宋体"/>
                <w:color w:val="auto"/>
                <w:sz w:val="20"/>
                <w:szCs w:val="20"/>
                <w:shd w:val="clear" w:color="auto" w:fill="FFFFFF"/>
                <w:lang w:val="en-US" w:eastAsia="zh-CN" w:bidi="ar"/>
              </w:rPr>
              <w:t xml:space="preserve"> 成交供应商负责确保本工程通过采购人组织的验收。</w:t>
            </w:r>
          </w:p>
          <w:p w14:paraId="1B412FC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3.</w:t>
            </w:r>
            <w:r>
              <w:rPr>
                <w:rFonts w:hint="eastAsia" w:ascii="宋体" w:hAnsi="宋体" w:eastAsia="宋体" w:cs="宋体"/>
                <w:color w:val="auto"/>
                <w:sz w:val="20"/>
                <w:szCs w:val="20"/>
                <w:shd w:val="clear" w:color="auto" w:fill="FFFFFF"/>
                <w:lang w:val="en-US" w:eastAsia="zh-CN" w:bidi="ar"/>
              </w:rPr>
              <w:t xml:space="preserve"> </w:t>
            </w:r>
            <w:r>
              <w:rPr>
                <w:rFonts w:hint="eastAsia" w:ascii="宋体" w:hAnsi="宋体" w:eastAsia="宋体" w:cs="宋体"/>
                <w:color w:val="auto"/>
                <w:sz w:val="20"/>
                <w:szCs w:val="20"/>
                <w:shd w:val="clear" w:color="auto" w:fill="FFFFFF"/>
                <w:lang w:eastAsia="zh-CN" w:bidi="ar"/>
              </w:rPr>
              <w:t>本项目质保期自工程竣工验收合格之日起计算。验收时，成交供应商应向采购人提交质量保修书，质保期内出现的质量问题由成交供应商负责无偿维修。</w:t>
            </w:r>
          </w:p>
        </w:tc>
        <w:tc>
          <w:tcPr>
            <w:tcW w:w="1541" w:type="dxa"/>
          </w:tcPr>
          <w:p w14:paraId="3CC5F3B6">
            <w:pPr>
              <w:pStyle w:val="11"/>
              <w:rPr>
                <w:rFonts w:ascii="宋体" w:hAnsi="宋体" w:eastAsia="宋体" w:cs="宋体"/>
                <w:lang w:eastAsia="zh-CN"/>
              </w:rPr>
            </w:pPr>
          </w:p>
        </w:tc>
        <w:tc>
          <w:tcPr>
            <w:tcW w:w="1510" w:type="dxa"/>
          </w:tcPr>
          <w:p w14:paraId="3ECDB715">
            <w:pPr>
              <w:pStyle w:val="11"/>
              <w:rPr>
                <w:rFonts w:ascii="宋体" w:hAnsi="宋体" w:eastAsia="宋体" w:cs="宋体"/>
                <w:lang w:eastAsia="zh-CN"/>
              </w:rPr>
            </w:pPr>
          </w:p>
        </w:tc>
      </w:tr>
      <w:tr w14:paraId="7EE4C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171" w:hRule="atLeast"/>
        </w:trPr>
        <w:tc>
          <w:tcPr>
            <w:tcW w:w="958" w:type="dxa"/>
            <w:vAlign w:val="center"/>
          </w:tcPr>
          <w:p w14:paraId="46291B8E">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8</w:t>
            </w:r>
          </w:p>
        </w:tc>
        <w:tc>
          <w:tcPr>
            <w:tcW w:w="5373" w:type="dxa"/>
          </w:tcPr>
          <w:p w14:paraId="4C8173B7">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八、违约责任</w:t>
            </w:r>
          </w:p>
          <w:p w14:paraId="2DDF1B7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w:t>
            </w:r>
            <w:r>
              <w:rPr>
                <w:rFonts w:hint="eastAsia" w:ascii="宋体" w:hAnsi="宋体" w:eastAsia="宋体" w:cs="宋体"/>
                <w:color w:val="auto"/>
                <w:sz w:val="20"/>
                <w:szCs w:val="20"/>
                <w:shd w:val="clear" w:color="auto" w:fill="FFFFFF"/>
                <w:lang w:val="en-US" w:eastAsia="zh-CN" w:bidi="ar"/>
              </w:rPr>
              <w:t xml:space="preserve"> 若采购人提出维修需求，成交供应商未能在30分钟内到达现场并采取有效措施响应处理的，每次从保证金中扣减500元。</w:t>
            </w:r>
          </w:p>
          <w:p w14:paraId="2BCC8DAB">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w:t>
            </w:r>
            <w:r>
              <w:rPr>
                <w:rFonts w:hint="eastAsia" w:ascii="宋体" w:hAnsi="宋体" w:eastAsia="宋体" w:cs="宋体"/>
                <w:color w:val="auto"/>
                <w:sz w:val="20"/>
                <w:szCs w:val="20"/>
                <w:shd w:val="clear" w:color="auto" w:fill="FFFFFF"/>
                <w:lang w:val="en-US" w:eastAsia="zh-CN" w:bidi="ar"/>
              </w:rPr>
              <w:t xml:space="preserve"> 维修项目未在采购人要求期限内完成或施工质量未达标准的，成交供应商须在限期内整改；逾期未处理的，采购人有权委托第三方公司实施，同时扣减成交供应商3000元，相关费用及扣减金额从保证金中列支，不足部分采购人有权向成交供应商追偿。</w:t>
            </w:r>
          </w:p>
          <w:p w14:paraId="7098BAB4">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3. 成交供应商负责维修施工现场的安全围蔽及管理工作，因管理不当造成他人损害的，应按过错程度承担赔偿责任；若导致采购人被索赔，采购人有权在成交供应商责任范围内向其追偿。</w:t>
            </w:r>
          </w:p>
          <w:p w14:paraId="7F0815AF">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4. 合同有效期内，若发生重大安全事故造成人员重伤、死亡或重大财产损失的，采购人有权解除合同，成交供应商须按过错程度承担相应责任及赔偿，并向采购人支付违约金5万元。因成交供应商原因导致第三方损害的，由其承担赔偿责任；若采购人已垫付赔偿款项，有权就垫付金额向成交供应商全额追偿。</w:t>
            </w:r>
          </w:p>
          <w:p w14:paraId="32BBB3E9">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5. 成交供应商使用的材料、工具及器械等须符合国家安全标准，严禁使用不合格产品；一经发现，采购人有权解除合同，成交供应商须承担相关责任及赔偿，并支付违约金5万元。</w:t>
            </w:r>
          </w:p>
          <w:p w14:paraId="6C869BB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6. 因成交供应商服务不达标导致周边居民投诉或检查不合格的，每次扣减500元；情节严重的，予以加倍处罚。</w:t>
            </w:r>
          </w:p>
          <w:p w14:paraId="78783F6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7. 因成交供应商服务问题导致采购人遭受第三方索赔、补偿、罚款或其他经济损失的，采购人有权就相关损失及维权产生的律师费等支出向成交供应商全额追偿。</w:t>
            </w:r>
          </w:p>
          <w:p w14:paraId="6AC1E039">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8. 其他未尽违约责任依照《中华人民共和国民法典》相关规定处理。</w:t>
            </w:r>
          </w:p>
          <w:p w14:paraId="25757E3F">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9. 合同履行过程中发生争议的，双方应先行协商解决；协商不成的，可提交主管部门调解；调解仍未达成一致的，依法向采购人所在地人民法院提起诉讼。</w:t>
            </w:r>
          </w:p>
        </w:tc>
        <w:tc>
          <w:tcPr>
            <w:tcW w:w="1541" w:type="dxa"/>
          </w:tcPr>
          <w:p w14:paraId="0F06F75D">
            <w:pPr>
              <w:pStyle w:val="11"/>
              <w:rPr>
                <w:rFonts w:ascii="宋体" w:hAnsi="宋体" w:eastAsia="宋体" w:cs="宋体"/>
                <w:lang w:eastAsia="zh-CN"/>
              </w:rPr>
            </w:pPr>
          </w:p>
        </w:tc>
        <w:tc>
          <w:tcPr>
            <w:tcW w:w="1510" w:type="dxa"/>
          </w:tcPr>
          <w:p w14:paraId="1CE95EF2">
            <w:pPr>
              <w:pStyle w:val="11"/>
              <w:rPr>
                <w:rFonts w:ascii="宋体" w:hAnsi="宋体" w:eastAsia="宋体" w:cs="宋体"/>
                <w:lang w:eastAsia="zh-CN"/>
              </w:rPr>
            </w:pPr>
          </w:p>
        </w:tc>
      </w:tr>
      <w:tr w14:paraId="360388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171" w:hRule="atLeast"/>
        </w:trPr>
        <w:tc>
          <w:tcPr>
            <w:tcW w:w="958" w:type="dxa"/>
            <w:vAlign w:val="center"/>
          </w:tcPr>
          <w:p w14:paraId="652B5B55">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9</w:t>
            </w:r>
          </w:p>
        </w:tc>
        <w:tc>
          <w:tcPr>
            <w:tcW w:w="5373" w:type="dxa"/>
          </w:tcPr>
          <w:p w14:paraId="6FC7135C">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九、付款方式</w:t>
            </w:r>
          </w:p>
          <w:p w14:paraId="02FC0D15">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成交供应商应于成交通知书发出之日起30日内与采购人签订合同，并按采购人通知及合同约定时间进场作业。招标文件、成交供应商响应文件及成交通知书均作为合同签订的重要依据。</w:t>
            </w:r>
          </w:p>
          <w:p w14:paraId="347F44D2">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自成交供应商与采购人签订合同之日起3个工在工作日内，成交供应商须将拆除残值处置款项按照报价金额与项目保证金的总和，一次性全额汇入采购人指定的银行账户。采购人在收到该款项后，应向成交供应商出具相应的收款凭证。若成交供应商逾期未将款项转入指定银行账户，采购人有权取消其中标资格。</w:t>
            </w:r>
            <w:bookmarkStart w:id="0" w:name="_GoBack"/>
            <w:bookmarkEnd w:id="0"/>
          </w:p>
        </w:tc>
        <w:tc>
          <w:tcPr>
            <w:tcW w:w="1541" w:type="dxa"/>
          </w:tcPr>
          <w:p w14:paraId="1CFCF2A1">
            <w:pPr>
              <w:pStyle w:val="11"/>
              <w:rPr>
                <w:rFonts w:ascii="宋体" w:hAnsi="宋体" w:eastAsia="宋体" w:cs="宋体"/>
                <w:lang w:eastAsia="zh-CN"/>
              </w:rPr>
            </w:pPr>
          </w:p>
        </w:tc>
        <w:tc>
          <w:tcPr>
            <w:tcW w:w="1510" w:type="dxa"/>
          </w:tcPr>
          <w:p w14:paraId="5E81E370">
            <w:pPr>
              <w:pStyle w:val="11"/>
              <w:rPr>
                <w:rFonts w:ascii="宋体" w:hAnsi="宋体" w:eastAsia="宋体" w:cs="宋体"/>
                <w:lang w:eastAsia="zh-CN"/>
              </w:rPr>
            </w:pPr>
          </w:p>
        </w:tc>
      </w:tr>
      <w:tr w14:paraId="2537A6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171" w:hRule="atLeast"/>
        </w:trPr>
        <w:tc>
          <w:tcPr>
            <w:tcW w:w="958" w:type="dxa"/>
            <w:vAlign w:val="center"/>
          </w:tcPr>
          <w:p w14:paraId="35C34895">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10</w:t>
            </w:r>
          </w:p>
        </w:tc>
        <w:tc>
          <w:tcPr>
            <w:tcW w:w="5373" w:type="dxa"/>
          </w:tcPr>
          <w:p w14:paraId="46353D7B">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十、报价及评审方式</w:t>
            </w:r>
          </w:p>
          <w:p w14:paraId="52EB993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该项目采取在底价的基础上报出响应上浮率，价高者得的方式（格式详见响应文件模板中（一）报价单）。响应服务商按残值回收模式，项目底价人民币10000元，进行上浮率报价，合同成交金额=（1+中标上浮率）*底价（可保留小数点后两位），报价的上浮率必须是＞0%（不含本位数），否则视为无效报价。</w:t>
            </w:r>
          </w:p>
          <w:p w14:paraId="08867972">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报价次数：1次。</w:t>
            </w:r>
          </w:p>
          <w:p w14:paraId="34A91EE0">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 经资格审查合格后，采用公平竞价方式，本项目以10000元为底价，价高者得为原则，价高者拟决定为成交供应商，如有两家或以上供应商相同报价时，由评审专家按技术方案优劣等综合因素择优选取。</w:t>
            </w:r>
          </w:p>
        </w:tc>
        <w:tc>
          <w:tcPr>
            <w:tcW w:w="1541" w:type="dxa"/>
          </w:tcPr>
          <w:p w14:paraId="7D075FF8">
            <w:pPr>
              <w:pStyle w:val="11"/>
              <w:rPr>
                <w:rFonts w:ascii="宋体" w:hAnsi="宋体" w:eastAsia="宋体" w:cs="宋体"/>
                <w:lang w:eastAsia="zh-CN"/>
              </w:rPr>
            </w:pPr>
          </w:p>
        </w:tc>
        <w:tc>
          <w:tcPr>
            <w:tcW w:w="1510" w:type="dxa"/>
          </w:tcPr>
          <w:p w14:paraId="686D7884">
            <w:pPr>
              <w:pStyle w:val="11"/>
              <w:rPr>
                <w:rFonts w:ascii="宋体" w:hAnsi="宋体" w:eastAsia="宋体" w:cs="宋体"/>
                <w:lang w:eastAsia="zh-CN"/>
              </w:rPr>
            </w:pPr>
          </w:p>
        </w:tc>
      </w:tr>
    </w:tbl>
    <w:p w14:paraId="4C88AA66">
      <w:pPr>
        <w:rPr>
          <w:lang w:eastAsia="zh-CN"/>
        </w:rPr>
      </w:pPr>
    </w:p>
    <w:p w14:paraId="3447D6D1">
      <w:pPr>
        <w:rPr>
          <w:lang w:eastAsia="zh-CN"/>
        </w:rPr>
      </w:pPr>
      <w:r>
        <w:rPr>
          <w:lang w:eastAsia="zh-CN"/>
        </w:rPr>
        <w:br w:type="page"/>
      </w:r>
    </w:p>
    <w:p w14:paraId="12316B45">
      <w:pPr>
        <w:spacing w:before="41" w:line="227" w:lineRule="auto"/>
        <w:jc w:val="both"/>
        <w:rPr>
          <w:rFonts w:hint="default" w:ascii="宋体" w:hAnsi="宋体" w:eastAsia="宋体" w:cs="宋体"/>
          <w:b/>
          <w:bCs/>
          <w:spacing w:val="5"/>
          <w:sz w:val="20"/>
          <w:szCs w:val="20"/>
          <w:lang w:val="en-US" w:eastAsia="zh-CN"/>
        </w:rPr>
      </w:pPr>
      <w:r>
        <w:rPr>
          <w:rFonts w:ascii="宋体" w:hAnsi="宋体" w:eastAsia="宋体" w:cs="宋体"/>
          <w:b/>
          <w:bCs/>
          <w:spacing w:val="5"/>
          <w:sz w:val="20"/>
          <w:szCs w:val="20"/>
          <w:lang w:eastAsia="zh-CN"/>
        </w:rPr>
        <w:t>十</w:t>
      </w:r>
      <w:r>
        <w:rPr>
          <w:rFonts w:hint="eastAsia" w:ascii="宋体" w:hAnsi="宋体" w:eastAsia="宋体" w:cs="宋体"/>
          <w:b/>
          <w:bCs/>
          <w:spacing w:val="5"/>
          <w:sz w:val="20"/>
          <w:szCs w:val="20"/>
          <w:lang w:val="en-US" w:eastAsia="zh-CN"/>
        </w:rPr>
        <w:t>三</w:t>
      </w:r>
      <w:r>
        <w:rPr>
          <w:rFonts w:ascii="宋体" w:hAnsi="宋体" w:eastAsia="宋体" w:cs="宋体"/>
          <w:b/>
          <w:bCs/>
          <w:spacing w:val="5"/>
          <w:sz w:val="20"/>
          <w:szCs w:val="20"/>
          <w:lang w:eastAsia="zh-CN"/>
        </w:rPr>
        <w:t>、</w:t>
      </w:r>
      <w:r>
        <w:rPr>
          <w:rFonts w:hint="eastAsia" w:ascii="宋体" w:hAnsi="宋体" w:eastAsia="宋体" w:cs="宋体"/>
          <w:b/>
          <w:bCs/>
          <w:spacing w:val="5"/>
          <w:sz w:val="20"/>
          <w:szCs w:val="20"/>
          <w:lang w:val="en-US" w:eastAsia="zh-CN"/>
        </w:rPr>
        <w:t>近三年同类业绩相关证明文件</w:t>
      </w:r>
    </w:p>
    <w:p w14:paraId="1D14C0F7">
      <w:pPr>
        <w:spacing w:before="41" w:line="227" w:lineRule="auto"/>
        <w:jc w:val="both"/>
        <w:rPr>
          <w:rFonts w:ascii="宋体" w:hAnsi="宋体" w:eastAsia="宋体" w:cs="宋体"/>
          <w:sz w:val="20"/>
          <w:szCs w:val="20"/>
          <w:lang w:eastAsia="zh-CN"/>
        </w:rPr>
      </w:pPr>
    </w:p>
    <w:p w14:paraId="7029066B">
      <w:pPr>
        <w:pStyle w:val="3"/>
        <w:spacing w:line="260" w:lineRule="auto"/>
        <w:rPr>
          <w:lang w:eastAsia="zh-CN"/>
        </w:rPr>
      </w:pPr>
    </w:p>
    <w:p w14:paraId="2CD238D2">
      <w:pPr>
        <w:pStyle w:val="3"/>
        <w:spacing w:line="261" w:lineRule="auto"/>
        <w:rPr>
          <w:lang w:eastAsia="zh-CN"/>
        </w:rPr>
      </w:pPr>
    </w:p>
    <w:p w14:paraId="02EAC68A">
      <w:pPr>
        <w:keepNext w:val="0"/>
        <w:keepLines w:val="0"/>
        <w:pageBreakBefore w:val="0"/>
        <w:widowControl/>
        <w:kinsoku w:val="0"/>
        <w:wordWrap/>
        <w:overflowPunct/>
        <w:topLinePunct w:val="0"/>
        <w:autoSpaceDE w:val="0"/>
        <w:autoSpaceDN w:val="0"/>
        <w:bidi w:val="0"/>
        <w:adjustRightInd w:val="0"/>
        <w:snapToGrid w:val="0"/>
        <w:spacing w:before="78" w:after="0" w:afterLines="50" w:line="212" w:lineRule="auto"/>
        <w:ind w:left="3572"/>
        <w:textAlignment w:val="baseline"/>
        <w:rPr>
          <w:rFonts w:ascii="宋体" w:hAnsi="宋体" w:eastAsia="宋体" w:cs="宋体"/>
          <w:sz w:val="24"/>
          <w:szCs w:val="24"/>
        </w:rPr>
      </w:pPr>
      <w:r>
        <w:rPr>
          <w:rFonts w:ascii="宋体" w:hAnsi="宋体" w:eastAsia="宋体" w:cs="宋体"/>
          <w:b/>
          <w:bCs/>
          <w:spacing w:val="-4"/>
          <w:sz w:val="24"/>
          <w:szCs w:val="24"/>
        </w:rPr>
        <w:t>业绩一览表</w:t>
      </w:r>
    </w:p>
    <w:tbl>
      <w:tblPr>
        <w:tblStyle w:val="10"/>
        <w:tblW w:w="9191"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7"/>
        <w:gridCol w:w="1854"/>
        <w:gridCol w:w="1986"/>
        <w:gridCol w:w="1722"/>
        <w:gridCol w:w="1191"/>
        <w:gridCol w:w="147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7" w:type="dxa"/>
            <w:tcBorders>
              <w:top w:val="single" w:color="000000" w:sz="2" w:space="0"/>
              <w:left w:val="single" w:color="000000" w:sz="2" w:space="0"/>
            </w:tcBorders>
            <w:shd w:val="clear" w:color="auto" w:fill="E0E0E0"/>
          </w:tcPr>
          <w:p w14:paraId="5DB97775">
            <w:pPr>
              <w:spacing w:before="86" w:line="229" w:lineRule="auto"/>
              <w:ind w:left="136"/>
              <w:rPr>
                <w:rFonts w:ascii="宋体" w:hAnsi="宋体" w:eastAsia="宋体" w:cs="宋体"/>
                <w:sz w:val="20"/>
                <w:szCs w:val="20"/>
              </w:rPr>
            </w:pPr>
            <w:r>
              <w:rPr>
                <w:rFonts w:ascii="宋体" w:hAnsi="宋体" w:eastAsia="宋体" w:cs="宋体"/>
                <w:b/>
                <w:bCs/>
                <w:spacing w:val="4"/>
                <w:sz w:val="20"/>
                <w:szCs w:val="20"/>
              </w:rPr>
              <w:t>序号</w:t>
            </w:r>
          </w:p>
        </w:tc>
        <w:tc>
          <w:tcPr>
            <w:tcW w:w="1854" w:type="dxa"/>
            <w:tcBorders>
              <w:top w:val="single" w:color="000000" w:sz="2" w:space="0"/>
            </w:tcBorders>
            <w:shd w:val="clear" w:color="auto" w:fill="E0E0E0"/>
          </w:tcPr>
          <w:p w14:paraId="36A33F95">
            <w:pPr>
              <w:spacing w:before="87" w:line="228" w:lineRule="auto"/>
              <w:ind w:left="511"/>
              <w:rPr>
                <w:rFonts w:ascii="宋体" w:hAnsi="宋体" w:eastAsia="宋体" w:cs="宋体"/>
                <w:sz w:val="20"/>
                <w:szCs w:val="20"/>
              </w:rPr>
            </w:pPr>
            <w:r>
              <w:rPr>
                <w:rFonts w:ascii="宋体" w:hAnsi="宋体" w:eastAsia="宋体" w:cs="宋体"/>
                <w:b/>
                <w:bCs/>
                <w:spacing w:val="5"/>
                <w:sz w:val="20"/>
                <w:szCs w:val="20"/>
              </w:rPr>
              <w:t>项目名称</w:t>
            </w:r>
          </w:p>
        </w:tc>
        <w:tc>
          <w:tcPr>
            <w:tcW w:w="1986" w:type="dxa"/>
            <w:tcBorders>
              <w:top w:val="single" w:color="000000" w:sz="2" w:space="0"/>
            </w:tcBorders>
            <w:shd w:val="clear" w:color="auto" w:fill="E0E0E0"/>
          </w:tcPr>
          <w:p w14:paraId="0DF3CBF5">
            <w:pPr>
              <w:spacing w:before="87" w:line="228" w:lineRule="auto"/>
              <w:ind w:left="577"/>
              <w:rPr>
                <w:rFonts w:ascii="宋体" w:hAnsi="宋体" w:eastAsia="宋体" w:cs="宋体"/>
                <w:sz w:val="20"/>
                <w:szCs w:val="20"/>
              </w:rPr>
            </w:pPr>
            <w:r>
              <w:rPr>
                <w:rFonts w:ascii="宋体" w:hAnsi="宋体" w:eastAsia="宋体" w:cs="宋体"/>
                <w:b/>
                <w:bCs/>
                <w:spacing w:val="5"/>
                <w:sz w:val="20"/>
                <w:szCs w:val="20"/>
              </w:rPr>
              <w:t>项目地址</w:t>
            </w:r>
          </w:p>
        </w:tc>
        <w:tc>
          <w:tcPr>
            <w:tcW w:w="1722" w:type="dxa"/>
            <w:tcBorders>
              <w:top w:val="single" w:color="000000" w:sz="2" w:space="0"/>
            </w:tcBorders>
            <w:shd w:val="clear" w:color="auto" w:fill="E0E0E0"/>
          </w:tcPr>
          <w:p w14:paraId="15EC4D6E">
            <w:pPr>
              <w:spacing w:before="86" w:line="228" w:lineRule="auto"/>
              <w:ind w:left="443"/>
              <w:rPr>
                <w:rFonts w:ascii="宋体" w:hAnsi="宋体" w:eastAsia="宋体" w:cs="宋体"/>
                <w:sz w:val="20"/>
                <w:szCs w:val="20"/>
              </w:rPr>
            </w:pPr>
            <w:r>
              <w:rPr>
                <w:rFonts w:ascii="宋体" w:hAnsi="宋体" w:eastAsia="宋体" w:cs="宋体"/>
                <w:b/>
                <w:bCs/>
                <w:spacing w:val="6"/>
                <w:sz w:val="20"/>
                <w:szCs w:val="20"/>
              </w:rPr>
              <w:t>合同内容</w:t>
            </w:r>
          </w:p>
        </w:tc>
        <w:tc>
          <w:tcPr>
            <w:tcW w:w="1191" w:type="dxa"/>
            <w:tcBorders>
              <w:top w:val="single" w:color="000000" w:sz="2" w:space="0"/>
            </w:tcBorders>
            <w:shd w:val="clear" w:color="auto" w:fill="E0E0E0"/>
          </w:tcPr>
          <w:p w14:paraId="302CE52B">
            <w:pPr>
              <w:spacing w:before="86" w:line="226" w:lineRule="auto"/>
              <w:ind w:left="178"/>
              <w:rPr>
                <w:rFonts w:ascii="宋体" w:hAnsi="宋体" w:eastAsia="宋体" w:cs="宋体"/>
                <w:sz w:val="20"/>
                <w:szCs w:val="20"/>
              </w:rPr>
            </w:pPr>
            <w:r>
              <w:rPr>
                <w:rFonts w:ascii="宋体" w:hAnsi="宋体" w:eastAsia="宋体" w:cs="宋体"/>
                <w:b/>
                <w:bCs/>
                <w:spacing w:val="6"/>
                <w:sz w:val="20"/>
                <w:szCs w:val="20"/>
              </w:rPr>
              <w:t>合同总价</w:t>
            </w:r>
          </w:p>
        </w:tc>
        <w:tc>
          <w:tcPr>
            <w:tcW w:w="1471" w:type="dxa"/>
            <w:tcBorders>
              <w:top w:val="single" w:color="000000" w:sz="2" w:space="0"/>
              <w:right w:val="single" w:color="000000" w:sz="2" w:space="0"/>
            </w:tcBorders>
            <w:shd w:val="clear" w:color="auto" w:fill="E0E0E0"/>
          </w:tcPr>
          <w:p w14:paraId="0D1B9475">
            <w:pPr>
              <w:spacing w:before="87" w:line="228" w:lineRule="auto"/>
              <w:ind w:left="311"/>
              <w:rPr>
                <w:rFonts w:ascii="宋体" w:hAnsi="宋体" w:eastAsia="宋体" w:cs="宋体"/>
                <w:sz w:val="20"/>
                <w:szCs w:val="20"/>
              </w:rPr>
            </w:pPr>
            <w:r>
              <w:rPr>
                <w:rFonts w:ascii="宋体" w:hAnsi="宋体" w:eastAsia="宋体" w:cs="宋体"/>
                <w:b/>
                <w:bCs/>
                <w:spacing w:val="6"/>
                <w:sz w:val="20"/>
                <w:szCs w:val="20"/>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967" w:type="dxa"/>
            <w:tcBorders>
              <w:left w:val="single" w:color="000000" w:sz="2" w:space="0"/>
            </w:tcBorders>
          </w:tcPr>
          <w:p w14:paraId="0C86F914">
            <w:pPr>
              <w:pStyle w:val="11"/>
            </w:pPr>
          </w:p>
        </w:tc>
        <w:tc>
          <w:tcPr>
            <w:tcW w:w="1854" w:type="dxa"/>
          </w:tcPr>
          <w:p w14:paraId="43601105">
            <w:pPr>
              <w:pStyle w:val="11"/>
            </w:pPr>
          </w:p>
        </w:tc>
        <w:tc>
          <w:tcPr>
            <w:tcW w:w="1986" w:type="dxa"/>
          </w:tcPr>
          <w:p w14:paraId="6311272B">
            <w:pPr>
              <w:pStyle w:val="11"/>
            </w:pPr>
          </w:p>
        </w:tc>
        <w:tc>
          <w:tcPr>
            <w:tcW w:w="1722" w:type="dxa"/>
          </w:tcPr>
          <w:p w14:paraId="3768DC7F">
            <w:pPr>
              <w:pStyle w:val="11"/>
            </w:pPr>
          </w:p>
        </w:tc>
        <w:tc>
          <w:tcPr>
            <w:tcW w:w="1191" w:type="dxa"/>
          </w:tcPr>
          <w:p w14:paraId="2305DC57">
            <w:pPr>
              <w:pStyle w:val="11"/>
            </w:pPr>
          </w:p>
        </w:tc>
        <w:tc>
          <w:tcPr>
            <w:tcW w:w="1471" w:type="dxa"/>
            <w:tcBorders>
              <w:right w:val="single" w:color="000000" w:sz="2" w:space="0"/>
            </w:tcBorders>
          </w:tcPr>
          <w:p w14:paraId="1DC4DC5D">
            <w:pPr>
              <w:pStyle w:val="11"/>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67" w:type="dxa"/>
            <w:tcBorders>
              <w:left w:val="single" w:color="000000" w:sz="2" w:space="0"/>
            </w:tcBorders>
          </w:tcPr>
          <w:p w14:paraId="0016E6C7">
            <w:pPr>
              <w:pStyle w:val="11"/>
            </w:pPr>
          </w:p>
        </w:tc>
        <w:tc>
          <w:tcPr>
            <w:tcW w:w="1854" w:type="dxa"/>
          </w:tcPr>
          <w:p w14:paraId="26C3F9DC">
            <w:pPr>
              <w:pStyle w:val="11"/>
            </w:pPr>
          </w:p>
        </w:tc>
        <w:tc>
          <w:tcPr>
            <w:tcW w:w="1986" w:type="dxa"/>
          </w:tcPr>
          <w:p w14:paraId="0C8FC5A6">
            <w:pPr>
              <w:pStyle w:val="11"/>
            </w:pPr>
          </w:p>
        </w:tc>
        <w:tc>
          <w:tcPr>
            <w:tcW w:w="1722" w:type="dxa"/>
          </w:tcPr>
          <w:p w14:paraId="036176B2">
            <w:pPr>
              <w:pStyle w:val="11"/>
            </w:pPr>
          </w:p>
        </w:tc>
        <w:tc>
          <w:tcPr>
            <w:tcW w:w="1191" w:type="dxa"/>
          </w:tcPr>
          <w:p w14:paraId="69BDA775">
            <w:pPr>
              <w:pStyle w:val="11"/>
            </w:pPr>
          </w:p>
        </w:tc>
        <w:tc>
          <w:tcPr>
            <w:tcW w:w="1471" w:type="dxa"/>
            <w:tcBorders>
              <w:right w:val="single" w:color="000000" w:sz="2" w:space="0"/>
            </w:tcBorders>
          </w:tcPr>
          <w:p w14:paraId="74EE419A">
            <w:pPr>
              <w:pStyle w:val="11"/>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967" w:type="dxa"/>
            <w:tcBorders>
              <w:left w:val="single" w:color="000000" w:sz="2" w:space="0"/>
              <w:bottom w:val="single" w:color="000000" w:sz="2" w:space="0"/>
            </w:tcBorders>
          </w:tcPr>
          <w:p w14:paraId="6AD9ADC2">
            <w:pPr>
              <w:pStyle w:val="11"/>
            </w:pPr>
          </w:p>
        </w:tc>
        <w:tc>
          <w:tcPr>
            <w:tcW w:w="1854" w:type="dxa"/>
            <w:tcBorders>
              <w:bottom w:val="single" w:color="000000" w:sz="2" w:space="0"/>
            </w:tcBorders>
          </w:tcPr>
          <w:p w14:paraId="40B04108">
            <w:pPr>
              <w:pStyle w:val="11"/>
            </w:pPr>
          </w:p>
        </w:tc>
        <w:tc>
          <w:tcPr>
            <w:tcW w:w="1986" w:type="dxa"/>
            <w:tcBorders>
              <w:bottom w:val="single" w:color="000000" w:sz="2" w:space="0"/>
            </w:tcBorders>
          </w:tcPr>
          <w:p w14:paraId="4C40CFD8">
            <w:pPr>
              <w:pStyle w:val="11"/>
            </w:pPr>
          </w:p>
        </w:tc>
        <w:tc>
          <w:tcPr>
            <w:tcW w:w="1722" w:type="dxa"/>
            <w:tcBorders>
              <w:bottom w:val="single" w:color="000000" w:sz="2" w:space="0"/>
            </w:tcBorders>
          </w:tcPr>
          <w:p w14:paraId="4F595AE5">
            <w:pPr>
              <w:pStyle w:val="11"/>
            </w:pPr>
          </w:p>
        </w:tc>
        <w:tc>
          <w:tcPr>
            <w:tcW w:w="1191" w:type="dxa"/>
            <w:tcBorders>
              <w:bottom w:val="single" w:color="000000" w:sz="2" w:space="0"/>
            </w:tcBorders>
          </w:tcPr>
          <w:p w14:paraId="7692FA63">
            <w:pPr>
              <w:pStyle w:val="11"/>
            </w:pPr>
          </w:p>
        </w:tc>
        <w:tc>
          <w:tcPr>
            <w:tcW w:w="1471" w:type="dxa"/>
            <w:tcBorders>
              <w:bottom w:val="single" w:color="000000" w:sz="2" w:space="0"/>
              <w:right w:val="single" w:color="000000" w:sz="2" w:space="0"/>
            </w:tcBorders>
          </w:tcPr>
          <w:p w14:paraId="48AC055B">
            <w:pPr>
              <w:pStyle w:val="11"/>
            </w:pPr>
          </w:p>
        </w:tc>
      </w:tr>
    </w:tbl>
    <w:p w14:paraId="11E10EDA">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ind w:left="23"/>
        <w:textAlignment w:val="baseline"/>
        <w:outlineLvl w:val="1"/>
        <w:rPr>
          <w:rFonts w:ascii="宋体" w:hAnsi="宋体" w:eastAsia="宋体" w:cs="宋体"/>
          <w:sz w:val="20"/>
          <w:szCs w:val="20"/>
          <w:lang w:eastAsia="zh-CN"/>
        </w:rPr>
      </w:pPr>
      <w:r>
        <w:rPr>
          <w:rFonts w:ascii="宋体" w:hAnsi="宋体" w:eastAsia="宋体" w:cs="宋体"/>
          <w:b/>
          <w:bCs/>
          <w:spacing w:val="8"/>
          <w:sz w:val="20"/>
          <w:szCs w:val="20"/>
          <w:lang w:eastAsia="zh-CN"/>
        </w:rPr>
        <w:t>注：</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必须如实填写此表格。</w:t>
      </w:r>
      <w:r>
        <w:rPr>
          <w:rFonts w:ascii="宋体" w:hAnsi="宋体" w:eastAsia="宋体" w:cs="宋体"/>
          <w:spacing w:val="8"/>
          <w:sz w:val="20"/>
          <w:szCs w:val="20"/>
          <w:lang w:eastAsia="zh-CN"/>
        </w:rPr>
        <w:t>（此表可延长）</w:t>
      </w:r>
    </w:p>
    <w:p w14:paraId="724C4D81">
      <w:pPr>
        <w:pStyle w:val="3"/>
        <w:spacing w:line="270" w:lineRule="auto"/>
        <w:rPr>
          <w:lang w:eastAsia="zh-CN"/>
        </w:rPr>
      </w:pPr>
    </w:p>
    <w:p w14:paraId="0D453BE2">
      <w:pPr>
        <w:pStyle w:val="3"/>
        <w:spacing w:line="270" w:lineRule="auto"/>
        <w:rPr>
          <w:lang w:eastAsia="zh-CN"/>
        </w:rPr>
      </w:pPr>
    </w:p>
    <w:p w14:paraId="7263ABBE">
      <w:pPr>
        <w:pStyle w:val="3"/>
        <w:spacing w:line="270" w:lineRule="auto"/>
        <w:rPr>
          <w:lang w:eastAsia="zh-CN"/>
        </w:rPr>
      </w:pPr>
    </w:p>
    <w:p w14:paraId="1E0368E6">
      <w:pPr>
        <w:pStyle w:val="3"/>
        <w:spacing w:line="270" w:lineRule="auto"/>
        <w:rPr>
          <w:lang w:eastAsia="zh-CN"/>
        </w:rPr>
      </w:pPr>
    </w:p>
    <w:p w14:paraId="4F1157A5">
      <w:pPr>
        <w:pStyle w:val="3"/>
        <w:spacing w:line="270" w:lineRule="auto"/>
        <w:rPr>
          <w:lang w:eastAsia="zh-CN"/>
        </w:rPr>
      </w:pPr>
    </w:p>
    <w:p w14:paraId="66CFC844">
      <w:pPr>
        <w:pStyle w:val="3"/>
        <w:spacing w:line="270" w:lineRule="auto"/>
        <w:rPr>
          <w:lang w:eastAsia="zh-CN"/>
        </w:rPr>
      </w:pPr>
    </w:p>
    <w:p w14:paraId="480F5979">
      <w:pPr>
        <w:pStyle w:val="3"/>
        <w:spacing w:line="270" w:lineRule="auto"/>
        <w:rPr>
          <w:lang w:eastAsia="zh-CN"/>
        </w:rPr>
      </w:pPr>
    </w:p>
    <w:p w14:paraId="799DCC83">
      <w:pPr>
        <w:spacing w:before="65" w:line="227" w:lineRule="auto"/>
        <w:ind w:left="22"/>
        <w:rPr>
          <w:rFonts w:ascii="宋体" w:hAnsi="宋体" w:eastAsia="宋体" w:cs="宋体"/>
          <w:spacing w:val="9"/>
          <w:sz w:val="20"/>
          <w:szCs w:val="20"/>
          <w:lang w:eastAsia="zh-CN"/>
        </w:rPr>
      </w:pPr>
    </w:p>
    <w:p w14:paraId="35A09637">
      <w:pPr>
        <w:spacing w:before="65" w:line="227" w:lineRule="auto"/>
        <w:ind w:left="22"/>
        <w:rPr>
          <w:rFonts w:ascii="宋体" w:hAnsi="宋体" w:eastAsia="宋体" w:cs="宋体"/>
          <w:spacing w:val="9"/>
          <w:sz w:val="20"/>
          <w:szCs w:val="20"/>
          <w:lang w:eastAsia="zh-CN"/>
        </w:rPr>
      </w:pPr>
    </w:p>
    <w:p w14:paraId="3FCD7951">
      <w:pPr>
        <w:spacing w:before="65" w:line="227" w:lineRule="auto"/>
        <w:ind w:left="22"/>
        <w:rPr>
          <w:rFonts w:ascii="宋体" w:hAnsi="宋体" w:eastAsia="宋体" w:cs="宋体"/>
          <w:spacing w:val="9"/>
          <w:sz w:val="20"/>
          <w:szCs w:val="20"/>
          <w:lang w:eastAsia="zh-CN"/>
        </w:rPr>
      </w:pPr>
    </w:p>
    <w:p w14:paraId="05D76151">
      <w:pPr>
        <w:spacing w:before="162" w:line="227" w:lineRule="auto"/>
        <w:ind w:left="22"/>
        <w:rPr>
          <w:rFonts w:ascii="宋体" w:hAnsi="宋体" w:eastAsia="宋体" w:cs="宋体"/>
          <w:sz w:val="20"/>
          <w:szCs w:val="20"/>
          <w:lang w:eastAsia="zh-CN"/>
        </w:rPr>
      </w:pPr>
      <w:r>
        <w:rPr>
          <w:rFonts w:hint="eastAsia" w:ascii="宋体" w:hAnsi="宋体" w:eastAsia="宋体" w:cs="宋体"/>
          <w:spacing w:val="8"/>
          <w:sz w:val="20"/>
          <w:szCs w:val="20"/>
          <w:lang w:val="en-US" w:eastAsia="zh-CN"/>
        </w:rPr>
        <w:t>供应商</w:t>
      </w:r>
      <w:r>
        <w:rPr>
          <w:rFonts w:ascii="宋体" w:hAnsi="宋体" w:eastAsia="宋体" w:cs="宋体"/>
          <w:spacing w:val="8"/>
          <w:sz w:val="20"/>
          <w:szCs w:val="20"/>
          <w:lang w:eastAsia="zh-CN"/>
        </w:rPr>
        <w:t>名称（盖章</w:t>
      </w:r>
      <w:r>
        <w:rPr>
          <w:rFonts w:ascii="宋体" w:hAnsi="宋体" w:eastAsia="宋体" w:cs="宋体"/>
          <w:spacing w:val="13"/>
          <w:sz w:val="20"/>
          <w:szCs w:val="20"/>
          <w:lang w:eastAsia="zh-CN"/>
        </w:rPr>
        <w:t>）：</w:t>
      </w:r>
      <w:r>
        <w:rPr>
          <w:rFonts w:ascii="宋体" w:hAnsi="宋体" w:eastAsia="宋体" w:cs="宋体"/>
          <w:sz w:val="20"/>
          <w:szCs w:val="20"/>
          <w:u w:val="single"/>
          <w:lang w:eastAsia="zh-CN"/>
        </w:rPr>
        <w:t xml:space="preserve">                          </w:t>
      </w:r>
    </w:p>
    <w:p w14:paraId="5B5A1280">
      <w:pPr>
        <w:spacing w:before="65" w:line="227" w:lineRule="auto"/>
        <w:ind w:left="22"/>
        <w:rPr>
          <w:rFonts w:ascii="宋体" w:hAnsi="宋体" w:eastAsia="宋体" w:cs="宋体"/>
          <w:spacing w:val="9"/>
          <w:sz w:val="20"/>
          <w:szCs w:val="20"/>
          <w:lang w:eastAsia="zh-CN"/>
        </w:rPr>
      </w:pPr>
    </w:p>
    <w:p w14:paraId="73AB7F11">
      <w:pPr>
        <w:spacing w:before="65" w:line="227" w:lineRule="auto"/>
        <w:ind w:left="22"/>
        <w:rPr>
          <w:rFonts w:ascii="宋体" w:hAnsi="宋体" w:eastAsia="宋体" w:cs="宋体"/>
          <w:sz w:val="20"/>
          <w:szCs w:val="20"/>
          <w:lang w:eastAsia="zh-CN"/>
        </w:rPr>
      </w:pPr>
      <w:r>
        <w:rPr>
          <w:rFonts w:hint="eastAsia" w:ascii="宋体" w:hAnsi="宋体" w:eastAsia="宋体" w:cs="宋体"/>
          <w:spacing w:val="9"/>
          <w:sz w:val="20"/>
          <w:szCs w:val="20"/>
          <w:lang w:val="en-US" w:eastAsia="zh-CN"/>
        </w:rPr>
        <w:t>供应商</w:t>
      </w:r>
      <w:r>
        <w:rPr>
          <w:rFonts w:ascii="宋体" w:hAnsi="宋体" w:eastAsia="宋体" w:cs="宋体"/>
          <w:spacing w:val="9"/>
          <w:sz w:val="20"/>
          <w:szCs w:val="20"/>
          <w:lang w:eastAsia="zh-CN"/>
        </w:rPr>
        <w:t>法定代表人（或法定代表人授权代表）签字：</w:t>
      </w:r>
      <w:r>
        <w:rPr>
          <w:rFonts w:ascii="宋体" w:hAnsi="宋体" w:eastAsia="宋体" w:cs="宋体"/>
          <w:sz w:val="20"/>
          <w:szCs w:val="20"/>
          <w:u w:val="single"/>
          <w:lang w:eastAsia="zh-CN"/>
        </w:rPr>
        <w:t xml:space="preserve">                    </w:t>
      </w:r>
    </w:p>
    <w:p w14:paraId="505ED41D">
      <w:pPr>
        <w:spacing w:before="260" w:line="228" w:lineRule="auto"/>
        <w:ind w:left="58"/>
        <w:rPr>
          <w:rFonts w:ascii="宋体" w:hAnsi="宋体" w:eastAsia="宋体" w:cs="宋体"/>
          <w:sz w:val="20"/>
          <w:szCs w:val="20"/>
          <w:lang w:eastAsia="zh-CN"/>
        </w:rPr>
      </w:pPr>
      <w:r>
        <w:rPr>
          <w:rFonts w:ascii="宋体" w:hAnsi="宋体" w:eastAsia="宋体" w:cs="宋体"/>
          <w:spacing w:val="-6"/>
          <w:sz w:val="20"/>
          <w:szCs w:val="20"/>
          <w:lang w:eastAsia="zh-CN"/>
        </w:rPr>
        <w:t>日期：</w:t>
      </w:r>
      <w:r>
        <w:rPr>
          <w:rFonts w:ascii="宋体" w:hAnsi="宋体" w:eastAsia="宋体" w:cs="宋体"/>
          <w:spacing w:val="13"/>
          <w:sz w:val="20"/>
          <w:szCs w:val="20"/>
          <w:lang w:eastAsia="zh-CN"/>
        </w:rPr>
        <w:t xml:space="preserve">   </w:t>
      </w:r>
      <w:r>
        <w:rPr>
          <w:rFonts w:ascii="宋体" w:hAnsi="宋体" w:eastAsia="宋体" w:cs="宋体"/>
          <w:spacing w:val="-6"/>
          <w:sz w:val="20"/>
          <w:szCs w:val="20"/>
          <w:lang w:eastAsia="zh-CN"/>
        </w:rPr>
        <w:t>年</w:t>
      </w:r>
      <w:r>
        <w:rPr>
          <w:rFonts w:ascii="宋体" w:hAnsi="宋体" w:eastAsia="宋体" w:cs="宋体"/>
          <w:spacing w:val="9"/>
          <w:sz w:val="20"/>
          <w:szCs w:val="20"/>
          <w:lang w:eastAsia="zh-CN"/>
        </w:rPr>
        <w:t xml:space="preserve">   </w:t>
      </w:r>
      <w:r>
        <w:rPr>
          <w:rFonts w:ascii="宋体" w:hAnsi="宋体" w:eastAsia="宋体" w:cs="宋体"/>
          <w:spacing w:val="-6"/>
          <w:sz w:val="20"/>
          <w:szCs w:val="20"/>
          <w:lang w:eastAsia="zh-CN"/>
        </w:rPr>
        <w:t>月</w:t>
      </w:r>
      <w:r>
        <w:rPr>
          <w:rFonts w:ascii="宋体" w:hAnsi="宋体" w:eastAsia="宋体" w:cs="宋体"/>
          <w:spacing w:val="21"/>
          <w:sz w:val="20"/>
          <w:szCs w:val="20"/>
          <w:lang w:eastAsia="zh-CN"/>
        </w:rPr>
        <w:t xml:space="preserve">   </w:t>
      </w:r>
      <w:r>
        <w:rPr>
          <w:rFonts w:ascii="宋体" w:hAnsi="宋体" w:eastAsia="宋体" w:cs="宋体"/>
          <w:spacing w:val="-6"/>
          <w:sz w:val="20"/>
          <w:szCs w:val="20"/>
          <w:lang w:eastAsia="zh-CN"/>
        </w:rPr>
        <w:t>日</w:t>
      </w:r>
    </w:p>
    <w:p w14:paraId="7B370B04">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0B84180D">
      <w:pPr>
        <w:spacing w:before="41" w:line="227" w:lineRule="auto"/>
        <w:rPr>
          <w:rFonts w:hint="default"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十四、拟投入人员配置清单：</w:t>
      </w:r>
    </w:p>
    <w:p w14:paraId="4EFB4FEF">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1. 拟投入项目负责人:1名，应持有有效的二级或以上注册建造师（建筑工程专业）证书、安全生产考核合格证（B证）及身份证复印件。</w:t>
      </w:r>
    </w:p>
    <w:p w14:paraId="270E37C9">
      <w:pPr>
        <w:keepNext w:val="0"/>
        <w:keepLines w:val="0"/>
        <w:pageBreakBefore w:val="0"/>
        <w:widowControl/>
        <w:kinsoku w:val="0"/>
        <w:wordWrap/>
        <w:overflowPunct/>
        <w:topLinePunct w:val="0"/>
        <w:autoSpaceDE w:val="0"/>
        <w:autoSpaceDN w:val="0"/>
        <w:bidi w:val="0"/>
        <w:adjustRightInd w:val="0"/>
        <w:snapToGrid w:val="0"/>
        <w:spacing w:before="157" w:beforeLines="50" w:line="228" w:lineRule="auto"/>
        <w:textAlignment w:val="baseline"/>
        <w:rPr>
          <w:rFonts w:hint="eastAsia" w:ascii="宋体" w:hAnsi="宋体" w:eastAsia="宋体" w:cs="宋体"/>
          <w:b/>
          <w:bCs/>
          <w:sz w:val="20"/>
          <w:szCs w:val="20"/>
          <w:lang w:val="en-US" w:eastAsia="zh-CN"/>
        </w:rPr>
      </w:pPr>
      <w:r>
        <w:rPr>
          <w:rFonts w:hint="eastAsia" w:ascii="宋体" w:hAnsi="宋体" w:eastAsia="宋体" w:cs="宋体"/>
          <w:b/>
          <w:bCs/>
          <w:spacing w:val="7"/>
          <w:sz w:val="20"/>
          <w:szCs w:val="20"/>
          <w:lang w:val="en-US" w:eastAsia="zh-CN"/>
        </w:rPr>
        <w:t>2. 拟投入专职安全员：1名，应持有安全生产考核合格证（C证）、建筑工程相关专业助理工程师（初级）或以上职称及</w:t>
      </w:r>
      <w:r>
        <w:rPr>
          <w:rFonts w:hint="eastAsia" w:ascii="宋体" w:hAnsi="宋体" w:eastAsia="宋体" w:cs="宋体"/>
          <w:b/>
          <w:bCs/>
          <w:sz w:val="20"/>
          <w:szCs w:val="20"/>
          <w:lang w:val="en-US" w:eastAsia="zh-CN"/>
        </w:rPr>
        <w:t>身份证复印件。</w:t>
      </w:r>
    </w:p>
    <w:p w14:paraId="7D6A0AC1">
      <w:pPr>
        <w:pStyle w:val="3"/>
        <w:keepNext w:val="0"/>
        <w:keepLines w:val="0"/>
        <w:pageBreakBefore w:val="0"/>
        <w:widowControl/>
        <w:kinsoku w:val="0"/>
        <w:wordWrap/>
        <w:overflowPunct/>
        <w:topLinePunct w:val="0"/>
        <w:autoSpaceDE w:val="0"/>
        <w:autoSpaceDN w:val="0"/>
        <w:bidi w:val="0"/>
        <w:adjustRightInd w:val="0"/>
        <w:snapToGrid w:val="0"/>
        <w:spacing w:before="157" w:beforeLines="50"/>
        <w:textAlignment w:val="baseline"/>
        <w:rPr>
          <w:rFonts w:hint="default"/>
          <w:lang w:val="en-US" w:eastAsia="zh-CN"/>
        </w:rPr>
      </w:pPr>
      <w:r>
        <w:rPr>
          <w:rFonts w:hint="eastAsia" w:ascii="宋体" w:hAnsi="宋体" w:eastAsia="宋体" w:cs="宋体"/>
          <w:b/>
          <w:bCs/>
          <w:sz w:val="20"/>
          <w:szCs w:val="20"/>
          <w:lang w:val="en-US" w:eastAsia="zh-CN"/>
        </w:rPr>
        <w:t>3. 拟投入其它须持证上岗人员：如高空作业、电工、焊工等，须持有相应有效证件，并于进场前向采购人办理报备手续。</w:t>
      </w:r>
    </w:p>
    <w:p w14:paraId="7D41CDD9">
      <w:pPr>
        <w:pStyle w:val="3"/>
        <w:keepNext w:val="0"/>
        <w:keepLines w:val="0"/>
        <w:pageBreakBefore w:val="0"/>
        <w:widowControl/>
        <w:kinsoku w:val="0"/>
        <w:wordWrap/>
        <w:overflowPunct/>
        <w:topLinePunct w:val="0"/>
        <w:autoSpaceDE w:val="0"/>
        <w:autoSpaceDN w:val="0"/>
        <w:bidi w:val="0"/>
        <w:adjustRightInd w:val="0"/>
        <w:snapToGrid w:val="0"/>
        <w:spacing w:before="157" w:beforeLines="50"/>
        <w:textAlignment w:val="baseline"/>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为证明拟投入人员为供应商员工，供应商需要提供为其购买社保证明（开标当天前三个月内的任意一个月）复印件，若供应商成立时间不足1个月的应提供《社保声明函》（格式自拟）代替社保证明（成立时间以营业执照注册时间为准）。如为退休返聘人员，需要提供返聘合同或证明。】</w:t>
      </w:r>
    </w:p>
    <w:p w14:paraId="4A274DAC">
      <w:pPr>
        <w:pStyle w:val="4"/>
        <w:rPr>
          <w:rFonts w:hint="eastAsia"/>
          <w:lang w:val="en-US" w:eastAsia="zh-CN"/>
        </w:rPr>
      </w:pPr>
    </w:p>
    <w:tbl>
      <w:tblPr>
        <w:tblStyle w:val="10"/>
        <w:tblW w:w="86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8"/>
        <w:gridCol w:w="993"/>
        <w:gridCol w:w="992"/>
        <w:gridCol w:w="850"/>
        <w:gridCol w:w="1134"/>
        <w:gridCol w:w="993"/>
        <w:gridCol w:w="1275"/>
        <w:gridCol w:w="1843"/>
      </w:tblGrid>
      <w:tr w14:paraId="6085DB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jc w:val="center"/>
        </w:trPr>
        <w:tc>
          <w:tcPr>
            <w:tcW w:w="568" w:type="dxa"/>
            <w:tcBorders>
              <w:top w:val="single" w:color="000000" w:sz="10" w:space="0"/>
              <w:left w:val="single" w:color="000000" w:sz="10" w:space="0"/>
            </w:tcBorders>
            <w:shd w:val="clear" w:color="auto" w:fill="FFFFFF" w:themeFill="background1"/>
            <w:vAlign w:val="center"/>
          </w:tcPr>
          <w:p w14:paraId="18B00B55">
            <w:pPr>
              <w:pStyle w:val="4"/>
              <w:jc w:val="center"/>
              <w:rPr>
                <w:rFonts w:hint="eastAsia"/>
                <w:b/>
                <w:bCs/>
                <w:sz w:val="20"/>
                <w:szCs w:val="20"/>
                <w:lang w:val="en-US" w:eastAsia="zh-CN"/>
              </w:rPr>
            </w:pPr>
            <w:r>
              <w:rPr>
                <w:rFonts w:hint="eastAsia"/>
                <w:b/>
                <w:bCs/>
                <w:sz w:val="20"/>
                <w:szCs w:val="20"/>
                <w:lang w:val="en-US" w:eastAsia="zh-CN"/>
              </w:rPr>
              <w:t>序号</w:t>
            </w:r>
          </w:p>
        </w:tc>
        <w:tc>
          <w:tcPr>
            <w:tcW w:w="993" w:type="dxa"/>
            <w:tcBorders>
              <w:top w:val="single" w:color="000000" w:sz="10" w:space="0"/>
            </w:tcBorders>
            <w:shd w:val="clear" w:color="auto" w:fill="FFFFFF" w:themeFill="background1"/>
            <w:vAlign w:val="center"/>
          </w:tcPr>
          <w:p w14:paraId="3558036A">
            <w:pPr>
              <w:pStyle w:val="4"/>
              <w:jc w:val="center"/>
              <w:rPr>
                <w:rFonts w:hint="eastAsia"/>
                <w:b/>
                <w:bCs/>
                <w:sz w:val="20"/>
                <w:szCs w:val="20"/>
                <w:lang w:val="en-US" w:eastAsia="zh-CN"/>
              </w:rPr>
            </w:pPr>
            <w:r>
              <w:rPr>
                <w:rFonts w:hint="eastAsia"/>
                <w:b/>
                <w:bCs/>
                <w:sz w:val="20"/>
                <w:szCs w:val="20"/>
                <w:lang w:val="en-US" w:eastAsia="zh-CN"/>
              </w:rPr>
              <w:t>姓名</w:t>
            </w:r>
          </w:p>
        </w:tc>
        <w:tc>
          <w:tcPr>
            <w:tcW w:w="992" w:type="dxa"/>
            <w:tcBorders>
              <w:top w:val="single" w:color="000000" w:sz="10" w:space="0"/>
            </w:tcBorders>
            <w:shd w:val="clear" w:color="auto" w:fill="FFFFFF" w:themeFill="background1"/>
            <w:vAlign w:val="center"/>
          </w:tcPr>
          <w:p w14:paraId="2A9E5148">
            <w:pPr>
              <w:pStyle w:val="4"/>
              <w:jc w:val="center"/>
              <w:rPr>
                <w:rFonts w:hint="eastAsia"/>
                <w:b/>
                <w:bCs/>
                <w:sz w:val="20"/>
                <w:szCs w:val="20"/>
                <w:lang w:val="en-US" w:eastAsia="zh-CN"/>
              </w:rPr>
            </w:pPr>
            <w:r>
              <w:rPr>
                <w:rFonts w:hint="eastAsia"/>
                <w:b/>
                <w:bCs/>
                <w:sz w:val="20"/>
                <w:szCs w:val="20"/>
                <w:lang w:val="en-US" w:eastAsia="zh-CN"/>
              </w:rPr>
              <w:t>性别</w:t>
            </w:r>
          </w:p>
        </w:tc>
        <w:tc>
          <w:tcPr>
            <w:tcW w:w="850" w:type="dxa"/>
            <w:tcBorders>
              <w:top w:val="single" w:color="000000" w:sz="10" w:space="0"/>
            </w:tcBorders>
            <w:shd w:val="clear" w:color="auto" w:fill="FFFFFF" w:themeFill="background1"/>
            <w:vAlign w:val="center"/>
          </w:tcPr>
          <w:p w14:paraId="65A77A6F">
            <w:pPr>
              <w:pStyle w:val="4"/>
              <w:jc w:val="center"/>
              <w:rPr>
                <w:rFonts w:hint="eastAsia"/>
                <w:b/>
                <w:bCs/>
                <w:sz w:val="20"/>
                <w:szCs w:val="20"/>
                <w:lang w:val="en-US" w:eastAsia="zh-CN"/>
              </w:rPr>
            </w:pPr>
            <w:r>
              <w:rPr>
                <w:rFonts w:hint="eastAsia"/>
                <w:b/>
                <w:bCs/>
                <w:sz w:val="20"/>
                <w:szCs w:val="20"/>
                <w:lang w:val="en-US" w:eastAsia="zh-CN"/>
              </w:rPr>
              <w:t>年龄</w:t>
            </w:r>
          </w:p>
        </w:tc>
        <w:tc>
          <w:tcPr>
            <w:tcW w:w="1134" w:type="dxa"/>
            <w:tcBorders>
              <w:top w:val="single" w:color="000000" w:sz="10" w:space="0"/>
            </w:tcBorders>
            <w:shd w:val="clear" w:color="auto" w:fill="FFFFFF" w:themeFill="background1"/>
            <w:vAlign w:val="center"/>
          </w:tcPr>
          <w:p w14:paraId="3DF69216">
            <w:pPr>
              <w:pStyle w:val="4"/>
              <w:jc w:val="center"/>
              <w:rPr>
                <w:rFonts w:hint="eastAsia"/>
                <w:b/>
                <w:bCs/>
                <w:sz w:val="20"/>
                <w:szCs w:val="20"/>
                <w:lang w:val="en-US" w:eastAsia="zh-CN"/>
              </w:rPr>
            </w:pPr>
            <w:r>
              <w:rPr>
                <w:rFonts w:hint="eastAsia"/>
                <w:b/>
                <w:bCs/>
                <w:sz w:val="20"/>
                <w:szCs w:val="20"/>
                <w:lang w:val="en-US" w:eastAsia="zh-CN"/>
              </w:rPr>
              <w:t>职称</w:t>
            </w:r>
          </w:p>
        </w:tc>
        <w:tc>
          <w:tcPr>
            <w:tcW w:w="993" w:type="dxa"/>
            <w:tcBorders>
              <w:top w:val="single" w:color="000000" w:sz="10" w:space="0"/>
            </w:tcBorders>
            <w:shd w:val="clear" w:color="auto" w:fill="FFFFFF" w:themeFill="background1"/>
            <w:vAlign w:val="center"/>
          </w:tcPr>
          <w:p w14:paraId="3D4251C8">
            <w:pPr>
              <w:pStyle w:val="4"/>
              <w:jc w:val="center"/>
              <w:rPr>
                <w:rFonts w:hint="eastAsia"/>
                <w:b/>
                <w:bCs/>
                <w:sz w:val="20"/>
                <w:szCs w:val="20"/>
                <w:lang w:val="en-US" w:eastAsia="zh-CN"/>
              </w:rPr>
            </w:pPr>
            <w:r>
              <w:rPr>
                <w:rFonts w:hint="eastAsia"/>
                <w:b/>
                <w:bCs/>
                <w:sz w:val="20"/>
                <w:szCs w:val="20"/>
                <w:lang w:val="en-US" w:eastAsia="zh-CN"/>
              </w:rPr>
              <w:t>专业</w:t>
            </w:r>
          </w:p>
        </w:tc>
        <w:tc>
          <w:tcPr>
            <w:tcW w:w="1275" w:type="dxa"/>
            <w:tcBorders>
              <w:top w:val="single" w:color="000000" w:sz="10" w:space="0"/>
            </w:tcBorders>
            <w:shd w:val="clear" w:color="auto" w:fill="FFFFFF" w:themeFill="background1"/>
            <w:vAlign w:val="center"/>
          </w:tcPr>
          <w:p w14:paraId="236C85D6">
            <w:pPr>
              <w:pStyle w:val="4"/>
              <w:jc w:val="center"/>
              <w:rPr>
                <w:rFonts w:hint="eastAsia"/>
                <w:b/>
                <w:bCs/>
                <w:sz w:val="20"/>
                <w:szCs w:val="20"/>
                <w:lang w:val="en-US" w:eastAsia="zh-CN"/>
              </w:rPr>
            </w:pPr>
            <w:r>
              <w:rPr>
                <w:rFonts w:hint="eastAsia"/>
                <w:b/>
                <w:bCs/>
                <w:sz w:val="20"/>
                <w:szCs w:val="20"/>
                <w:lang w:val="en-US" w:eastAsia="zh-CN"/>
              </w:rPr>
              <w:t>经验年限</w:t>
            </w:r>
          </w:p>
        </w:tc>
        <w:tc>
          <w:tcPr>
            <w:tcW w:w="1843" w:type="dxa"/>
            <w:tcBorders>
              <w:top w:val="single" w:color="000000" w:sz="10" w:space="0"/>
              <w:right w:val="single" w:color="000000" w:sz="10" w:space="0"/>
            </w:tcBorders>
            <w:shd w:val="clear" w:color="auto" w:fill="FFFFFF" w:themeFill="background1"/>
            <w:vAlign w:val="center"/>
          </w:tcPr>
          <w:p w14:paraId="51EAB465">
            <w:pPr>
              <w:pStyle w:val="4"/>
              <w:jc w:val="center"/>
              <w:rPr>
                <w:rFonts w:hint="eastAsia"/>
                <w:b/>
                <w:bCs/>
                <w:sz w:val="20"/>
                <w:szCs w:val="20"/>
                <w:lang w:val="en-US" w:eastAsia="zh-CN"/>
              </w:rPr>
            </w:pPr>
            <w:r>
              <w:rPr>
                <w:rFonts w:hint="eastAsia"/>
                <w:b/>
                <w:bCs/>
                <w:sz w:val="20"/>
                <w:szCs w:val="20"/>
                <w:lang w:val="en-US" w:eastAsia="zh-CN"/>
              </w:rPr>
              <w:t>拟担任职务或承</w:t>
            </w:r>
          </w:p>
          <w:p w14:paraId="73D0902D">
            <w:pPr>
              <w:pStyle w:val="4"/>
              <w:jc w:val="center"/>
              <w:rPr>
                <w:rFonts w:hint="eastAsia"/>
                <w:b/>
                <w:bCs/>
                <w:sz w:val="20"/>
                <w:szCs w:val="20"/>
                <w:lang w:val="en-US" w:eastAsia="zh-CN"/>
              </w:rPr>
            </w:pPr>
            <w:r>
              <w:rPr>
                <w:rFonts w:hint="eastAsia"/>
                <w:b/>
                <w:bCs/>
                <w:sz w:val="20"/>
                <w:szCs w:val="20"/>
                <w:lang w:val="en-US" w:eastAsia="zh-CN"/>
              </w:rPr>
              <w:t>担工作内容</w:t>
            </w:r>
          </w:p>
        </w:tc>
      </w:tr>
      <w:tr w14:paraId="223257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jc w:val="center"/>
        </w:trPr>
        <w:tc>
          <w:tcPr>
            <w:tcW w:w="568" w:type="dxa"/>
            <w:tcBorders>
              <w:left w:val="single" w:color="000000" w:sz="10" w:space="0"/>
            </w:tcBorders>
            <w:vAlign w:val="center"/>
          </w:tcPr>
          <w:p w14:paraId="5AAC653F">
            <w:pPr>
              <w:pStyle w:val="4"/>
              <w:jc w:val="center"/>
              <w:rPr>
                <w:rFonts w:hint="eastAsia"/>
                <w:b/>
                <w:bCs/>
                <w:sz w:val="20"/>
                <w:szCs w:val="20"/>
                <w:lang w:val="en-US" w:eastAsia="zh-CN"/>
              </w:rPr>
            </w:pPr>
            <w:r>
              <w:rPr>
                <w:rFonts w:hint="eastAsia"/>
                <w:b/>
                <w:bCs/>
                <w:sz w:val="20"/>
                <w:szCs w:val="20"/>
                <w:lang w:val="en-US" w:eastAsia="zh-CN"/>
              </w:rPr>
              <w:t>1</w:t>
            </w:r>
          </w:p>
        </w:tc>
        <w:tc>
          <w:tcPr>
            <w:tcW w:w="993" w:type="dxa"/>
            <w:vAlign w:val="center"/>
          </w:tcPr>
          <w:p w14:paraId="4DC70521">
            <w:pPr>
              <w:pStyle w:val="4"/>
              <w:jc w:val="center"/>
              <w:rPr>
                <w:rFonts w:hint="eastAsia"/>
                <w:b/>
                <w:bCs/>
                <w:sz w:val="20"/>
                <w:szCs w:val="20"/>
                <w:lang w:val="en-US" w:eastAsia="zh-CN"/>
              </w:rPr>
            </w:pPr>
          </w:p>
        </w:tc>
        <w:tc>
          <w:tcPr>
            <w:tcW w:w="992" w:type="dxa"/>
            <w:vAlign w:val="center"/>
          </w:tcPr>
          <w:p w14:paraId="6D45F58A">
            <w:pPr>
              <w:pStyle w:val="4"/>
              <w:jc w:val="center"/>
              <w:rPr>
                <w:rFonts w:hint="eastAsia"/>
                <w:b/>
                <w:bCs/>
                <w:sz w:val="20"/>
                <w:szCs w:val="20"/>
                <w:lang w:val="en-US" w:eastAsia="zh-CN"/>
              </w:rPr>
            </w:pPr>
          </w:p>
        </w:tc>
        <w:tc>
          <w:tcPr>
            <w:tcW w:w="850" w:type="dxa"/>
            <w:vAlign w:val="center"/>
          </w:tcPr>
          <w:p w14:paraId="240BD05E">
            <w:pPr>
              <w:pStyle w:val="4"/>
              <w:jc w:val="center"/>
              <w:rPr>
                <w:rFonts w:hint="eastAsia"/>
                <w:b/>
                <w:bCs/>
                <w:sz w:val="20"/>
                <w:szCs w:val="20"/>
                <w:lang w:val="en-US" w:eastAsia="zh-CN"/>
              </w:rPr>
            </w:pPr>
          </w:p>
        </w:tc>
        <w:tc>
          <w:tcPr>
            <w:tcW w:w="1134" w:type="dxa"/>
            <w:vAlign w:val="center"/>
          </w:tcPr>
          <w:p w14:paraId="1340D212">
            <w:pPr>
              <w:pStyle w:val="4"/>
              <w:jc w:val="center"/>
              <w:rPr>
                <w:rFonts w:hint="eastAsia"/>
                <w:b/>
                <w:bCs/>
                <w:sz w:val="20"/>
                <w:szCs w:val="20"/>
                <w:lang w:val="en-US" w:eastAsia="zh-CN"/>
              </w:rPr>
            </w:pPr>
          </w:p>
        </w:tc>
        <w:tc>
          <w:tcPr>
            <w:tcW w:w="993" w:type="dxa"/>
            <w:vAlign w:val="center"/>
          </w:tcPr>
          <w:p w14:paraId="0E970A95">
            <w:pPr>
              <w:pStyle w:val="4"/>
              <w:jc w:val="center"/>
              <w:rPr>
                <w:rFonts w:hint="eastAsia"/>
                <w:b/>
                <w:bCs/>
                <w:sz w:val="20"/>
                <w:szCs w:val="20"/>
                <w:lang w:val="en-US" w:eastAsia="zh-CN"/>
              </w:rPr>
            </w:pPr>
          </w:p>
        </w:tc>
        <w:tc>
          <w:tcPr>
            <w:tcW w:w="1275" w:type="dxa"/>
            <w:vAlign w:val="center"/>
          </w:tcPr>
          <w:p w14:paraId="6EF3B018">
            <w:pPr>
              <w:pStyle w:val="4"/>
              <w:jc w:val="center"/>
              <w:rPr>
                <w:rFonts w:hint="eastAsia"/>
                <w:b/>
                <w:bCs/>
                <w:sz w:val="20"/>
                <w:szCs w:val="20"/>
                <w:lang w:val="en-US" w:eastAsia="zh-CN"/>
              </w:rPr>
            </w:pPr>
          </w:p>
        </w:tc>
        <w:tc>
          <w:tcPr>
            <w:tcW w:w="1843" w:type="dxa"/>
            <w:tcBorders>
              <w:right w:val="single" w:color="000000" w:sz="10" w:space="0"/>
            </w:tcBorders>
            <w:vAlign w:val="center"/>
          </w:tcPr>
          <w:p w14:paraId="05049427">
            <w:pPr>
              <w:pStyle w:val="4"/>
              <w:jc w:val="center"/>
              <w:rPr>
                <w:rFonts w:hint="eastAsia"/>
                <w:b/>
                <w:bCs/>
                <w:sz w:val="20"/>
                <w:szCs w:val="20"/>
                <w:lang w:val="en-US" w:eastAsia="zh-CN"/>
              </w:rPr>
            </w:pPr>
            <w:r>
              <w:rPr>
                <w:rFonts w:hint="eastAsia"/>
                <w:b/>
                <w:bCs/>
                <w:sz w:val="20"/>
                <w:szCs w:val="20"/>
                <w:lang w:val="en-US" w:eastAsia="zh-CN"/>
              </w:rPr>
              <w:t>项目总负责人</w:t>
            </w:r>
          </w:p>
        </w:tc>
      </w:tr>
      <w:tr w14:paraId="41DDC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jc w:val="center"/>
        </w:trPr>
        <w:tc>
          <w:tcPr>
            <w:tcW w:w="568" w:type="dxa"/>
            <w:tcBorders>
              <w:left w:val="single" w:color="000000" w:sz="10" w:space="0"/>
            </w:tcBorders>
            <w:vAlign w:val="center"/>
          </w:tcPr>
          <w:p w14:paraId="64B1DD84">
            <w:pPr>
              <w:pStyle w:val="4"/>
              <w:jc w:val="center"/>
              <w:rPr>
                <w:rFonts w:hint="eastAsia"/>
                <w:b/>
                <w:bCs/>
                <w:sz w:val="20"/>
                <w:szCs w:val="20"/>
                <w:lang w:val="en-US" w:eastAsia="zh-CN"/>
              </w:rPr>
            </w:pPr>
            <w:r>
              <w:rPr>
                <w:rFonts w:hint="eastAsia"/>
                <w:b/>
                <w:bCs/>
                <w:sz w:val="20"/>
                <w:szCs w:val="20"/>
                <w:lang w:val="en-US" w:eastAsia="zh-CN"/>
              </w:rPr>
              <w:t>2</w:t>
            </w:r>
          </w:p>
        </w:tc>
        <w:tc>
          <w:tcPr>
            <w:tcW w:w="993" w:type="dxa"/>
            <w:vAlign w:val="center"/>
          </w:tcPr>
          <w:p w14:paraId="54BC48C4">
            <w:pPr>
              <w:pStyle w:val="4"/>
              <w:jc w:val="center"/>
              <w:rPr>
                <w:rFonts w:hint="eastAsia"/>
                <w:b/>
                <w:bCs/>
                <w:sz w:val="20"/>
                <w:szCs w:val="20"/>
                <w:lang w:val="en-US" w:eastAsia="zh-CN"/>
              </w:rPr>
            </w:pPr>
          </w:p>
        </w:tc>
        <w:tc>
          <w:tcPr>
            <w:tcW w:w="992" w:type="dxa"/>
            <w:vAlign w:val="center"/>
          </w:tcPr>
          <w:p w14:paraId="4E2F130F">
            <w:pPr>
              <w:pStyle w:val="4"/>
              <w:jc w:val="center"/>
              <w:rPr>
                <w:rFonts w:hint="eastAsia"/>
                <w:b/>
                <w:bCs/>
                <w:sz w:val="20"/>
                <w:szCs w:val="20"/>
                <w:lang w:val="en-US" w:eastAsia="zh-CN"/>
              </w:rPr>
            </w:pPr>
          </w:p>
        </w:tc>
        <w:tc>
          <w:tcPr>
            <w:tcW w:w="850" w:type="dxa"/>
            <w:vAlign w:val="center"/>
          </w:tcPr>
          <w:p w14:paraId="4EB5834A">
            <w:pPr>
              <w:pStyle w:val="4"/>
              <w:jc w:val="center"/>
              <w:rPr>
                <w:rFonts w:hint="eastAsia"/>
                <w:b/>
                <w:bCs/>
                <w:sz w:val="20"/>
                <w:szCs w:val="20"/>
                <w:lang w:val="en-US" w:eastAsia="zh-CN"/>
              </w:rPr>
            </w:pPr>
          </w:p>
        </w:tc>
        <w:tc>
          <w:tcPr>
            <w:tcW w:w="1134" w:type="dxa"/>
            <w:vAlign w:val="center"/>
          </w:tcPr>
          <w:p w14:paraId="7D7F222B">
            <w:pPr>
              <w:pStyle w:val="4"/>
              <w:jc w:val="center"/>
              <w:rPr>
                <w:rFonts w:hint="eastAsia"/>
                <w:b/>
                <w:bCs/>
                <w:sz w:val="20"/>
                <w:szCs w:val="20"/>
                <w:lang w:val="en-US" w:eastAsia="zh-CN"/>
              </w:rPr>
            </w:pPr>
          </w:p>
        </w:tc>
        <w:tc>
          <w:tcPr>
            <w:tcW w:w="993" w:type="dxa"/>
            <w:vAlign w:val="center"/>
          </w:tcPr>
          <w:p w14:paraId="3A301724">
            <w:pPr>
              <w:pStyle w:val="4"/>
              <w:jc w:val="center"/>
              <w:rPr>
                <w:rFonts w:hint="eastAsia"/>
                <w:b/>
                <w:bCs/>
                <w:sz w:val="20"/>
                <w:szCs w:val="20"/>
                <w:lang w:val="en-US" w:eastAsia="zh-CN"/>
              </w:rPr>
            </w:pPr>
          </w:p>
        </w:tc>
        <w:tc>
          <w:tcPr>
            <w:tcW w:w="1275" w:type="dxa"/>
            <w:vAlign w:val="center"/>
          </w:tcPr>
          <w:p w14:paraId="4584A004">
            <w:pPr>
              <w:pStyle w:val="4"/>
              <w:jc w:val="center"/>
              <w:rPr>
                <w:rFonts w:hint="eastAsia"/>
                <w:b/>
                <w:bCs/>
                <w:sz w:val="20"/>
                <w:szCs w:val="20"/>
                <w:lang w:val="en-US" w:eastAsia="zh-CN"/>
              </w:rPr>
            </w:pPr>
          </w:p>
        </w:tc>
        <w:tc>
          <w:tcPr>
            <w:tcW w:w="1843" w:type="dxa"/>
            <w:tcBorders>
              <w:right w:val="single" w:color="000000" w:sz="10" w:space="0"/>
            </w:tcBorders>
            <w:vAlign w:val="center"/>
          </w:tcPr>
          <w:p w14:paraId="0B6DFD92">
            <w:pPr>
              <w:pStyle w:val="4"/>
              <w:jc w:val="center"/>
              <w:rPr>
                <w:rFonts w:hint="eastAsia"/>
                <w:b/>
                <w:bCs/>
                <w:sz w:val="20"/>
                <w:szCs w:val="20"/>
                <w:lang w:val="en-US" w:eastAsia="zh-CN"/>
              </w:rPr>
            </w:pPr>
            <w:r>
              <w:rPr>
                <w:rFonts w:hint="eastAsia"/>
                <w:b/>
                <w:bCs/>
                <w:sz w:val="20"/>
                <w:szCs w:val="20"/>
                <w:lang w:val="en-US" w:eastAsia="zh-CN"/>
              </w:rPr>
              <w:t>安全员</w:t>
            </w:r>
          </w:p>
        </w:tc>
      </w:tr>
      <w:tr w14:paraId="76FEA4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jc w:val="center"/>
        </w:trPr>
        <w:tc>
          <w:tcPr>
            <w:tcW w:w="568" w:type="dxa"/>
            <w:tcBorders>
              <w:left w:val="single" w:color="000000" w:sz="10" w:space="0"/>
              <w:bottom w:val="single" w:color="000000" w:sz="10" w:space="0"/>
            </w:tcBorders>
            <w:vAlign w:val="center"/>
          </w:tcPr>
          <w:p w14:paraId="202D3443">
            <w:pPr>
              <w:pStyle w:val="4"/>
              <w:jc w:val="center"/>
              <w:rPr>
                <w:rFonts w:hint="eastAsia"/>
                <w:b/>
                <w:bCs/>
                <w:sz w:val="20"/>
                <w:szCs w:val="20"/>
                <w:lang w:val="en-US" w:eastAsia="zh-CN"/>
              </w:rPr>
            </w:pPr>
            <w:r>
              <w:rPr>
                <w:rFonts w:hint="eastAsia"/>
                <w:b/>
                <w:bCs/>
                <w:sz w:val="20"/>
                <w:szCs w:val="20"/>
                <w:lang w:val="en-US" w:eastAsia="zh-CN"/>
              </w:rPr>
              <w:t>3</w:t>
            </w:r>
          </w:p>
        </w:tc>
        <w:tc>
          <w:tcPr>
            <w:tcW w:w="993" w:type="dxa"/>
            <w:tcBorders>
              <w:bottom w:val="single" w:color="000000" w:sz="10" w:space="0"/>
            </w:tcBorders>
            <w:vAlign w:val="center"/>
          </w:tcPr>
          <w:p w14:paraId="65435ABF">
            <w:pPr>
              <w:pStyle w:val="4"/>
              <w:jc w:val="center"/>
              <w:rPr>
                <w:rFonts w:hint="eastAsia"/>
                <w:b/>
                <w:bCs/>
                <w:sz w:val="20"/>
                <w:szCs w:val="20"/>
                <w:lang w:val="en-US" w:eastAsia="zh-CN"/>
              </w:rPr>
            </w:pPr>
          </w:p>
        </w:tc>
        <w:tc>
          <w:tcPr>
            <w:tcW w:w="992" w:type="dxa"/>
            <w:tcBorders>
              <w:bottom w:val="single" w:color="000000" w:sz="10" w:space="0"/>
            </w:tcBorders>
            <w:vAlign w:val="center"/>
          </w:tcPr>
          <w:p w14:paraId="7BCFE8BB">
            <w:pPr>
              <w:pStyle w:val="4"/>
              <w:jc w:val="center"/>
              <w:rPr>
                <w:rFonts w:hint="eastAsia"/>
                <w:b/>
                <w:bCs/>
                <w:sz w:val="20"/>
                <w:szCs w:val="20"/>
                <w:lang w:val="en-US" w:eastAsia="zh-CN"/>
              </w:rPr>
            </w:pPr>
          </w:p>
        </w:tc>
        <w:tc>
          <w:tcPr>
            <w:tcW w:w="850" w:type="dxa"/>
            <w:tcBorders>
              <w:bottom w:val="single" w:color="000000" w:sz="10" w:space="0"/>
            </w:tcBorders>
            <w:vAlign w:val="center"/>
          </w:tcPr>
          <w:p w14:paraId="4EB10A2E">
            <w:pPr>
              <w:pStyle w:val="4"/>
              <w:jc w:val="center"/>
              <w:rPr>
                <w:rFonts w:hint="eastAsia"/>
                <w:b/>
                <w:bCs/>
                <w:sz w:val="20"/>
                <w:szCs w:val="20"/>
                <w:lang w:val="en-US" w:eastAsia="zh-CN"/>
              </w:rPr>
            </w:pPr>
          </w:p>
        </w:tc>
        <w:tc>
          <w:tcPr>
            <w:tcW w:w="1134" w:type="dxa"/>
            <w:tcBorders>
              <w:bottom w:val="single" w:color="000000" w:sz="10" w:space="0"/>
            </w:tcBorders>
            <w:vAlign w:val="center"/>
          </w:tcPr>
          <w:p w14:paraId="206C8091">
            <w:pPr>
              <w:pStyle w:val="4"/>
              <w:jc w:val="center"/>
              <w:rPr>
                <w:rFonts w:hint="eastAsia"/>
                <w:b/>
                <w:bCs/>
                <w:sz w:val="20"/>
                <w:szCs w:val="20"/>
                <w:lang w:val="en-US" w:eastAsia="zh-CN"/>
              </w:rPr>
            </w:pPr>
          </w:p>
        </w:tc>
        <w:tc>
          <w:tcPr>
            <w:tcW w:w="993" w:type="dxa"/>
            <w:tcBorders>
              <w:bottom w:val="single" w:color="000000" w:sz="10" w:space="0"/>
            </w:tcBorders>
            <w:vAlign w:val="center"/>
          </w:tcPr>
          <w:p w14:paraId="5EB59745">
            <w:pPr>
              <w:pStyle w:val="4"/>
              <w:jc w:val="center"/>
              <w:rPr>
                <w:rFonts w:hint="eastAsia"/>
                <w:b/>
                <w:bCs/>
                <w:sz w:val="20"/>
                <w:szCs w:val="20"/>
                <w:lang w:val="en-US" w:eastAsia="zh-CN"/>
              </w:rPr>
            </w:pPr>
          </w:p>
        </w:tc>
        <w:tc>
          <w:tcPr>
            <w:tcW w:w="1275" w:type="dxa"/>
            <w:tcBorders>
              <w:bottom w:val="single" w:color="000000" w:sz="10" w:space="0"/>
            </w:tcBorders>
            <w:vAlign w:val="center"/>
          </w:tcPr>
          <w:p w14:paraId="71892D5E">
            <w:pPr>
              <w:pStyle w:val="4"/>
              <w:jc w:val="center"/>
              <w:rPr>
                <w:rFonts w:hint="eastAsia"/>
                <w:b/>
                <w:bCs/>
                <w:sz w:val="20"/>
                <w:szCs w:val="20"/>
                <w:lang w:val="en-US" w:eastAsia="zh-CN"/>
              </w:rPr>
            </w:pPr>
          </w:p>
        </w:tc>
        <w:tc>
          <w:tcPr>
            <w:tcW w:w="1843" w:type="dxa"/>
            <w:tcBorders>
              <w:bottom w:val="single" w:color="000000" w:sz="10" w:space="0"/>
              <w:right w:val="single" w:color="000000" w:sz="10" w:space="0"/>
            </w:tcBorders>
            <w:vAlign w:val="center"/>
          </w:tcPr>
          <w:p w14:paraId="44E16C58">
            <w:pPr>
              <w:pStyle w:val="4"/>
              <w:jc w:val="center"/>
              <w:rPr>
                <w:rFonts w:hint="eastAsia"/>
                <w:b/>
                <w:bCs/>
                <w:sz w:val="20"/>
                <w:szCs w:val="20"/>
                <w:lang w:val="en-US" w:eastAsia="zh-CN"/>
              </w:rPr>
            </w:pPr>
            <w:r>
              <w:rPr>
                <w:rFonts w:hint="eastAsia"/>
                <w:b/>
                <w:bCs/>
                <w:sz w:val="20"/>
                <w:szCs w:val="20"/>
                <w:lang w:val="en-US" w:eastAsia="zh-CN"/>
              </w:rPr>
              <w:t>…</w:t>
            </w:r>
          </w:p>
        </w:tc>
      </w:tr>
    </w:tbl>
    <w:p w14:paraId="49B9EC5F">
      <w:pPr>
        <w:keepNext w:val="0"/>
        <w:keepLines w:val="0"/>
        <w:pageBreakBefore w:val="0"/>
        <w:widowControl/>
        <w:kinsoku w:val="0"/>
        <w:wordWrap/>
        <w:overflowPunct/>
        <w:topLinePunct w:val="0"/>
        <w:autoSpaceDE w:val="0"/>
        <w:autoSpaceDN w:val="0"/>
        <w:bidi w:val="0"/>
        <w:adjustRightInd w:val="0"/>
        <w:snapToGrid w:val="0"/>
        <w:spacing w:before="157" w:beforeLines="50"/>
        <w:textAlignment w:val="baseline"/>
        <w:rPr>
          <w:rFonts w:hint="eastAsia"/>
          <w:b/>
          <w:bCs/>
          <w:sz w:val="22"/>
          <w:szCs w:val="22"/>
          <w:lang w:val="en-US" w:eastAsia="zh-CN"/>
        </w:rPr>
      </w:pPr>
      <w:r>
        <w:rPr>
          <w:rFonts w:hint="eastAsia"/>
          <w:b/>
          <w:bCs/>
          <w:sz w:val="22"/>
          <w:szCs w:val="22"/>
          <w:lang w:val="en-US" w:eastAsia="zh-CN"/>
        </w:rPr>
        <w:t>注：供应商必须如实填写此表格。（此表可延长）</w:t>
      </w:r>
    </w:p>
    <w:p w14:paraId="70FC09FE">
      <w:pPr>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br w:type="page"/>
      </w:r>
    </w:p>
    <w:p w14:paraId="50316514">
      <w:pPr>
        <w:spacing w:before="41" w:line="227" w:lineRule="auto"/>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t>十五、承诺函（格式自拟），包括但不限于：①对于须持证上岗的作业项目，如高空作业、电工、焊工等，操作人员须具备相应的有效证件，并在进场前向采购人报备；②为建筑工程施工人员人身保险，中标后须向采购人提交有效期内复印件。</w:t>
      </w:r>
    </w:p>
    <w:p w14:paraId="08F3CD74">
      <w:pPr>
        <w:rPr>
          <w:rFonts w:hint="eastAsia" w:ascii="宋体" w:hAnsi="宋体" w:eastAsia="宋体" w:cs="宋体"/>
          <w:b/>
          <w:bCs/>
          <w:spacing w:val="7"/>
          <w:sz w:val="20"/>
          <w:szCs w:val="20"/>
          <w:lang w:val="en-US" w:eastAsia="zh-CN"/>
        </w:rPr>
      </w:pPr>
      <w:r>
        <w:rPr>
          <w:rFonts w:hint="eastAsia" w:ascii="宋体" w:hAnsi="宋体" w:eastAsia="宋体" w:cs="宋体"/>
          <w:b/>
          <w:bCs/>
          <w:spacing w:val="7"/>
          <w:sz w:val="20"/>
          <w:szCs w:val="20"/>
          <w:lang w:val="en-US" w:eastAsia="zh-CN"/>
        </w:rPr>
        <w:br w:type="page"/>
      </w:r>
    </w:p>
    <w:p w14:paraId="37C98485">
      <w:pPr>
        <w:keepNext w:val="0"/>
        <w:keepLines w:val="0"/>
        <w:pageBreakBefore w:val="0"/>
        <w:widowControl/>
        <w:kinsoku w:val="0"/>
        <w:wordWrap/>
        <w:overflowPunct/>
        <w:topLinePunct w:val="0"/>
        <w:autoSpaceDE w:val="0"/>
        <w:autoSpaceDN w:val="0"/>
        <w:bidi w:val="0"/>
        <w:adjustRightInd w:val="0"/>
        <w:snapToGrid w:val="0"/>
        <w:spacing w:before="41" w:line="276" w:lineRule="auto"/>
        <w:textAlignment w:val="baseline"/>
        <w:rPr>
          <w:rFonts w:hint="default" w:ascii="宋体" w:hAnsi="宋体" w:eastAsia="宋体" w:cs="宋体"/>
          <w:sz w:val="20"/>
          <w:szCs w:val="20"/>
          <w:lang w:val="en-US" w:eastAsia="zh-CN"/>
        </w:rPr>
      </w:pPr>
      <w:r>
        <w:rPr>
          <w:rFonts w:hint="eastAsia" w:ascii="宋体" w:hAnsi="宋体" w:eastAsia="宋体" w:cs="宋体"/>
          <w:b/>
          <w:bCs/>
          <w:spacing w:val="7"/>
          <w:sz w:val="20"/>
          <w:szCs w:val="20"/>
          <w:lang w:val="en-US" w:eastAsia="zh-CN"/>
        </w:rPr>
        <w:t>十六</w:t>
      </w:r>
      <w:r>
        <w:rPr>
          <w:rFonts w:ascii="宋体" w:hAnsi="宋体" w:eastAsia="宋体" w:cs="宋体"/>
          <w:b/>
          <w:bCs/>
          <w:spacing w:val="7"/>
          <w:sz w:val="20"/>
          <w:szCs w:val="20"/>
          <w:lang w:eastAsia="zh-CN"/>
        </w:rPr>
        <w:t>、项目整体实施方案（格式自拟）</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包括但不限于：项目总体要求、工程质量要求、材料及设备要求、安全文明措施等。</w:t>
      </w:r>
    </w:p>
    <w:p w14:paraId="22B4EC2E">
      <w:pPr>
        <w:rPr>
          <w:rFonts w:hint="eastAsia" w:ascii="宋体" w:hAnsi="宋体" w:eastAsia="宋体" w:cs="宋体"/>
          <w:b/>
          <w:bCs/>
          <w:spacing w:val="7"/>
          <w:sz w:val="20"/>
          <w:szCs w:val="20"/>
          <w:lang w:eastAsia="zh-CN"/>
        </w:rPr>
      </w:pPr>
      <w:r>
        <w:rPr>
          <w:rFonts w:hint="eastAsia" w:ascii="宋体" w:hAnsi="宋体" w:eastAsia="宋体" w:cs="宋体"/>
          <w:b/>
          <w:bCs/>
          <w:spacing w:val="7"/>
          <w:sz w:val="20"/>
          <w:szCs w:val="20"/>
          <w:lang w:eastAsia="zh-CN"/>
        </w:rPr>
        <w:br w:type="page"/>
      </w:r>
    </w:p>
    <w:p w14:paraId="1B55C4C2">
      <w:pPr>
        <w:rPr>
          <w:rFonts w:ascii="宋体" w:hAnsi="宋体" w:eastAsia="宋体" w:cs="宋体"/>
          <w:sz w:val="20"/>
          <w:szCs w:val="20"/>
          <w:lang w:eastAsia="zh-CN"/>
        </w:rPr>
      </w:pPr>
      <w:r>
        <w:rPr>
          <w:rFonts w:hint="eastAsia" w:ascii="宋体" w:hAnsi="宋体" w:eastAsia="宋体" w:cs="宋体"/>
          <w:b/>
          <w:bCs/>
          <w:spacing w:val="7"/>
          <w:sz w:val="20"/>
          <w:szCs w:val="20"/>
          <w:lang w:val="en-US" w:eastAsia="zh-CN"/>
        </w:rPr>
        <w:t>十七</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认为需要提供的其他材料（如无、可删）</w:t>
      </w:r>
    </w:p>
    <w:p w14:paraId="6D0D903D">
      <w:pPr>
        <w:rPr>
          <w:lang w:eastAsia="zh-CN"/>
        </w:rPr>
      </w:pPr>
    </w:p>
    <w:sectPr>
      <w:pgSz w:w="11900" w:h="16840"/>
      <w:pgMar w:top="907" w:right="1701" w:bottom="907" w:left="1701"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80F499"/>
    <w:multiLevelType w:val="singleLevel"/>
    <w:tmpl w:val="8B80F499"/>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B1270F"/>
    <w:rsid w:val="00DF1B45"/>
    <w:rsid w:val="01177A27"/>
    <w:rsid w:val="01E26336"/>
    <w:rsid w:val="027A76EE"/>
    <w:rsid w:val="041B280B"/>
    <w:rsid w:val="05D250F6"/>
    <w:rsid w:val="06984FFC"/>
    <w:rsid w:val="07D772C8"/>
    <w:rsid w:val="07DE22A7"/>
    <w:rsid w:val="09537203"/>
    <w:rsid w:val="0A1B60BD"/>
    <w:rsid w:val="0A382368"/>
    <w:rsid w:val="0E881903"/>
    <w:rsid w:val="0E9C78E3"/>
    <w:rsid w:val="126C008B"/>
    <w:rsid w:val="13666B31"/>
    <w:rsid w:val="16DD5993"/>
    <w:rsid w:val="18C80C4B"/>
    <w:rsid w:val="1E9D0594"/>
    <w:rsid w:val="1EA21FDF"/>
    <w:rsid w:val="1EDF5020"/>
    <w:rsid w:val="1FB73B6E"/>
    <w:rsid w:val="20607AD1"/>
    <w:rsid w:val="20BE2A44"/>
    <w:rsid w:val="220611C3"/>
    <w:rsid w:val="22732647"/>
    <w:rsid w:val="231E7145"/>
    <w:rsid w:val="23460028"/>
    <w:rsid w:val="23487B36"/>
    <w:rsid w:val="243E45C7"/>
    <w:rsid w:val="2695736E"/>
    <w:rsid w:val="26B446CD"/>
    <w:rsid w:val="281105FD"/>
    <w:rsid w:val="28580DF7"/>
    <w:rsid w:val="2EB9081B"/>
    <w:rsid w:val="36073C0B"/>
    <w:rsid w:val="37620175"/>
    <w:rsid w:val="37F2328A"/>
    <w:rsid w:val="3AC4344A"/>
    <w:rsid w:val="3B082DE1"/>
    <w:rsid w:val="3BF85816"/>
    <w:rsid w:val="3EB26D88"/>
    <w:rsid w:val="40671DCB"/>
    <w:rsid w:val="40C03509"/>
    <w:rsid w:val="433379C8"/>
    <w:rsid w:val="43B35DD1"/>
    <w:rsid w:val="45D45685"/>
    <w:rsid w:val="45F428E0"/>
    <w:rsid w:val="48993DFC"/>
    <w:rsid w:val="4A4831FA"/>
    <w:rsid w:val="4C030C69"/>
    <w:rsid w:val="50573AD2"/>
    <w:rsid w:val="5178029F"/>
    <w:rsid w:val="526F5AAA"/>
    <w:rsid w:val="535864C5"/>
    <w:rsid w:val="54B97F1A"/>
    <w:rsid w:val="556A1102"/>
    <w:rsid w:val="5774562F"/>
    <w:rsid w:val="58514D81"/>
    <w:rsid w:val="58C84041"/>
    <w:rsid w:val="597F545A"/>
    <w:rsid w:val="5AC43250"/>
    <w:rsid w:val="5E5E5F4E"/>
    <w:rsid w:val="609028F6"/>
    <w:rsid w:val="68391C49"/>
    <w:rsid w:val="69CE3A78"/>
    <w:rsid w:val="6DC8099B"/>
    <w:rsid w:val="6E59613D"/>
    <w:rsid w:val="70C679A7"/>
    <w:rsid w:val="72507210"/>
    <w:rsid w:val="726C3C18"/>
    <w:rsid w:val="72EC5D52"/>
    <w:rsid w:val="73052C46"/>
    <w:rsid w:val="73252077"/>
    <w:rsid w:val="7372318C"/>
    <w:rsid w:val="74273CFD"/>
    <w:rsid w:val="74AF6627"/>
    <w:rsid w:val="74C07CAE"/>
    <w:rsid w:val="75E87F4B"/>
    <w:rsid w:val="790F76AC"/>
    <w:rsid w:val="7A904F05"/>
    <w:rsid w:val="7EA0305E"/>
    <w:rsid w:val="7EEC0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4"/>
    <w:semiHidden/>
    <w:qFormat/>
    <w:uiPriority w:val="0"/>
  </w:style>
  <w:style w:type="paragraph" w:customStyle="1" w:styleId="4">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5">
    <w:name w:val="Body Text Indent 2"/>
    <w:basedOn w:val="1"/>
    <w:link w:val="12"/>
    <w:qFormat/>
    <w:uiPriority w:val="0"/>
    <w:pPr>
      <w:spacing w:after="120" w:line="480" w:lineRule="auto"/>
      <w:ind w:left="420" w:leftChars="200"/>
    </w:pPr>
    <w:rPr>
      <w:szCs w:val="20"/>
    </w:rPr>
  </w:style>
  <w:style w:type="paragraph" w:styleId="6">
    <w:name w:val="Normal (Web)"/>
    <w:basedOn w:val="1"/>
    <w:qFormat/>
    <w:uiPriority w:val="0"/>
    <w:pPr>
      <w:spacing w:before="100" w:beforeAutospacing="1" w:after="100" w:afterAutospacing="1"/>
    </w:pPr>
    <w:rPr>
      <w:rFonts w:cs="Times New Roman"/>
      <w:sz w:val="24"/>
      <w:lang w:eastAsia="zh-CN"/>
    </w:rPr>
  </w:style>
  <w:style w:type="character" w:styleId="9">
    <w:name w:val="Strong"/>
    <w:basedOn w:val="8"/>
    <w:qFormat/>
    <w:uiPriority w:val="0"/>
    <w:rPr>
      <w:b/>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style>
  <w:style w:type="character" w:customStyle="1" w:styleId="12">
    <w:name w:val="正文文本缩进 2 Char"/>
    <w:link w:val="5"/>
    <w:autoRedefine/>
    <w:qFormat/>
    <w:uiPriority w:val="0"/>
    <w:rPr>
      <w:szCs w:val="20"/>
    </w:rPr>
  </w:style>
  <w:style w:type="character" w:customStyle="1" w:styleId="13">
    <w:name w:val="font11"/>
    <w:basedOn w:val="8"/>
    <w:autoRedefine/>
    <w:qFormat/>
    <w:uiPriority w:val="0"/>
    <w:rPr>
      <w:rFonts w:hint="eastAsia" w:ascii="宋体" w:hAnsi="宋体" w:eastAsia="宋体" w:cs="宋体"/>
      <w:color w:val="000000"/>
      <w:sz w:val="22"/>
      <w:szCs w:val="22"/>
      <w:u w:val="single"/>
    </w:rPr>
  </w:style>
  <w:style w:type="character" w:customStyle="1" w:styleId="14">
    <w:name w:val="font31"/>
    <w:basedOn w:val="8"/>
    <w:qFormat/>
    <w:uiPriority w:val="0"/>
    <w:rPr>
      <w:rFonts w:hint="eastAsia" w:ascii="宋体" w:hAnsi="宋体" w:eastAsia="宋体" w:cs="宋体"/>
      <w:color w:val="000000"/>
      <w:sz w:val="21"/>
      <w:szCs w:val="21"/>
      <w:u w:val="none"/>
    </w:rPr>
  </w:style>
  <w:style w:type="paragraph" w:styleId="15">
    <w:name w:val="List Paragraph"/>
    <w:basedOn w:val="1"/>
    <w:qFormat/>
    <w:uiPriority w:val="34"/>
    <w:pPr>
      <w:widowControl/>
      <w:ind w:firstLine="420" w:firstLineChars="200"/>
      <w:jc w:val="left"/>
    </w:pPr>
    <w:rPr>
      <w:kern w:val="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24</Pages>
  <Words>9778</Words>
  <Characters>10075</Characters>
  <Lines>55</Lines>
  <Paragraphs>15</Paragraphs>
  <TotalTime>0</TotalTime>
  <ScaleCrop>false</ScaleCrop>
  <LinksUpToDate>false</LinksUpToDate>
  <CharactersWithSpaces>10532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dcterms:modified xsi:type="dcterms:W3CDTF">2026-07-30T08:11:06Z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82EF3B5B713A461EAD7CC1D03AFF31E6_13</vt:lpwstr>
  </property>
  <property fmtid="{D5CDD505-2E9C-101B-9397-08002B2CF9AE}" pid="4" name="KSOTemplateDocerSaveRecord">
    <vt:lpwstr>eyJoZGlkIjoiZjMxODI1ZDk1NTM3ZThjZDIyMDM0N2Q4Njc3ODMwMjMiLCJ1c2VySWQiOiIyNjI5MDY5MzEifQ==</vt:lpwstr>
  </property>
</Properties>
</file>