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B1A73">
      <w:pPr>
        <w:spacing w:line="360" w:lineRule="auto"/>
        <w:ind w:firstLine="480" w:firstLineChars="200"/>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附件</w:t>
      </w:r>
      <w:r>
        <w:rPr>
          <w:rFonts w:hint="eastAsia" w:ascii="宋体" w:hAnsi="宋体" w:cs="宋体"/>
          <w:i w:val="0"/>
          <w:iCs w:val="0"/>
          <w:caps w:val="0"/>
          <w:color w:val="auto"/>
          <w:spacing w:val="0"/>
          <w:kern w:val="0"/>
          <w:sz w:val="24"/>
          <w:szCs w:val="24"/>
          <w:highlight w:val="none"/>
          <w:shd w:val="clear" w:color="auto" w:fill="FFFFFF"/>
          <w:lang w:val="en-US" w:eastAsia="zh-CN" w:bidi="ar"/>
        </w:rPr>
        <w:t>四</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w:t>
      </w:r>
      <w:r>
        <w:rPr>
          <w:rFonts w:hint="eastAsia" w:ascii="宋体" w:hAnsi="宋体" w:cs="宋体"/>
          <w:i w:val="0"/>
          <w:iCs w:val="0"/>
          <w:caps w:val="0"/>
          <w:color w:val="auto"/>
          <w:spacing w:val="0"/>
          <w:kern w:val="0"/>
          <w:sz w:val="24"/>
          <w:szCs w:val="24"/>
          <w:highlight w:val="none"/>
          <w:shd w:val="clear" w:color="auto" w:fill="FFFFFF"/>
          <w:lang w:val="en-US" w:eastAsia="zh-CN" w:bidi="ar"/>
        </w:rPr>
        <w:t>东升</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医院餐饮服务质量监督考评表》（可根据实际进行调整）</w:t>
      </w:r>
    </w:p>
    <w:p w14:paraId="3B1D6B2F">
      <w:pPr>
        <w:spacing w:line="360" w:lineRule="auto"/>
        <w:jc w:val="cente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pPr>
      <w:bookmarkStart w:id="0" w:name="_GoBack"/>
      <w: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中山市</w:t>
      </w:r>
      <w:r>
        <w:rPr>
          <w:rFonts w:hint="eastAsia" w:ascii="宋体" w:hAnsi="宋体" w:cs="宋体"/>
          <w:b/>
          <w:bCs/>
          <w:i w:val="0"/>
          <w:iCs w:val="0"/>
          <w:caps w:val="0"/>
          <w:color w:val="auto"/>
          <w:spacing w:val="0"/>
          <w:kern w:val="0"/>
          <w:sz w:val="24"/>
          <w:szCs w:val="24"/>
          <w:highlight w:val="none"/>
          <w:shd w:val="clear" w:color="auto" w:fill="FFFFFF"/>
          <w:lang w:val="en-US" w:eastAsia="zh-CN" w:bidi="ar"/>
        </w:rPr>
        <w:t>东升</w:t>
      </w:r>
      <w: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医院餐饮服务质量监督考评表</w:t>
      </w:r>
      <w:bookmarkEnd w:id="0"/>
    </w:p>
    <w:tbl>
      <w:tblPr>
        <w:tblStyle w:val="10"/>
        <w:tblW w:w="10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5098"/>
        <w:gridCol w:w="690"/>
        <w:gridCol w:w="2999"/>
        <w:gridCol w:w="641"/>
      </w:tblGrid>
      <w:tr w14:paraId="03E6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63" w:type="dxa"/>
            <w:shd w:val="clear" w:color="000000" w:fill="FFFFFF"/>
            <w:vAlign w:val="center"/>
          </w:tcPr>
          <w:p w14:paraId="6DE8FF53">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项目</w:t>
            </w:r>
          </w:p>
        </w:tc>
        <w:tc>
          <w:tcPr>
            <w:tcW w:w="5098" w:type="dxa"/>
            <w:shd w:val="clear" w:color="000000" w:fill="FFFFFF"/>
            <w:vAlign w:val="center"/>
          </w:tcPr>
          <w:p w14:paraId="73371DA6">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质量标准</w:t>
            </w:r>
          </w:p>
        </w:tc>
        <w:tc>
          <w:tcPr>
            <w:tcW w:w="690" w:type="dxa"/>
            <w:shd w:val="clear" w:color="000000" w:fill="FFFFFF"/>
            <w:vAlign w:val="center"/>
          </w:tcPr>
          <w:p w14:paraId="18C6BB09">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分值</w:t>
            </w:r>
            <w:r>
              <w:rPr>
                <w:rFonts w:hint="eastAsia" w:cs="宋体" w:asciiTheme="majorEastAsia" w:hAnsiTheme="majorEastAsia" w:eastAsiaTheme="majorEastAsia"/>
                <w:b/>
                <w:color w:val="auto"/>
                <w:kern w:val="0"/>
                <w:sz w:val="18"/>
                <w:szCs w:val="18"/>
                <w:highlight w:val="none"/>
              </w:rPr>
              <w:t>(分)</w:t>
            </w:r>
          </w:p>
        </w:tc>
        <w:tc>
          <w:tcPr>
            <w:tcW w:w="2999" w:type="dxa"/>
            <w:shd w:val="clear" w:color="auto" w:fill="auto"/>
            <w:vAlign w:val="center"/>
          </w:tcPr>
          <w:p w14:paraId="58D2FB8A">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考核方法</w:t>
            </w:r>
          </w:p>
        </w:tc>
        <w:tc>
          <w:tcPr>
            <w:tcW w:w="641" w:type="dxa"/>
            <w:shd w:val="clear" w:color="auto" w:fill="auto"/>
            <w:vAlign w:val="center"/>
          </w:tcPr>
          <w:p w14:paraId="542F2662">
            <w:pPr>
              <w:widowControl/>
              <w:jc w:val="center"/>
              <w:rPr>
                <w:rFonts w:cs="宋体" w:asciiTheme="majorEastAsia" w:hAnsiTheme="majorEastAsia" w:eastAsiaTheme="majorEastAsia"/>
                <w:b/>
                <w:bCs/>
                <w:color w:val="auto"/>
                <w:kern w:val="0"/>
                <w:sz w:val="18"/>
                <w:szCs w:val="18"/>
                <w:highlight w:val="none"/>
              </w:rPr>
            </w:pPr>
            <w:r>
              <w:rPr>
                <w:rFonts w:hint="eastAsia" w:cs="宋体" w:asciiTheme="majorEastAsia" w:hAnsiTheme="majorEastAsia" w:eastAsiaTheme="majorEastAsia"/>
                <w:b/>
                <w:bCs/>
                <w:color w:val="auto"/>
                <w:kern w:val="0"/>
                <w:sz w:val="18"/>
                <w:szCs w:val="18"/>
                <w:highlight w:val="none"/>
              </w:rPr>
              <w:t>考核结果</w:t>
            </w:r>
          </w:p>
        </w:tc>
      </w:tr>
      <w:tr w14:paraId="0A5F6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763" w:type="dxa"/>
            <w:vMerge w:val="restart"/>
            <w:shd w:val="clear" w:color="000000" w:fill="FFFFFF"/>
            <w:vAlign w:val="center"/>
          </w:tcPr>
          <w:p w14:paraId="5A04226E">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一、公司管理(</w:t>
            </w:r>
            <w:r>
              <w:rPr>
                <w:rFonts w:hint="eastAsia" w:cs="宋体" w:asciiTheme="majorEastAsia" w:hAnsiTheme="majorEastAsia" w:eastAsiaTheme="majorEastAsia"/>
                <w:color w:val="auto"/>
                <w:kern w:val="0"/>
                <w:sz w:val="18"/>
                <w:szCs w:val="18"/>
                <w:highlight w:val="none"/>
                <w:lang w:val="en-US" w:eastAsia="zh-CN"/>
              </w:rPr>
              <w:t>10</w:t>
            </w:r>
            <w:r>
              <w:rPr>
                <w:rFonts w:hint="eastAsia" w:cs="宋体" w:asciiTheme="majorEastAsia" w:hAnsiTheme="majorEastAsia" w:eastAsiaTheme="majorEastAsia"/>
                <w:color w:val="auto"/>
                <w:kern w:val="0"/>
                <w:sz w:val="18"/>
                <w:szCs w:val="18"/>
                <w:highlight w:val="none"/>
              </w:rPr>
              <w:t>分）</w:t>
            </w:r>
          </w:p>
        </w:tc>
        <w:tc>
          <w:tcPr>
            <w:tcW w:w="5098" w:type="dxa"/>
            <w:shd w:val="clear" w:color="000000" w:fill="FFFFFF"/>
            <w:vAlign w:val="center"/>
          </w:tcPr>
          <w:p w14:paraId="28ADF1F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1.管理人员在岗情况：</w:t>
            </w:r>
            <w:r>
              <w:rPr>
                <w:rFonts w:hint="eastAsia" w:asciiTheme="majorEastAsia" w:hAnsiTheme="majorEastAsia" w:eastAsiaTheme="majorEastAsia"/>
                <w:color w:val="auto"/>
                <w:sz w:val="18"/>
                <w:szCs w:val="18"/>
                <w:highlight w:val="none"/>
              </w:rPr>
              <w:t>项目经理及主管要坚守工作岗位，在工作日请假休息或途中离开医院的，应向医院主管部门报备并做好工作安排，管理人员</w:t>
            </w:r>
            <w:r>
              <w:rPr>
                <w:rFonts w:hint="eastAsia" w:ascii="宋体" w:hAnsi="宋体" w:cs="宋体"/>
                <w:color w:val="auto"/>
                <w:sz w:val="18"/>
                <w:szCs w:val="18"/>
                <w:highlight w:val="none"/>
                <w:lang w:val="en-US" w:eastAsia="zh-CN"/>
              </w:rPr>
              <w:t>每年</w:t>
            </w:r>
            <w:r>
              <w:rPr>
                <w:rFonts w:hint="eastAsia" w:asciiTheme="majorEastAsia" w:hAnsiTheme="majorEastAsia" w:eastAsiaTheme="majorEastAsia"/>
                <w:color w:val="auto"/>
                <w:sz w:val="18"/>
                <w:szCs w:val="18"/>
                <w:highlight w:val="none"/>
              </w:rPr>
              <w:t>离开医院累积时间不得超过10天（正常休息日除外），接受</w:t>
            </w:r>
            <w:r>
              <w:rPr>
                <w:rFonts w:hint="eastAsia" w:ascii="宋体" w:hAnsi="宋体" w:cs="宋体"/>
                <w:color w:val="auto"/>
                <w:sz w:val="18"/>
                <w:szCs w:val="18"/>
                <w:highlight w:val="none"/>
                <w:lang w:val="en-US" w:eastAsia="zh-CN"/>
              </w:rPr>
              <w:t>主管部门</w:t>
            </w:r>
            <w:r>
              <w:rPr>
                <w:rFonts w:hint="eastAsia" w:asciiTheme="majorEastAsia" w:hAnsiTheme="majorEastAsia" w:eastAsiaTheme="majorEastAsia"/>
                <w:color w:val="auto"/>
                <w:sz w:val="18"/>
                <w:szCs w:val="18"/>
                <w:highlight w:val="none"/>
              </w:rPr>
              <w:t>统一微信共享定位查岗。</w:t>
            </w:r>
          </w:p>
        </w:tc>
        <w:tc>
          <w:tcPr>
            <w:tcW w:w="690" w:type="dxa"/>
            <w:shd w:val="clear" w:color="000000" w:fill="FFFFFF"/>
            <w:vAlign w:val="center"/>
          </w:tcPr>
          <w:p w14:paraId="2C70D2D8">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586CFFC0">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管理人员无故离岗或休息不向医院主管部门报备的，一次扣1分；如因管理人员休息而工作安排不到位导致不良后果的，扣减100元/次。</w:t>
            </w:r>
          </w:p>
        </w:tc>
        <w:tc>
          <w:tcPr>
            <w:tcW w:w="641" w:type="dxa"/>
            <w:shd w:val="clear" w:color="auto" w:fill="auto"/>
          </w:tcPr>
          <w:p w14:paraId="07618F01">
            <w:pPr>
              <w:widowControl/>
              <w:jc w:val="left"/>
              <w:rPr>
                <w:rFonts w:asciiTheme="majorEastAsia" w:hAnsiTheme="majorEastAsia" w:eastAsiaTheme="majorEastAsia"/>
                <w:color w:val="auto"/>
                <w:kern w:val="0"/>
                <w:sz w:val="20"/>
                <w:szCs w:val="20"/>
                <w:highlight w:val="none"/>
              </w:rPr>
            </w:pPr>
          </w:p>
        </w:tc>
      </w:tr>
      <w:tr w14:paraId="41BD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63" w:type="dxa"/>
            <w:vMerge w:val="continue"/>
            <w:vAlign w:val="center"/>
          </w:tcPr>
          <w:p w14:paraId="0D78F076">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68DB35D4">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2.质量持续改进：</w:t>
            </w:r>
            <w:r>
              <w:rPr>
                <w:rFonts w:hint="eastAsia" w:asciiTheme="majorEastAsia" w:hAnsiTheme="majorEastAsia" w:eastAsiaTheme="majorEastAsia"/>
                <w:color w:val="auto"/>
                <w:sz w:val="18"/>
                <w:szCs w:val="18"/>
                <w:highlight w:val="none"/>
              </w:rPr>
              <w:t>公司对客户提出的问题及时改进，投诉处理率为100%。发生不良事件时，应在1小时内采取补救措施将影响降到最低，处理结束后，填《不良事件登记表》</w:t>
            </w:r>
            <w:r>
              <w:rPr>
                <w:rFonts w:hint="eastAsia" w:asciiTheme="majorEastAsia" w:hAnsiTheme="majorEastAsia" w:eastAsiaTheme="majorEastAsia"/>
                <w:color w:val="auto"/>
                <w:sz w:val="18"/>
                <w:szCs w:val="18"/>
                <w:highlight w:val="none"/>
                <w:lang w:eastAsia="zh-CN"/>
              </w:rPr>
              <w:t>并对</w:t>
            </w:r>
            <w:r>
              <w:rPr>
                <w:rFonts w:hint="eastAsia" w:asciiTheme="majorEastAsia" w:hAnsiTheme="majorEastAsia" w:eastAsiaTheme="majorEastAsia"/>
                <w:color w:val="auto"/>
                <w:sz w:val="18"/>
                <w:szCs w:val="18"/>
                <w:highlight w:val="none"/>
              </w:rPr>
              <w:t>发生原因进行分析并持续改进，在一周内将填写完整的《不良事件登记表》提交主管部门报备，改进措施有效，因公司责任导致的同类不良事件不得出现两次。如收到员工反映问题应书面回复改进措施；如收到医院发出的整改通知函，应按期整改并提交整改意</w:t>
            </w:r>
          </w:p>
        </w:tc>
        <w:tc>
          <w:tcPr>
            <w:tcW w:w="690" w:type="dxa"/>
            <w:shd w:val="clear" w:color="000000" w:fill="FFFFFF"/>
            <w:vAlign w:val="center"/>
          </w:tcPr>
          <w:p w14:paraId="0DF7EAF2">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6</w:t>
            </w:r>
          </w:p>
        </w:tc>
        <w:tc>
          <w:tcPr>
            <w:tcW w:w="2999" w:type="dxa"/>
            <w:shd w:val="clear" w:color="auto" w:fill="auto"/>
            <w:vAlign w:val="center"/>
          </w:tcPr>
          <w:p w14:paraId="2D5C203F">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未按要求处理或改进的，扣1分/次，未填写登记表并提交整改意见的，扣1次/次；如果因公司责任再次发生同类不良事件的，扣3分/项，扣完为止。</w:t>
            </w:r>
          </w:p>
        </w:tc>
        <w:tc>
          <w:tcPr>
            <w:tcW w:w="641" w:type="dxa"/>
            <w:shd w:val="clear" w:color="auto" w:fill="auto"/>
          </w:tcPr>
          <w:p w14:paraId="34316D61">
            <w:pPr>
              <w:widowControl/>
              <w:jc w:val="left"/>
              <w:rPr>
                <w:rFonts w:asciiTheme="majorEastAsia" w:hAnsiTheme="majorEastAsia" w:eastAsiaTheme="majorEastAsia"/>
                <w:color w:val="auto"/>
                <w:kern w:val="0"/>
                <w:sz w:val="20"/>
                <w:szCs w:val="20"/>
                <w:highlight w:val="none"/>
              </w:rPr>
            </w:pPr>
          </w:p>
        </w:tc>
      </w:tr>
      <w:tr w14:paraId="54BB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763" w:type="dxa"/>
            <w:vAlign w:val="center"/>
          </w:tcPr>
          <w:p w14:paraId="49033A6F">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二、满意度调查（20分）</w:t>
            </w:r>
          </w:p>
        </w:tc>
        <w:tc>
          <w:tcPr>
            <w:tcW w:w="5098" w:type="dxa"/>
            <w:shd w:val="clear" w:color="000000" w:fill="FFFFFF"/>
            <w:vAlign w:val="center"/>
          </w:tcPr>
          <w:p w14:paraId="0790FD49">
            <w:pPr>
              <w:rPr>
                <w:rFonts w:hint="eastAsia" w:cs="宋体" w:asciiTheme="majorEastAsia" w:hAnsiTheme="majorEastAsia" w:eastAsiaTheme="majorEastAsia"/>
                <w:color w:val="auto"/>
                <w:sz w:val="18"/>
                <w:szCs w:val="18"/>
                <w:highlight w:val="none"/>
                <w:lang w:eastAsia="zh-CN"/>
              </w:rPr>
            </w:pPr>
            <w:r>
              <w:rPr>
                <w:rFonts w:hint="eastAsia" w:asciiTheme="majorEastAsia" w:hAnsiTheme="majorEastAsia" w:eastAsiaTheme="majorEastAsia"/>
                <w:color w:val="auto"/>
                <w:sz w:val="18"/>
                <w:szCs w:val="18"/>
                <w:highlight w:val="none"/>
                <w:lang w:eastAsia="zh-CN"/>
              </w:rPr>
              <w:t>每月</w:t>
            </w:r>
            <w:r>
              <w:rPr>
                <w:rFonts w:hint="eastAsia" w:asciiTheme="majorEastAsia" w:hAnsiTheme="majorEastAsia" w:eastAsiaTheme="majorEastAsia"/>
                <w:color w:val="auto"/>
                <w:sz w:val="18"/>
                <w:szCs w:val="18"/>
                <w:highlight w:val="none"/>
              </w:rPr>
              <w:t>根据</w:t>
            </w:r>
            <w:r>
              <w:rPr>
                <w:rFonts w:hint="eastAsia" w:asciiTheme="majorEastAsia" w:hAnsiTheme="majorEastAsia" w:eastAsiaTheme="majorEastAsia"/>
                <w:color w:val="auto"/>
                <w:sz w:val="18"/>
                <w:szCs w:val="18"/>
                <w:highlight w:val="none"/>
                <w:lang w:val="en-US" w:eastAsia="zh-CN"/>
              </w:rPr>
              <w:t>医院</w:t>
            </w:r>
            <w:r>
              <w:rPr>
                <w:rFonts w:hint="eastAsia" w:asciiTheme="majorEastAsia" w:hAnsiTheme="majorEastAsia" w:eastAsiaTheme="majorEastAsia"/>
                <w:color w:val="auto"/>
                <w:sz w:val="18"/>
                <w:szCs w:val="18"/>
                <w:highlight w:val="none"/>
              </w:rPr>
              <w:t>满意度调查表分别对医院工作人员进行满意度调查，要求</w:t>
            </w:r>
            <w:r>
              <w:rPr>
                <w:rFonts w:hint="eastAsia" w:asciiTheme="majorEastAsia" w:hAnsiTheme="majorEastAsia" w:eastAsiaTheme="majorEastAsia"/>
                <w:color w:val="auto"/>
                <w:sz w:val="18"/>
                <w:szCs w:val="18"/>
                <w:highlight w:val="none"/>
                <w:lang w:val="en-US" w:eastAsia="zh-CN"/>
              </w:rPr>
              <w:t>患者</w:t>
            </w:r>
            <w:r>
              <w:rPr>
                <w:rFonts w:hint="eastAsia" w:asciiTheme="majorEastAsia" w:hAnsiTheme="majorEastAsia" w:eastAsiaTheme="majorEastAsia"/>
                <w:color w:val="auto"/>
                <w:sz w:val="18"/>
                <w:szCs w:val="18"/>
                <w:highlight w:val="none"/>
              </w:rPr>
              <w:t>服务满意度≥</w:t>
            </w:r>
            <w:r>
              <w:rPr>
                <w:rFonts w:hint="eastAsia" w:asciiTheme="majorEastAsia" w:hAnsiTheme="majorEastAsia" w:eastAsiaTheme="majorEastAsia"/>
                <w:color w:val="auto"/>
                <w:sz w:val="18"/>
                <w:szCs w:val="18"/>
                <w:highlight w:val="none"/>
                <w:lang w:val="en-US" w:eastAsia="zh-CN"/>
              </w:rPr>
              <w:t>80</w:t>
            </w:r>
            <w:r>
              <w:rPr>
                <w:rFonts w:hint="eastAsia" w:asciiTheme="majorEastAsia" w:hAnsiTheme="majorEastAsia" w:eastAsiaTheme="majorEastAsia"/>
                <w:color w:val="auto"/>
                <w:sz w:val="18"/>
                <w:szCs w:val="18"/>
                <w:highlight w:val="none"/>
              </w:rPr>
              <w:t>%</w:t>
            </w:r>
            <w:r>
              <w:rPr>
                <w:rFonts w:hint="eastAsia" w:asciiTheme="majorEastAsia" w:hAnsiTheme="majorEastAsia" w:eastAsiaTheme="majorEastAsia"/>
                <w:color w:val="auto"/>
                <w:sz w:val="18"/>
                <w:szCs w:val="18"/>
                <w:highlight w:val="none"/>
                <w:lang w:eastAsia="zh-CN"/>
              </w:rPr>
              <w:t>，</w:t>
            </w:r>
            <w:r>
              <w:rPr>
                <w:rFonts w:hint="eastAsia" w:asciiTheme="majorEastAsia" w:hAnsiTheme="majorEastAsia" w:eastAsiaTheme="majorEastAsia"/>
                <w:color w:val="auto"/>
                <w:sz w:val="18"/>
                <w:szCs w:val="18"/>
                <w:highlight w:val="none"/>
                <w:lang w:val="en-US" w:eastAsia="zh-CN"/>
              </w:rPr>
              <w:t>职工满意度≥80%</w:t>
            </w:r>
            <w:r>
              <w:rPr>
                <w:rFonts w:hint="eastAsia" w:asciiTheme="majorEastAsia" w:hAnsiTheme="majorEastAsia" w:eastAsiaTheme="majorEastAsia"/>
                <w:color w:val="auto"/>
                <w:sz w:val="18"/>
                <w:szCs w:val="18"/>
                <w:highlight w:val="none"/>
                <w:lang w:eastAsia="zh-CN"/>
              </w:rPr>
              <w:t>。</w:t>
            </w:r>
          </w:p>
        </w:tc>
        <w:tc>
          <w:tcPr>
            <w:tcW w:w="690" w:type="dxa"/>
            <w:shd w:val="clear" w:color="000000" w:fill="FFFFFF"/>
            <w:vAlign w:val="center"/>
          </w:tcPr>
          <w:p w14:paraId="6FA76CEF">
            <w:pPr>
              <w:jc w:val="center"/>
              <w:rPr>
                <w:rFonts w:hint="default"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20</w:t>
            </w:r>
          </w:p>
        </w:tc>
        <w:tc>
          <w:tcPr>
            <w:tcW w:w="2999" w:type="dxa"/>
            <w:shd w:val="clear" w:color="auto" w:fill="auto"/>
            <w:vAlign w:val="center"/>
          </w:tcPr>
          <w:p w14:paraId="05C1DFEC">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w:t>
            </w:r>
            <w:r>
              <w:rPr>
                <w:rFonts w:hint="eastAsia" w:asciiTheme="majorEastAsia" w:hAnsiTheme="majorEastAsia" w:eastAsiaTheme="majorEastAsia"/>
                <w:color w:val="auto"/>
                <w:sz w:val="18"/>
                <w:szCs w:val="18"/>
                <w:highlight w:val="none"/>
                <w:lang w:val="en-US" w:eastAsia="zh-CN"/>
              </w:rPr>
              <w:t>季度</w:t>
            </w:r>
            <w:r>
              <w:rPr>
                <w:rFonts w:hint="eastAsia" w:asciiTheme="majorEastAsia" w:hAnsiTheme="majorEastAsia" w:eastAsiaTheme="majorEastAsia"/>
                <w:color w:val="auto"/>
                <w:sz w:val="18"/>
                <w:szCs w:val="18"/>
                <w:highlight w:val="none"/>
              </w:rPr>
              <w:t>分别发放医院工作人员，考评总分为100分，当季考评总分在80分及以上为合格。考核分在80～100分（含80分）之间，不予扣罚，但中选服务商需要对存在问题予以立即改进，如因中选服务商责任所致的同一问题第二次出现的，扣罚500元/次；考核分在75～79分（含79分）之间，每少一分扣1000元/分；考核分在70～74分（含74分）之间，每少一分扣1500元/分；考核分低于70分（不含75分）以下的，每少一分，扣2000元/分；连续两个月考核结果低于70分（不含70分）的，业主方有权单方解除合同重新招标。</w:t>
            </w:r>
          </w:p>
        </w:tc>
        <w:tc>
          <w:tcPr>
            <w:tcW w:w="641" w:type="dxa"/>
            <w:shd w:val="clear" w:color="auto" w:fill="auto"/>
          </w:tcPr>
          <w:p w14:paraId="3626EE66">
            <w:pPr>
              <w:widowControl/>
              <w:jc w:val="left"/>
              <w:rPr>
                <w:rFonts w:asciiTheme="majorEastAsia" w:hAnsiTheme="majorEastAsia" w:eastAsiaTheme="majorEastAsia"/>
                <w:color w:val="auto"/>
                <w:kern w:val="0"/>
                <w:sz w:val="20"/>
                <w:szCs w:val="20"/>
                <w:highlight w:val="none"/>
              </w:rPr>
            </w:pPr>
          </w:p>
        </w:tc>
      </w:tr>
      <w:tr w14:paraId="1712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Align w:val="center"/>
          </w:tcPr>
          <w:p w14:paraId="71B5AD9A">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三、应急处理(15分)</w:t>
            </w:r>
          </w:p>
        </w:tc>
        <w:tc>
          <w:tcPr>
            <w:tcW w:w="5098" w:type="dxa"/>
            <w:shd w:val="clear" w:color="000000" w:fill="FFFFFF"/>
            <w:vAlign w:val="center"/>
          </w:tcPr>
          <w:p w14:paraId="6A7DF8E3">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严格控制餐饮供应质量，保证中毒发生率为0。一旦发生食物中毒的事件，第一时间积极正确地进行处理，并上报相关主管部门，不得隐瞒。</w:t>
            </w:r>
          </w:p>
        </w:tc>
        <w:tc>
          <w:tcPr>
            <w:tcW w:w="690" w:type="dxa"/>
            <w:shd w:val="clear" w:color="000000" w:fill="FFFFFF"/>
            <w:vAlign w:val="center"/>
          </w:tcPr>
          <w:p w14:paraId="13BCDD1D">
            <w:pPr>
              <w:jc w:val="center"/>
              <w:rPr>
                <w:rFonts w:hint="default"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15</w:t>
            </w:r>
          </w:p>
        </w:tc>
        <w:tc>
          <w:tcPr>
            <w:tcW w:w="2999" w:type="dxa"/>
            <w:shd w:val="clear" w:color="auto" w:fill="auto"/>
            <w:vAlign w:val="center"/>
          </w:tcPr>
          <w:p w14:paraId="0C06D0D4">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发生一次中毒事件扣</w:t>
            </w:r>
            <w:r>
              <w:rPr>
                <w:rFonts w:hint="eastAsia" w:asciiTheme="majorEastAsia" w:hAnsiTheme="majorEastAsia" w:eastAsiaTheme="majorEastAsia"/>
                <w:color w:val="auto"/>
                <w:sz w:val="18"/>
                <w:szCs w:val="18"/>
                <w:highlight w:val="none"/>
                <w:lang w:val="en-US" w:eastAsia="zh-CN"/>
              </w:rPr>
              <w:t>15</w:t>
            </w:r>
            <w:r>
              <w:rPr>
                <w:rFonts w:hint="eastAsia" w:asciiTheme="majorEastAsia" w:hAnsiTheme="majorEastAsia" w:eastAsiaTheme="majorEastAsia"/>
                <w:color w:val="auto"/>
                <w:sz w:val="18"/>
                <w:szCs w:val="18"/>
                <w:highlight w:val="none"/>
              </w:rPr>
              <w:t>分；发生后未按要求进行应急处理或隐瞒不报的扣6分/次；如因公司原因造成重大损失或两个月内连续发生两起中毒事件的，医院有权单方无条件终止合同。</w:t>
            </w:r>
          </w:p>
        </w:tc>
        <w:tc>
          <w:tcPr>
            <w:tcW w:w="641" w:type="dxa"/>
            <w:shd w:val="clear" w:color="auto" w:fill="auto"/>
          </w:tcPr>
          <w:p w14:paraId="54A026DE">
            <w:pPr>
              <w:widowControl/>
              <w:jc w:val="left"/>
              <w:rPr>
                <w:rFonts w:asciiTheme="majorEastAsia" w:hAnsiTheme="majorEastAsia" w:eastAsiaTheme="majorEastAsia"/>
                <w:color w:val="auto"/>
                <w:kern w:val="0"/>
                <w:sz w:val="20"/>
                <w:szCs w:val="20"/>
                <w:highlight w:val="none"/>
              </w:rPr>
            </w:pPr>
          </w:p>
        </w:tc>
      </w:tr>
      <w:tr w14:paraId="677C8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Align w:val="center"/>
          </w:tcPr>
          <w:p w14:paraId="0EF01191">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四、劳动纪律(4分)</w:t>
            </w:r>
          </w:p>
        </w:tc>
        <w:tc>
          <w:tcPr>
            <w:tcW w:w="5098" w:type="dxa"/>
            <w:shd w:val="clear" w:color="000000" w:fill="FFFFFF"/>
            <w:vAlign w:val="center"/>
          </w:tcPr>
          <w:p w14:paraId="15498FFE">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所有员工应身心健康（有体检，无传染性疾病、无违法犯罪记录），持《健康证》并经培训合格后方可上岗。工作时间应穿戴整洁，遵守医院各项规章制度，积极主动为患者提供服务，服务态度好，不得无故与医务人员发生争执；在岗时不得看书、看报、听收音机、玩手机、</w:t>
            </w:r>
            <w:r>
              <w:rPr>
                <w:rFonts w:hint="eastAsia" w:asciiTheme="majorEastAsia" w:hAnsiTheme="majorEastAsia" w:eastAsiaTheme="majorEastAsia"/>
                <w:color w:val="auto"/>
                <w:sz w:val="18"/>
                <w:szCs w:val="18"/>
                <w:highlight w:val="none"/>
                <w:lang w:eastAsia="zh-CN"/>
              </w:rPr>
              <w:t>串岗</w:t>
            </w:r>
            <w:r>
              <w:rPr>
                <w:rFonts w:hint="eastAsia" w:asciiTheme="majorEastAsia" w:hAnsiTheme="majorEastAsia" w:eastAsiaTheme="majorEastAsia"/>
                <w:color w:val="auto"/>
                <w:sz w:val="18"/>
                <w:szCs w:val="18"/>
                <w:highlight w:val="none"/>
              </w:rPr>
              <w:t>、聚集聊天、睡觉、办私事、滋事、酗酒、聚众斗殴或赌博、盗窃、侵占或故意毁坏医院财物、刁难群众、敲诈勒索等违法行为。应积极配合医院做好参观、检查、</w:t>
            </w:r>
            <w:r>
              <w:rPr>
                <w:rFonts w:hint="eastAsia" w:asciiTheme="majorEastAsia" w:hAnsiTheme="majorEastAsia" w:eastAsiaTheme="majorEastAsia"/>
                <w:color w:val="auto"/>
                <w:sz w:val="18"/>
                <w:szCs w:val="18"/>
                <w:highlight w:val="none"/>
                <w:lang w:eastAsia="zh-CN"/>
              </w:rPr>
              <w:t>视察</w:t>
            </w:r>
            <w:r>
              <w:rPr>
                <w:rFonts w:hint="eastAsia" w:asciiTheme="majorEastAsia" w:hAnsiTheme="majorEastAsia" w:eastAsiaTheme="majorEastAsia"/>
                <w:color w:val="auto"/>
                <w:sz w:val="18"/>
                <w:szCs w:val="18"/>
                <w:highlight w:val="none"/>
              </w:rPr>
              <w:t>等的接待工作。</w:t>
            </w:r>
          </w:p>
        </w:tc>
        <w:tc>
          <w:tcPr>
            <w:tcW w:w="690" w:type="dxa"/>
            <w:shd w:val="clear" w:color="000000" w:fill="FFFFFF"/>
            <w:vAlign w:val="center"/>
          </w:tcPr>
          <w:p w14:paraId="277001CE">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43501BE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如有违反，视情节轻重，扣0.5</w:t>
            </w:r>
            <w:r>
              <w:rPr>
                <w:rFonts w:hint="eastAsia" w:asciiTheme="majorEastAsia" w:hAnsiTheme="majorEastAsia" w:eastAsiaTheme="majorEastAsia"/>
                <w:color w:val="auto"/>
                <w:sz w:val="18"/>
                <w:szCs w:val="18"/>
                <w:highlight w:val="none"/>
                <w:lang w:eastAsia="zh-CN"/>
              </w:rPr>
              <w:t>～</w:t>
            </w:r>
            <w:r>
              <w:rPr>
                <w:rFonts w:hint="eastAsia" w:asciiTheme="majorEastAsia" w:hAnsiTheme="majorEastAsia" w:eastAsiaTheme="majorEastAsia"/>
                <w:color w:val="auto"/>
                <w:sz w:val="18"/>
                <w:szCs w:val="18"/>
                <w:highlight w:val="none"/>
              </w:rPr>
              <w:t>5分/次或依法追究法律责任；情节严重的，相关人员必须在一周内无条件调离本院。如果检查发现员工无健康证的，</w:t>
            </w:r>
            <w:r>
              <w:rPr>
                <w:rFonts w:hint="eastAsia" w:asciiTheme="majorEastAsia" w:hAnsiTheme="majorEastAsia" w:eastAsiaTheme="majorEastAsia"/>
                <w:color w:val="auto"/>
                <w:sz w:val="18"/>
                <w:szCs w:val="18"/>
                <w:highlight w:val="none"/>
                <w:lang w:eastAsia="zh-CN"/>
              </w:rPr>
              <w:t>应</w:t>
            </w:r>
            <w:r>
              <w:rPr>
                <w:rFonts w:hint="eastAsia" w:asciiTheme="majorEastAsia" w:hAnsiTheme="majorEastAsia" w:eastAsiaTheme="majorEastAsia"/>
                <w:color w:val="auto"/>
                <w:sz w:val="18"/>
                <w:szCs w:val="18"/>
                <w:highlight w:val="none"/>
              </w:rPr>
              <w:t>及时办理，如果无不正当理由不按要求办理的，扣罚服务质量1分/人，</w:t>
            </w:r>
            <w:r>
              <w:rPr>
                <w:rFonts w:hint="eastAsia" w:asciiTheme="majorEastAsia" w:hAnsiTheme="majorEastAsia" w:eastAsiaTheme="majorEastAsia"/>
                <w:color w:val="auto"/>
                <w:sz w:val="18"/>
                <w:szCs w:val="18"/>
                <w:highlight w:val="none"/>
                <w:lang w:eastAsia="zh-CN"/>
              </w:rPr>
              <w:t>业主方</w:t>
            </w:r>
            <w:r>
              <w:rPr>
                <w:rFonts w:hint="eastAsia" w:asciiTheme="majorEastAsia" w:hAnsiTheme="majorEastAsia" w:eastAsiaTheme="majorEastAsia"/>
                <w:color w:val="auto"/>
                <w:sz w:val="18"/>
                <w:szCs w:val="18"/>
                <w:highlight w:val="none"/>
              </w:rPr>
              <w:t>保留换人的权利。</w:t>
            </w:r>
          </w:p>
        </w:tc>
        <w:tc>
          <w:tcPr>
            <w:tcW w:w="641" w:type="dxa"/>
            <w:shd w:val="clear" w:color="auto" w:fill="auto"/>
          </w:tcPr>
          <w:p w14:paraId="22FBE5E0">
            <w:pPr>
              <w:widowControl/>
              <w:jc w:val="left"/>
              <w:rPr>
                <w:rFonts w:asciiTheme="majorEastAsia" w:hAnsiTheme="majorEastAsia" w:eastAsiaTheme="majorEastAsia"/>
                <w:color w:val="auto"/>
                <w:kern w:val="0"/>
                <w:sz w:val="20"/>
                <w:szCs w:val="20"/>
                <w:highlight w:val="none"/>
              </w:rPr>
            </w:pPr>
          </w:p>
        </w:tc>
      </w:tr>
      <w:tr w14:paraId="5B06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9" w:hRule="atLeast"/>
          <w:jc w:val="center"/>
        </w:trPr>
        <w:tc>
          <w:tcPr>
            <w:tcW w:w="763" w:type="dxa"/>
            <w:vAlign w:val="center"/>
          </w:tcPr>
          <w:p w14:paraId="5A4D9C15">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五、食品采购(5分)</w:t>
            </w:r>
          </w:p>
        </w:tc>
        <w:tc>
          <w:tcPr>
            <w:tcW w:w="5098" w:type="dxa"/>
            <w:shd w:val="clear" w:color="000000" w:fill="FFFFFF"/>
            <w:vAlign w:val="center"/>
          </w:tcPr>
          <w:p w14:paraId="2E7251F4">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①具有购物发票、收据、采购清单等凭证备查；②具备供应商的相关资质证明（包括营业执照、食品生产许可证、食品流通证等）及产品合格证明（食品检验合格证、报告单、畜禽肉类的兽医卫生</w:t>
            </w:r>
            <w:r>
              <w:rPr>
                <w:rFonts w:hint="eastAsia" w:asciiTheme="majorEastAsia" w:hAnsiTheme="majorEastAsia" w:eastAsiaTheme="majorEastAsia"/>
                <w:color w:val="auto"/>
                <w:sz w:val="18"/>
                <w:szCs w:val="18"/>
                <w:highlight w:val="none"/>
                <w:lang w:eastAsia="zh-CN"/>
              </w:rPr>
              <w:t>检验</w:t>
            </w:r>
            <w:r>
              <w:rPr>
                <w:rFonts w:hint="eastAsia" w:asciiTheme="majorEastAsia" w:hAnsiTheme="majorEastAsia" w:eastAsiaTheme="majorEastAsia"/>
                <w:color w:val="auto"/>
                <w:sz w:val="18"/>
                <w:szCs w:val="18"/>
                <w:highlight w:val="none"/>
              </w:rPr>
              <w:t>合格证等）；③具有进货台账，如实记录产品名称、规格、数量、生产批号、保质期、供货者名称及联系方式、进货日期等内容；④不采购国家禁止生产经营的</w:t>
            </w:r>
            <w:r>
              <w:rPr>
                <w:rFonts w:hint="eastAsia" w:asciiTheme="majorEastAsia" w:hAnsiTheme="majorEastAsia" w:eastAsiaTheme="majorEastAsia"/>
                <w:color w:val="auto"/>
                <w:sz w:val="18"/>
                <w:szCs w:val="18"/>
                <w:highlight w:val="none"/>
                <w:lang w:eastAsia="zh-CN"/>
              </w:rPr>
              <w:t>食品添加剂</w:t>
            </w:r>
            <w:r>
              <w:rPr>
                <w:rFonts w:hint="eastAsia" w:asciiTheme="majorEastAsia" w:hAnsiTheme="majorEastAsia" w:eastAsiaTheme="majorEastAsia"/>
                <w:color w:val="auto"/>
                <w:sz w:val="18"/>
                <w:szCs w:val="18"/>
                <w:highlight w:val="none"/>
              </w:rPr>
              <w:t>、食品原料（包括不能提供检疫合格证明的畜禽肉类；不明动物的器官、组织和腺体；</w:t>
            </w:r>
            <w:r>
              <w:rPr>
                <w:rFonts w:hint="eastAsia" w:asciiTheme="majorEastAsia" w:hAnsiTheme="majorEastAsia" w:eastAsiaTheme="majorEastAsia"/>
                <w:color w:val="auto"/>
                <w:sz w:val="18"/>
                <w:szCs w:val="18"/>
                <w:highlight w:val="none"/>
                <w:lang w:eastAsia="zh-CN"/>
              </w:rPr>
              <w:t>河豚</w:t>
            </w:r>
            <w:r>
              <w:rPr>
                <w:rFonts w:hint="eastAsia" w:asciiTheme="majorEastAsia" w:hAnsiTheme="majorEastAsia" w:eastAsiaTheme="majorEastAsia"/>
                <w:color w:val="auto"/>
                <w:sz w:val="18"/>
                <w:szCs w:val="18"/>
                <w:highlight w:val="none"/>
              </w:rPr>
              <w:t>及其制品；死鱼死虾死蟹等）⑤不使用被包装材料、容器、运输工具等污染的食品；</w:t>
            </w:r>
          </w:p>
        </w:tc>
        <w:tc>
          <w:tcPr>
            <w:tcW w:w="690" w:type="dxa"/>
            <w:shd w:val="clear" w:color="000000" w:fill="FFFFFF"/>
            <w:vAlign w:val="center"/>
          </w:tcPr>
          <w:p w14:paraId="33C3B04D">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5</w:t>
            </w:r>
          </w:p>
        </w:tc>
        <w:tc>
          <w:tcPr>
            <w:tcW w:w="2999" w:type="dxa"/>
            <w:shd w:val="clear" w:color="auto" w:fill="auto"/>
            <w:vAlign w:val="center"/>
          </w:tcPr>
          <w:p w14:paraId="2A901C1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查阅与核实资料，缺一项扣0.1分，扣完为止。如发现采购或使用国家禁止的食品和原料的，发现一次扣0.2分，并进行200元处罚。</w:t>
            </w:r>
          </w:p>
        </w:tc>
        <w:tc>
          <w:tcPr>
            <w:tcW w:w="641" w:type="dxa"/>
            <w:shd w:val="clear" w:color="auto" w:fill="auto"/>
          </w:tcPr>
          <w:p w14:paraId="41A2B695">
            <w:pPr>
              <w:widowControl/>
              <w:jc w:val="left"/>
              <w:rPr>
                <w:rFonts w:asciiTheme="majorEastAsia" w:hAnsiTheme="majorEastAsia" w:eastAsiaTheme="majorEastAsia"/>
                <w:color w:val="auto"/>
                <w:kern w:val="0"/>
                <w:sz w:val="20"/>
                <w:szCs w:val="20"/>
                <w:highlight w:val="none"/>
              </w:rPr>
            </w:pPr>
          </w:p>
        </w:tc>
      </w:tr>
      <w:tr w14:paraId="5BCC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3" w:type="dxa"/>
            <w:vAlign w:val="center"/>
          </w:tcPr>
          <w:p w14:paraId="1C306AB1">
            <w:pPr>
              <w:widowControl/>
              <w:jc w:val="center"/>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六、食品贮存(5分)</w:t>
            </w:r>
          </w:p>
        </w:tc>
        <w:tc>
          <w:tcPr>
            <w:tcW w:w="5098" w:type="dxa"/>
            <w:shd w:val="clear" w:color="000000" w:fill="FFFFFF"/>
            <w:vAlign w:val="center"/>
          </w:tcPr>
          <w:p w14:paraId="7EB4394D">
            <w:pPr>
              <w:widowControl/>
              <w:jc w:val="left"/>
              <w:rPr>
                <w:rFonts w:cs="宋体" w:asciiTheme="majorEastAsia" w:hAnsiTheme="majorEastAsia" w:eastAsiaTheme="majorEastAsia"/>
                <w:bCs/>
                <w:color w:val="auto"/>
                <w:kern w:val="0"/>
                <w:sz w:val="18"/>
                <w:szCs w:val="18"/>
                <w:highlight w:val="none"/>
              </w:rPr>
            </w:pPr>
            <w:r>
              <w:rPr>
                <w:rFonts w:hint="eastAsia" w:cs="宋体" w:asciiTheme="majorEastAsia" w:hAnsiTheme="majorEastAsia" w:eastAsiaTheme="majorEastAsia"/>
                <w:bCs/>
                <w:color w:val="auto"/>
                <w:kern w:val="0"/>
                <w:sz w:val="18"/>
                <w:szCs w:val="18"/>
                <w:highlight w:val="none"/>
              </w:rPr>
              <w:t>①储存温度达到要求：冷藏（鲜肉、禽类、鱼类和乳制品、拆封后的预包装食品＜5℃；鲜蛋和活的贝类＜7℃；新鲜蔬菜和水果5～7℃）、冷冻（＜-18℃）、常温(10～20℃)；②分类、分区、隔墙、离地10cm以上存放，冷藏和冷冻库应分区存放并具备明显标识；③保证冷库(冰箱)工作状况良好，</w:t>
            </w:r>
            <w:r>
              <w:rPr>
                <w:rFonts w:hint="eastAsia" w:cs="宋体" w:asciiTheme="majorEastAsia" w:hAnsiTheme="majorEastAsia" w:eastAsiaTheme="majorEastAsia"/>
                <w:bCs/>
                <w:color w:val="auto"/>
                <w:kern w:val="0"/>
                <w:sz w:val="18"/>
                <w:szCs w:val="18"/>
                <w:highlight w:val="none"/>
                <w:lang w:val="en-US" w:eastAsia="zh-CN"/>
              </w:rPr>
              <w:t>少</w:t>
            </w:r>
            <w:r>
              <w:rPr>
                <w:rFonts w:hint="eastAsia" w:cs="宋体" w:asciiTheme="majorEastAsia" w:hAnsiTheme="majorEastAsia" w:eastAsiaTheme="majorEastAsia"/>
                <w:bCs/>
                <w:color w:val="auto"/>
                <w:kern w:val="0"/>
                <w:sz w:val="18"/>
                <w:szCs w:val="18"/>
                <w:highlight w:val="none"/>
              </w:rPr>
              <w:t>积霜，食品不堆积、挤压存放；④冷藏的原料、半成品、成品严格分开，并装入密封的容器中或进行包裹，冰箱外部有存放食品种类的明显标识；⑤生、熟食品容器分开使用，按照熟上生下的原则存放。⑥无包装的食品与调料是否用清洁干净的容器盛装并加盖；⑦库房应设置防鼠板；⑧贮存食品及食品原料的场所、设备不得存放有毒、有害物品及个人生活物品；⑨定期检查库存食品及食品原料，及时清理变质或者超过保质期的食品。</w:t>
            </w:r>
          </w:p>
        </w:tc>
        <w:tc>
          <w:tcPr>
            <w:tcW w:w="690" w:type="dxa"/>
            <w:shd w:val="clear" w:color="000000" w:fill="FFFFFF"/>
            <w:vAlign w:val="center"/>
          </w:tcPr>
          <w:p w14:paraId="1A16D3DB">
            <w:pPr>
              <w:widowControl/>
              <w:jc w:val="center"/>
              <w:rPr>
                <w:rFonts w:hint="eastAsia" w:cs="宋体" w:asciiTheme="majorEastAsia" w:hAnsiTheme="majorEastAsia" w:eastAsiaTheme="majorEastAsia"/>
                <w:color w:val="auto"/>
                <w:kern w:val="0"/>
                <w:sz w:val="18"/>
                <w:szCs w:val="18"/>
                <w:highlight w:val="none"/>
                <w:lang w:val="en-US" w:eastAsia="zh-CN"/>
              </w:rPr>
            </w:pPr>
            <w:r>
              <w:rPr>
                <w:rFonts w:hint="eastAsia" w:cs="宋体" w:asciiTheme="majorEastAsia" w:hAnsiTheme="majorEastAsia" w:eastAsiaTheme="majorEastAsia"/>
                <w:color w:val="auto"/>
                <w:kern w:val="0"/>
                <w:sz w:val="18"/>
                <w:szCs w:val="18"/>
                <w:highlight w:val="none"/>
                <w:lang w:val="en-US" w:eastAsia="zh-CN"/>
              </w:rPr>
              <w:t>5</w:t>
            </w:r>
          </w:p>
        </w:tc>
        <w:tc>
          <w:tcPr>
            <w:tcW w:w="2999" w:type="dxa"/>
            <w:shd w:val="clear" w:color="auto" w:fill="auto"/>
            <w:vAlign w:val="center"/>
          </w:tcPr>
          <w:p w14:paraId="47284183">
            <w:pPr>
              <w:widowControl/>
              <w:jc w:val="left"/>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3F2853B3">
            <w:pPr>
              <w:widowControl/>
              <w:jc w:val="left"/>
              <w:rPr>
                <w:rFonts w:asciiTheme="majorEastAsia" w:hAnsiTheme="majorEastAsia" w:eastAsiaTheme="majorEastAsia"/>
                <w:color w:val="auto"/>
                <w:kern w:val="0"/>
                <w:sz w:val="20"/>
                <w:szCs w:val="20"/>
                <w:highlight w:val="none"/>
              </w:rPr>
            </w:pPr>
          </w:p>
        </w:tc>
      </w:tr>
      <w:tr w14:paraId="0C94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3" w:type="dxa"/>
            <w:vAlign w:val="center"/>
          </w:tcPr>
          <w:p w14:paraId="77CA5C43">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七、食品原料粗加工(5分)</w:t>
            </w:r>
          </w:p>
        </w:tc>
        <w:tc>
          <w:tcPr>
            <w:tcW w:w="5098" w:type="dxa"/>
            <w:shd w:val="clear" w:color="000000" w:fill="FFFFFF"/>
            <w:vAlign w:val="center"/>
          </w:tcPr>
          <w:p w14:paraId="2308F134">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挑拣：去除腐败变质迹象或其他感官性状异常的食品原料，不加工和使用；②清洗：动物性食品原料、植物性食品原料、水产品原料分池清洗，禽蛋在使用前对外壳进行清洗；③解冻：针对不同体积的食品使用正确的解冻方法，食品无反复解冻、冷冻操作；④食品原料、半成品加工场所与成品加工场所分开；⑤食品原料、半成品的加工中所使用的工具、容器、水池，不用作直接入口食品加工使用；⑥加工食品原料、半成品人员如无特殊原因不参与成品的加工。</w:t>
            </w:r>
          </w:p>
        </w:tc>
        <w:tc>
          <w:tcPr>
            <w:tcW w:w="690" w:type="dxa"/>
            <w:shd w:val="clear" w:color="000000" w:fill="FFFFFF"/>
            <w:vAlign w:val="center"/>
          </w:tcPr>
          <w:p w14:paraId="12BC28F7">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5</w:t>
            </w:r>
          </w:p>
        </w:tc>
        <w:tc>
          <w:tcPr>
            <w:tcW w:w="2999" w:type="dxa"/>
            <w:shd w:val="clear" w:color="auto" w:fill="auto"/>
            <w:vAlign w:val="center"/>
          </w:tcPr>
          <w:p w14:paraId="7689FCCB">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09C72F8A">
            <w:pPr>
              <w:widowControl/>
              <w:jc w:val="left"/>
              <w:rPr>
                <w:rFonts w:asciiTheme="majorEastAsia" w:hAnsiTheme="majorEastAsia" w:eastAsiaTheme="majorEastAsia"/>
                <w:color w:val="auto"/>
                <w:kern w:val="0"/>
                <w:sz w:val="20"/>
                <w:szCs w:val="20"/>
                <w:highlight w:val="none"/>
              </w:rPr>
            </w:pPr>
          </w:p>
        </w:tc>
      </w:tr>
      <w:tr w14:paraId="1C619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63" w:type="dxa"/>
            <w:vAlign w:val="center"/>
          </w:tcPr>
          <w:p w14:paraId="6DC7754B">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八、烹调加工(5分)</w:t>
            </w:r>
          </w:p>
        </w:tc>
        <w:tc>
          <w:tcPr>
            <w:tcW w:w="5098" w:type="dxa"/>
            <w:shd w:val="clear" w:color="000000" w:fill="FFFFFF"/>
            <w:vAlign w:val="center"/>
          </w:tcPr>
          <w:p w14:paraId="6EB23419">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不烹饪加工腐败变质或其他感官性状异常、回收后的食品，熟制加工的食品中心温度应不低于75℃，且15秒以上；②烹调加工后的成品与半成品、原料分开存放；③调味料盛放器皿每天清洁，使用后随即加盖；不与地面或污垢接触；④食品再加热前确认食品是否变质，冷冻熟食品应彻底解冻后充分加热，加热食品的中心温度不低于75℃，再加热不要超过一次；⑤添加剂应专人采购、专人保管、专人领用、专人登记、专柜保存，严格按照规定量使用，不使用禁止的食品添加剂；⑥烹调后的熟食品应用消毒后的工具进行分装或整理；用手直接进行操作时先清洗、消毒双手，并且最好戴上清洁的一次性塑料或橡胶手套。⑦凉菜及裱花操作、生食海产品、饮料现榨及水果拼盘制作加工达到专人负责、专室制作、工具专用、消毒专用和冷藏专用的要求。</w:t>
            </w:r>
          </w:p>
        </w:tc>
        <w:tc>
          <w:tcPr>
            <w:tcW w:w="690" w:type="dxa"/>
            <w:shd w:val="clear" w:color="000000" w:fill="FFFFFF"/>
            <w:vAlign w:val="center"/>
          </w:tcPr>
          <w:p w14:paraId="59F87BE7">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5</w:t>
            </w:r>
          </w:p>
        </w:tc>
        <w:tc>
          <w:tcPr>
            <w:tcW w:w="2999" w:type="dxa"/>
            <w:shd w:val="clear" w:color="auto" w:fill="auto"/>
            <w:vAlign w:val="center"/>
          </w:tcPr>
          <w:p w14:paraId="1566D9F9">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3B08D88D">
            <w:pPr>
              <w:widowControl/>
              <w:jc w:val="left"/>
              <w:rPr>
                <w:rFonts w:asciiTheme="majorEastAsia" w:hAnsiTheme="majorEastAsia" w:eastAsiaTheme="majorEastAsia"/>
                <w:color w:val="auto"/>
                <w:kern w:val="0"/>
                <w:sz w:val="20"/>
                <w:szCs w:val="20"/>
                <w:highlight w:val="none"/>
              </w:rPr>
            </w:pPr>
          </w:p>
        </w:tc>
      </w:tr>
      <w:tr w14:paraId="292B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763" w:type="dxa"/>
            <w:vAlign w:val="center"/>
          </w:tcPr>
          <w:p w14:paraId="01E2954A">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九、售价管理（10分）</w:t>
            </w:r>
          </w:p>
        </w:tc>
        <w:tc>
          <w:tcPr>
            <w:tcW w:w="5098" w:type="dxa"/>
            <w:shd w:val="clear" w:color="000000" w:fill="FFFFFF"/>
            <w:vAlign w:val="center"/>
          </w:tcPr>
          <w:p w14:paraId="0EB93C49">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①所有的商品必须明码标价进行销售。</w:t>
            </w:r>
          </w:p>
          <w:p w14:paraId="1CF66CA9">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②必须按</w:t>
            </w:r>
            <w:r>
              <w:rPr>
                <w:rFonts w:hint="eastAsia" w:asciiTheme="majorEastAsia" w:hAnsiTheme="majorEastAsia" w:eastAsiaTheme="majorEastAsia"/>
                <w:color w:val="auto"/>
                <w:sz w:val="18"/>
                <w:szCs w:val="18"/>
                <w:highlight w:val="none"/>
                <w:lang w:val="en-US" w:eastAsia="zh-CN"/>
              </w:rPr>
              <w:t>医院审核定价及最终的下浮率</w:t>
            </w:r>
            <w:r>
              <w:rPr>
                <w:rFonts w:hint="eastAsia" w:asciiTheme="majorEastAsia" w:hAnsiTheme="majorEastAsia" w:eastAsiaTheme="majorEastAsia"/>
                <w:color w:val="auto"/>
                <w:sz w:val="18"/>
                <w:szCs w:val="18"/>
                <w:highlight w:val="none"/>
              </w:rPr>
              <w:t>为职工提供餐饮和按</w:t>
            </w:r>
            <w:r>
              <w:rPr>
                <w:rFonts w:hint="eastAsia" w:asciiTheme="majorEastAsia" w:hAnsiTheme="majorEastAsia" w:eastAsiaTheme="majorEastAsia"/>
                <w:color w:val="auto"/>
                <w:sz w:val="18"/>
                <w:szCs w:val="18"/>
                <w:highlight w:val="none"/>
                <w:lang w:val="en-US" w:eastAsia="zh-CN"/>
              </w:rPr>
              <w:t>成本价</w:t>
            </w:r>
            <w:r>
              <w:rPr>
                <w:rFonts w:hint="eastAsia" w:asciiTheme="majorEastAsia" w:hAnsiTheme="majorEastAsia" w:eastAsiaTheme="majorEastAsia"/>
                <w:color w:val="auto"/>
                <w:sz w:val="18"/>
                <w:szCs w:val="18"/>
                <w:highlight w:val="none"/>
              </w:rPr>
              <w:t>提供医院的</w:t>
            </w:r>
            <w:r>
              <w:rPr>
                <w:rFonts w:hint="eastAsia" w:cs="Times New Roman" w:asciiTheme="majorEastAsia" w:hAnsiTheme="majorEastAsia" w:eastAsiaTheme="majorEastAsia"/>
                <w:color w:val="auto"/>
                <w:kern w:val="2"/>
                <w:sz w:val="18"/>
                <w:szCs w:val="18"/>
                <w:highlight w:val="none"/>
                <w:lang w:val="en-US" w:eastAsia="zh-CN" w:bidi="ar-SA"/>
              </w:rPr>
              <w:t>体检餐、</w:t>
            </w:r>
            <w:r>
              <w:rPr>
                <w:rFonts w:hint="eastAsia" w:asciiTheme="majorEastAsia" w:hAnsiTheme="majorEastAsia" w:eastAsiaTheme="majorEastAsia"/>
                <w:color w:val="auto"/>
                <w:sz w:val="18"/>
                <w:szCs w:val="18"/>
                <w:highlight w:val="none"/>
              </w:rPr>
              <w:t>公务餐、会议餐、职工包餐、盒饭、院方需要的各类临时性用餐服务。</w:t>
            </w:r>
          </w:p>
          <w:p w14:paraId="3DF9B4DF">
            <w:pPr>
              <w:keepNext w:val="0"/>
              <w:keepLines w:val="0"/>
              <w:pageBreakBefore w:val="0"/>
              <w:widowControl w:val="0"/>
              <w:kinsoku/>
              <w:wordWrap/>
              <w:overflowPunct/>
              <w:topLinePunct w:val="0"/>
              <w:autoSpaceDE/>
              <w:autoSpaceDN/>
              <w:bidi w:val="0"/>
              <w:adjustRightInd/>
              <w:snapToGrid/>
              <w:textAlignment w:val="auto"/>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③各类特殊治疗膳食，定价不得高于住院患者基本膳食定价的一倍。</w:t>
            </w:r>
          </w:p>
          <w:p w14:paraId="426B3D71">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asciiTheme="majorEastAsia" w:hAnsiTheme="majorEastAsia" w:eastAsiaTheme="majorEastAsia"/>
                <w:color w:val="auto"/>
                <w:highlight w:val="none"/>
              </w:rPr>
            </w:pPr>
            <w:r>
              <w:rPr>
                <w:rFonts w:hint="eastAsia" w:asciiTheme="majorEastAsia" w:hAnsiTheme="majorEastAsia" w:eastAsiaTheme="majorEastAsia"/>
                <w:color w:val="auto"/>
                <w:kern w:val="2"/>
                <w:sz w:val="18"/>
                <w:szCs w:val="18"/>
                <w:highlight w:val="none"/>
              </w:rPr>
              <w:t>④</w:t>
            </w:r>
            <w:r>
              <w:rPr>
                <w:rFonts w:hint="eastAsia" w:cs="Times New Roman" w:asciiTheme="majorEastAsia" w:hAnsiTheme="majorEastAsia" w:eastAsiaTheme="majorEastAsia"/>
                <w:color w:val="auto"/>
                <w:kern w:val="2"/>
                <w:sz w:val="18"/>
                <w:szCs w:val="18"/>
                <w:highlight w:val="none"/>
                <w:lang w:val="en-US" w:eastAsia="zh-CN" w:bidi="ar-SA"/>
              </w:rPr>
              <w:t>为产妇、患者及家属提供的餐饮不得高于市场同等水平，不得私自调整价格。</w:t>
            </w:r>
          </w:p>
        </w:tc>
        <w:tc>
          <w:tcPr>
            <w:tcW w:w="690" w:type="dxa"/>
            <w:shd w:val="clear" w:color="000000" w:fill="FFFFFF"/>
            <w:vAlign w:val="center"/>
          </w:tcPr>
          <w:p w14:paraId="0A1B6F87">
            <w:pPr>
              <w:jc w:val="center"/>
              <w:rPr>
                <w:rFonts w:hint="default"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10</w:t>
            </w:r>
          </w:p>
        </w:tc>
        <w:tc>
          <w:tcPr>
            <w:tcW w:w="2999" w:type="dxa"/>
            <w:shd w:val="clear" w:color="auto" w:fill="auto"/>
            <w:vAlign w:val="center"/>
          </w:tcPr>
          <w:p w14:paraId="5152F629">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不定期随时抽查，如发现一项不符合要求的或超出定价的，每次扣2分/项，公司应立即对价格进行调整。如复查仍发现同类情况</w:t>
            </w:r>
            <w:r>
              <w:rPr>
                <w:rFonts w:hint="eastAsia" w:asciiTheme="majorEastAsia" w:hAnsiTheme="majorEastAsia" w:eastAsiaTheme="majorEastAsia"/>
                <w:color w:val="auto"/>
                <w:sz w:val="18"/>
                <w:szCs w:val="18"/>
                <w:highlight w:val="none"/>
                <w:lang w:eastAsia="zh-CN"/>
              </w:rPr>
              <w:t>的</w:t>
            </w:r>
            <w:r>
              <w:rPr>
                <w:rFonts w:hint="eastAsia" w:asciiTheme="majorEastAsia" w:hAnsiTheme="majorEastAsia" w:eastAsiaTheme="majorEastAsia"/>
                <w:color w:val="auto"/>
                <w:sz w:val="18"/>
                <w:szCs w:val="18"/>
                <w:highlight w:val="none"/>
              </w:rPr>
              <w:t>，扣减5分/项，并进行处罚100元/项。</w:t>
            </w:r>
          </w:p>
        </w:tc>
        <w:tc>
          <w:tcPr>
            <w:tcW w:w="641" w:type="dxa"/>
            <w:shd w:val="clear" w:color="auto" w:fill="auto"/>
          </w:tcPr>
          <w:p w14:paraId="6BC3BB07">
            <w:pPr>
              <w:widowControl/>
              <w:jc w:val="left"/>
              <w:rPr>
                <w:rFonts w:asciiTheme="majorEastAsia" w:hAnsiTheme="majorEastAsia" w:eastAsiaTheme="majorEastAsia"/>
                <w:color w:val="auto"/>
                <w:kern w:val="0"/>
                <w:sz w:val="20"/>
                <w:szCs w:val="20"/>
                <w:highlight w:val="none"/>
              </w:rPr>
            </w:pPr>
          </w:p>
        </w:tc>
      </w:tr>
      <w:tr w14:paraId="631F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5" w:hRule="atLeast"/>
          <w:jc w:val="center"/>
        </w:trPr>
        <w:tc>
          <w:tcPr>
            <w:tcW w:w="763" w:type="dxa"/>
            <w:vAlign w:val="center"/>
          </w:tcPr>
          <w:p w14:paraId="461660F4">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十、个人卫生(4分)</w:t>
            </w:r>
          </w:p>
        </w:tc>
        <w:tc>
          <w:tcPr>
            <w:tcW w:w="5098" w:type="dxa"/>
            <w:shd w:val="clear" w:color="000000" w:fill="FFFFFF"/>
            <w:vAlign w:val="center"/>
          </w:tcPr>
          <w:p w14:paraId="31C5E4DB">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加工操作时应穿戴清洁的工作服、工作帽，头发应盘入工作帽内，不得留长指甲或涂指甲油；②加工操作时不得抽烟；③接触直接入口食品之前应洗手或消毒，并规范佩戴口罩；④如手部破损应采取有效防污染措施；⑤对患上呼吸道炎症或口腔疾病的人，要求必须暂时脱离接触直接入口食品的工作，严防对食品的污染。⑥禁止在食品加工过程中嚼口香糖、饮食，非必要时不得互相交谈；⑦严禁随地吐痰、不穿拖鞋、不戴戒指，操作前后及大小便后要洗净双手。</w:t>
            </w:r>
          </w:p>
        </w:tc>
        <w:tc>
          <w:tcPr>
            <w:tcW w:w="690" w:type="dxa"/>
            <w:shd w:val="clear" w:color="000000" w:fill="FFFFFF"/>
            <w:vAlign w:val="center"/>
          </w:tcPr>
          <w:p w14:paraId="6AC9916B">
            <w:pPr>
              <w:jc w:val="center"/>
              <w:rPr>
                <w:rFonts w:hint="eastAsia"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1CB39321">
            <w:pP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不定期突击检查，检查发现一项不达标扣0.5分，公司对员工进行教育再培训，并立即完成整改。如复查仍发现同类情况</w:t>
            </w:r>
            <w:r>
              <w:rPr>
                <w:rFonts w:hint="eastAsia" w:asciiTheme="majorEastAsia" w:hAnsiTheme="majorEastAsia" w:eastAsiaTheme="majorEastAsia"/>
                <w:color w:val="auto"/>
                <w:sz w:val="18"/>
                <w:szCs w:val="18"/>
                <w:highlight w:val="none"/>
                <w:lang w:eastAsia="zh-CN"/>
              </w:rPr>
              <w:t>的</w:t>
            </w:r>
            <w:r>
              <w:rPr>
                <w:rFonts w:hint="eastAsia" w:asciiTheme="majorEastAsia" w:hAnsiTheme="majorEastAsia" w:eastAsiaTheme="majorEastAsia"/>
                <w:color w:val="auto"/>
                <w:sz w:val="18"/>
                <w:szCs w:val="18"/>
                <w:highlight w:val="none"/>
              </w:rPr>
              <w:t>，扣减1分/项，并进行处罚100元/项。</w:t>
            </w:r>
          </w:p>
        </w:tc>
        <w:tc>
          <w:tcPr>
            <w:tcW w:w="641" w:type="dxa"/>
            <w:shd w:val="clear" w:color="auto" w:fill="auto"/>
          </w:tcPr>
          <w:p w14:paraId="61C9FFE1">
            <w:pPr>
              <w:widowControl/>
              <w:jc w:val="left"/>
              <w:rPr>
                <w:rFonts w:asciiTheme="majorEastAsia" w:hAnsiTheme="majorEastAsia" w:eastAsiaTheme="majorEastAsia"/>
                <w:color w:val="auto"/>
                <w:kern w:val="0"/>
                <w:sz w:val="20"/>
                <w:szCs w:val="20"/>
                <w:highlight w:val="none"/>
              </w:rPr>
            </w:pPr>
          </w:p>
        </w:tc>
      </w:tr>
      <w:tr w14:paraId="2774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763" w:type="dxa"/>
            <w:vAlign w:val="center"/>
          </w:tcPr>
          <w:p w14:paraId="3EAECFD7">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十一、备餐配送(4分)</w:t>
            </w:r>
          </w:p>
        </w:tc>
        <w:tc>
          <w:tcPr>
            <w:tcW w:w="5098" w:type="dxa"/>
            <w:shd w:val="clear" w:color="000000" w:fill="FFFFFF"/>
            <w:vAlign w:val="center"/>
          </w:tcPr>
          <w:p w14:paraId="7B07A56C">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独立的备餐专间，备餐专间的操作应达到专人负责、专室制作、工具专用、消毒专用和冷藏专用；②盛装菜肴、整理造型的用具容器使用前应进行消毒；不得直接放置于地面、不要堆叠；③食品上加盖，避免食品</w:t>
            </w:r>
            <w:r>
              <w:rPr>
                <w:rFonts w:hint="eastAsia" w:asciiTheme="majorEastAsia" w:hAnsiTheme="majorEastAsia" w:eastAsiaTheme="majorEastAsia"/>
                <w:color w:val="auto"/>
                <w:sz w:val="18"/>
                <w:szCs w:val="18"/>
                <w:highlight w:val="none"/>
                <w:lang w:eastAsia="zh-CN"/>
              </w:rPr>
              <w:t>受到</w:t>
            </w:r>
            <w:r>
              <w:rPr>
                <w:rFonts w:hint="eastAsia" w:asciiTheme="majorEastAsia" w:hAnsiTheme="majorEastAsia" w:eastAsiaTheme="majorEastAsia"/>
                <w:color w:val="auto"/>
                <w:sz w:val="18"/>
                <w:szCs w:val="18"/>
                <w:highlight w:val="none"/>
              </w:rPr>
              <w:t>污染；④配送用餐的车厢内、设备应保持清洁；每次运输食品前进行清洗消毒；在运送装卸过程中也应保持清洁；运输后清洗；⑤运输过程中食品的中心温度保持在10℃以下或60℃以上；⑥不供应腐败变质或者其他感官性状异常的食品。</w:t>
            </w:r>
          </w:p>
        </w:tc>
        <w:tc>
          <w:tcPr>
            <w:tcW w:w="690" w:type="dxa"/>
            <w:shd w:val="clear" w:color="000000" w:fill="FFFFFF"/>
            <w:vAlign w:val="center"/>
          </w:tcPr>
          <w:p w14:paraId="5132C21E">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6FAE14B0">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如接到有效投诉或检查发现供应腐败变质或者其他感官性状异常的食品，扣减0.5分/项，并进行处罚100元/次，如因食用腐败变质、感官性状异常的食品而导致腹泻或造成其他人身损伤的，公司承担因此造</w:t>
            </w:r>
            <w:r>
              <w:rPr>
                <w:rFonts w:hint="eastAsia" w:asciiTheme="majorEastAsia" w:hAnsiTheme="majorEastAsia" w:eastAsiaTheme="majorEastAsia"/>
                <w:color w:val="auto"/>
                <w:sz w:val="18"/>
                <w:szCs w:val="18"/>
                <w:highlight w:val="none"/>
                <w:lang w:eastAsia="zh-CN"/>
              </w:rPr>
              <w:t>成的</w:t>
            </w:r>
            <w:r>
              <w:rPr>
                <w:rFonts w:hint="eastAsia" w:asciiTheme="majorEastAsia" w:hAnsiTheme="majorEastAsia" w:eastAsiaTheme="majorEastAsia"/>
                <w:color w:val="auto"/>
                <w:sz w:val="18"/>
                <w:szCs w:val="18"/>
                <w:highlight w:val="none"/>
              </w:rPr>
              <w:t>后果，情节严重的，医院有权单方无条件终止合同。</w:t>
            </w:r>
          </w:p>
        </w:tc>
        <w:tc>
          <w:tcPr>
            <w:tcW w:w="641" w:type="dxa"/>
            <w:shd w:val="clear" w:color="auto" w:fill="auto"/>
          </w:tcPr>
          <w:p w14:paraId="3B024FDD">
            <w:pPr>
              <w:widowControl/>
              <w:jc w:val="left"/>
              <w:rPr>
                <w:rFonts w:asciiTheme="majorEastAsia" w:hAnsiTheme="majorEastAsia" w:eastAsiaTheme="majorEastAsia"/>
                <w:color w:val="auto"/>
                <w:kern w:val="0"/>
                <w:sz w:val="20"/>
                <w:szCs w:val="20"/>
                <w:highlight w:val="none"/>
              </w:rPr>
            </w:pPr>
          </w:p>
        </w:tc>
      </w:tr>
      <w:tr w14:paraId="5804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Merge w:val="restart"/>
            <w:vAlign w:val="center"/>
          </w:tcPr>
          <w:p w14:paraId="7B3B4135">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十二、清洁与 消毒  (6分)</w:t>
            </w:r>
          </w:p>
        </w:tc>
        <w:tc>
          <w:tcPr>
            <w:tcW w:w="5098" w:type="dxa"/>
            <w:shd w:val="clear" w:color="000000" w:fill="FFFFFF"/>
            <w:vAlign w:val="center"/>
          </w:tcPr>
          <w:p w14:paraId="2100567B">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1.场所的清洁：</w:t>
            </w:r>
            <w:r>
              <w:rPr>
                <w:rFonts w:hint="eastAsia" w:asciiTheme="majorEastAsia" w:hAnsiTheme="majorEastAsia" w:eastAsiaTheme="majorEastAsia"/>
                <w:color w:val="auto"/>
                <w:sz w:val="18"/>
                <w:szCs w:val="18"/>
                <w:highlight w:val="none"/>
              </w:rPr>
              <w:t>①保持场所干燥清洁，每天运作结束后应及时打扫台面、地面，不留死角，不存放与食品加工无关的物品；②废弃物容器应与加工用容器有明显的区分标识且配有盖子，专间内的废弃物容器盖子为非手动开启式；③废弃物应分类放置，及时清除，做到日产日清。清除后的容器应及时清洗，必要时进行消毒；④</w:t>
            </w:r>
            <w:r>
              <w:rPr>
                <w:rFonts w:hint="eastAsia" w:asciiTheme="majorEastAsia" w:hAnsiTheme="majorEastAsia" w:eastAsiaTheme="majorEastAsia"/>
                <w:color w:val="auto"/>
                <w:sz w:val="18"/>
                <w:szCs w:val="18"/>
                <w:highlight w:val="none"/>
                <w:lang w:eastAsia="zh-CN"/>
              </w:rPr>
              <w:t>提供</w:t>
            </w:r>
            <w:r>
              <w:rPr>
                <w:rFonts w:hint="eastAsia" w:asciiTheme="majorEastAsia" w:hAnsiTheme="majorEastAsia" w:eastAsiaTheme="majorEastAsia"/>
                <w:color w:val="auto"/>
                <w:sz w:val="18"/>
                <w:szCs w:val="18"/>
                <w:highlight w:val="none"/>
              </w:rPr>
              <w:t>与处置单位或个人签订的合同及其经营资质证明文件复印件。</w:t>
            </w:r>
          </w:p>
        </w:tc>
        <w:tc>
          <w:tcPr>
            <w:tcW w:w="690" w:type="dxa"/>
            <w:shd w:val="clear" w:color="000000" w:fill="FFFFFF"/>
            <w:vAlign w:val="center"/>
          </w:tcPr>
          <w:p w14:paraId="7A3F0C50">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7AB82D08">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每月定期检查，公司应积极配合，检查发现一项不达标扣0.2分，公司应立即整改，并在7天内完成。如7天后复查发现仍未改进的，扣减0.5分/项，并进行处罚100元/次。</w:t>
            </w:r>
          </w:p>
        </w:tc>
        <w:tc>
          <w:tcPr>
            <w:tcW w:w="641" w:type="dxa"/>
            <w:shd w:val="clear" w:color="auto" w:fill="auto"/>
          </w:tcPr>
          <w:p w14:paraId="0C009F82">
            <w:pPr>
              <w:widowControl/>
              <w:jc w:val="left"/>
              <w:rPr>
                <w:rFonts w:asciiTheme="majorEastAsia" w:hAnsiTheme="majorEastAsia" w:eastAsiaTheme="majorEastAsia"/>
                <w:color w:val="auto"/>
                <w:kern w:val="0"/>
                <w:sz w:val="20"/>
                <w:szCs w:val="20"/>
                <w:highlight w:val="none"/>
              </w:rPr>
            </w:pPr>
          </w:p>
        </w:tc>
      </w:tr>
      <w:tr w14:paraId="18E5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763" w:type="dxa"/>
            <w:vMerge w:val="continue"/>
            <w:vAlign w:val="center"/>
          </w:tcPr>
          <w:p w14:paraId="11D6BA5C">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4D795868">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2.餐具的清洁：</w:t>
            </w:r>
            <w:r>
              <w:rPr>
                <w:rFonts w:hint="eastAsia" w:asciiTheme="majorEastAsia" w:hAnsiTheme="majorEastAsia" w:eastAsiaTheme="majorEastAsia"/>
                <w:color w:val="auto"/>
                <w:sz w:val="18"/>
                <w:szCs w:val="18"/>
                <w:highlight w:val="none"/>
              </w:rPr>
              <w:t>①餐用具清洗消毒水池应专用，与食品原料、清洁用具及接触非直接入口食品的工具、容器清洗水池分开；清洁后的餐具不得出现残留物与污渍；②抹布应使用浅色布料，不同用途的抹布应区分标记，擦拭直接入口食品接触面的抹布应经过消毒。</w:t>
            </w:r>
          </w:p>
        </w:tc>
        <w:tc>
          <w:tcPr>
            <w:tcW w:w="690" w:type="dxa"/>
            <w:shd w:val="clear" w:color="000000" w:fill="FFFFFF"/>
            <w:vAlign w:val="center"/>
          </w:tcPr>
          <w:p w14:paraId="2BA0DD40">
            <w:pPr>
              <w:jc w:val="center"/>
              <w:rPr>
                <w:rFonts w:hint="default"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62044821">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0.2分，公司应立即整改。如3天后复查发现仍未改进的，扣减0.5分/项，并进行处罚100元/次。如接到一起关于餐用具不干净的有效投诉，扣减0.5分/项，情节严重的，进行处罚100元/次。</w:t>
            </w:r>
          </w:p>
        </w:tc>
        <w:tc>
          <w:tcPr>
            <w:tcW w:w="641" w:type="dxa"/>
            <w:shd w:val="clear" w:color="auto" w:fill="auto"/>
          </w:tcPr>
          <w:p w14:paraId="4AC50B3D">
            <w:pPr>
              <w:widowControl/>
              <w:jc w:val="left"/>
              <w:rPr>
                <w:rFonts w:asciiTheme="majorEastAsia" w:hAnsiTheme="majorEastAsia" w:eastAsiaTheme="majorEastAsia"/>
                <w:color w:val="auto"/>
                <w:kern w:val="0"/>
                <w:sz w:val="20"/>
                <w:szCs w:val="20"/>
                <w:highlight w:val="none"/>
              </w:rPr>
            </w:pPr>
          </w:p>
        </w:tc>
      </w:tr>
      <w:tr w14:paraId="7FBF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763" w:type="dxa"/>
            <w:vMerge w:val="continue"/>
            <w:vAlign w:val="center"/>
          </w:tcPr>
          <w:p w14:paraId="0E7A0FA8">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1055D937">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3.设备、设施的清洁：</w:t>
            </w:r>
            <w:r>
              <w:rPr>
                <w:rFonts w:hint="eastAsia" w:asciiTheme="majorEastAsia" w:hAnsiTheme="majorEastAsia" w:eastAsiaTheme="majorEastAsia"/>
                <w:color w:val="auto"/>
                <w:sz w:val="18"/>
                <w:szCs w:val="18"/>
                <w:highlight w:val="none"/>
              </w:rPr>
              <w:t>①地面、厨房灶台、踏板洁净，无积水和油污、碎菜；②壁、天花板、门窗、抽油烟机清洁，无蜘蛛网、霉斑或</w:t>
            </w:r>
            <w:r>
              <w:rPr>
                <w:rFonts w:hint="eastAsia" w:asciiTheme="majorEastAsia" w:hAnsiTheme="majorEastAsia" w:eastAsiaTheme="majorEastAsia"/>
                <w:color w:val="auto"/>
                <w:sz w:val="18"/>
                <w:szCs w:val="18"/>
                <w:highlight w:val="none"/>
                <w:lang w:eastAsia="zh-CN"/>
              </w:rPr>
              <w:t>其他</w:t>
            </w:r>
            <w:r>
              <w:rPr>
                <w:rFonts w:hint="eastAsia" w:asciiTheme="majorEastAsia" w:hAnsiTheme="majorEastAsia" w:eastAsiaTheme="majorEastAsia"/>
                <w:color w:val="auto"/>
                <w:sz w:val="18"/>
                <w:szCs w:val="18"/>
                <w:highlight w:val="none"/>
              </w:rPr>
              <w:t>明显积垢；③食品加工机械内外保持清洁，无残留物，无异味；④食品加工机械内外保持清洁，无残留物，无异味；⑤烹调用具、刀具要定位、保持清洁，案板挂起或竖放，保持清洁干燥。</w:t>
            </w:r>
          </w:p>
        </w:tc>
        <w:tc>
          <w:tcPr>
            <w:tcW w:w="690" w:type="dxa"/>
            <w:shd w:val="clear" w:color="000000" w:fill="FFFFFF"/>
            <w:vAlign w:val="center"/>
          </w:tcPr>
          <w:p w14:paraId="16AB3D6D">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vMerge w:val="restart"/>
            <w:shd w:val="clear" w:color="auto" w:fill="auto"/>
            <w:vAlign w:val="center"/>
          </w:tcPr>
          <w:p w14:paraId="6228B317">
            <w:pPr>
              <w:widowControl/>
              <w:jc w:val="left"/>
              <w:rPr>
                <w:rFonts w:cs="宋体" w:asciiTheme="majorEastAsia" w:hAnsiTheme="majorEastAsia" w:eastAsiaTheme="majorEastAsia"/>
                <w:color w:val="auto"/>
                <w:kern w:val="0"/>
                <w:sz w:val="18"/>
                <w:szCs w:val="18"/>
                <w:highlight w:val="none"/>
              </w:rPr>
            </w:pPr>
            <w:r>
              <w:rPr>
                <w:rFonts w:hint="eastAsia" w:cs="宋体" w:asciiTheme="majorEastAsia" w:hAnsiTheme="majorEastAsia" w:eastAsiaTheme="majorEastAsia"/>
                <w:color w:val="auto"/>
                <w:kern w:val="0"/>
                <w:sz w:val="18"/>
                <w:szCs w:val="18"/>
                <w:highlight w:val="none"/>
              </w:rPr>
              <w:t>每月定期检查，公司应积极配合，检查发现一项不达标扣0.2分，公司应立即整改。如2天后复查发现仍未改进的，扣减0.5分/项，并进行处罚100元/次。</w:t>
            </w:r>
          </w:p>
        </w:tc>
        <w:tc>
          <w:tcPr>
            <w:tcW w:w="641" w:type="dxa"/>
            <w:shd w:val="clear" w:color="auto" w:fill="auto"/>
          </w:tcPr>
          <w:p w14:paraId="246FBEED">
            <w:pPr>
              <w:widowControl/>
              <w:jc w:val="left"/>
              <w:rPr>
                <w:rFonts w:asciiTheme="majorEastAsia" w:hAnsiTheme="majorEastAsia" w:eastAsiaTheme="majorEastAsia"/>
                <w:color w:val="auto"/>
                <w:kern w:val="0"/>
                <w:sz w:val="20"/>
                <w:szCs w:val="20"/>
                <w:highlight w:val="none"/>
              </w:rPr>
            </w:pPr>
          </w:p>
        </w:tc>
      </w:tr>
      <w:tr w14:paraId="06DE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763" w:type="dxa"/>
            <w:vMerge w:val="continue"/>
            <w:vAlign w:val="center"/>
          </w:tcPr>
          <w:p w14:paraId="4D067CF3">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5F21ABC6">
            <w:pPr>
              <w:rPr>
                <w:rFonts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4.工具的清洁：</w:t>
            </w:r>
            <w:r>
              <w:rPr>
                <w:rFonts w:hint="eastAsia" w:asciiTheme="majorEastAsia" w:hAnsiTheme="majorEastAsia" w:eastAsiaTheme="majorEastAsia"/>
                <w:color w:val="auto"/>
                <w:sz w:val="18"/>
                <w:szCs w:val="18"/>
                <w:highlight w:val="none"/>
              </w:rPr>
              <w:t>①清洁工具必须无毒无害，标志或者区分明显，做到分开使用、定位存放、用后洗净、保持清洁；②清洁工具由专门的存放场所(区域)；③清洗清洁工具用的水池应与清洗食品、餐具的水池分开设置，清洁工具应在清洗后再采用吊挂等方式自然晾干。</w:t>
            </w:r>
          </w:p>
        </w:tc>
        <w:tc>
          <w:tcPr>
            <w:tcW w:w="690" w:type="dxa"/>
            <w:shd w:val="clear" w:color="000000" w:fill="FFFFFF"/>
            <w:vAlign w:val="center"/>
          </w:tcPr>
          <w:p w14:paraId="1E966670">
            <w:pPr>
              <w:jc w:val="center"/>
              <w:rPr>
                <w:rFonts w:hint="eastAsia" w:asciiTheme="majorEastAsia" w:hAnsiTheme="majorEastAsia" w:eastAsiaTheme="majorEastAsia"/>
                <w:color w:val="auto"/>
                <w:sz w:val="18"/>
                <w:szCs w:val="18"/>
                <w:highlight w:val="none"/>
                <w:lang w:val="en-US" w:eastAsia="zh-CN"/>
              </w:rPr>
            </w:pPr>
            <w:r>
              <w:rPr>
                <w:rFonts w:hint="eastAsia" w:asciiTheme="majorEastAsia" w:hAnsiTheme="majorEastAsia" w:eastAsiaTheme="majorEastAsia"/>
                <w:color w:val="auto"/>
                <w:sz w:val="18"/>
                <w:szCs w:val="18"/>
                <w:highlight w:val="none"/>
                <w:lang w:val="en-US" w:eastAsia="zh-CN"/>
              </w:rPr>
              <w:t>1</w:t>
            </w:r>
          </w:p>
        </w:tc>
        <w:tc>
          <w:tcPr>
            <w:tcW w:w="2999" w:type="dxa"/>
            <w:vMerge w:val="continue"/>
            <w:shd w:val="clear" w:color="auto" w:fill="auto"/>
            <w:vAlign w:val="center"/>
          </w:tcPr>
          <w:p w14:paraId="40A7CA1A">
            <w:pPr>
              <w:widowControl/>
              <w:jc w:val="left"/>
              <w:rPr>
                <w:rFonts w:cs="宋体" w:asciiTheme="majorEastAsia" w:hAnsiTheme="majorEastAsia" w:eastAsiaTheme="majorEastAsia"/>
                <w:color w:val="auto"/>
                <w:kern w:val="0"/>
                <w:sz w:val="18"/>
                <w:szCs w:val="18"/>
                <w:highlight w:val="none"/>
              </w:rPr>
            </w:pPr>
          </w:p>
        </w:tc>
        <w:tc>
          <w:tcPr>
            <w:tcW w:w="641" w:type="dxa"/>
            <w:shd w:val="clear" w:color="auto" w:fill="auto"/>
          </w:tcPr>
          <w:p w14:paraId="469B5D50">
            <w:pPr>
              <w:widowControl/>
              <w:jc w:val="left"/>
              <w:rPr>
                <w:rFonts w:asciiTheme="majorEastAsia" w:hAnsiTheme="majorEastAsia" w:eastAsiaTheme="majorEastAsia"/>
                <w:color w:val="auto"/>
                <w:kern w:val="0"/>
                <w:sz w:val="20"/>
                <w:szCs w:val="20"/>
                <w:highlight w:val="none"/>
              </w:rPr>
            </w:pPr>
          </w:p>
        </w:tc>
      </w:tr>
      <w:tr w14:paraId="6CF4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763" w:type="dxa"/>
            <w:vMerge w:val="continue"/>
            <w:vAlign w:val="center"/>
          </w:tcPr>
          <w:p w14:paraId="7EBF89FE">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036ED09F">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5.消毒剂、洗涤剂的存放：</w:t>
            </w:r>
            <w:r>
              <w:rPr>
                <w:rFonts w:hint="eastAsia" w:asciiTheme="majorEastAsia" w:hAnsiTheme="majorEastAsia" w:eastAsiaTheme="majorEastAsia"/>
                <w:color w:val="auto"/>
                <w:sz w:val="18"/>
                <w:szCs w:val="18"/>
                <w:highlight w:val="none"/>
              </w:rPr>
              <w:t>①洗涤剂、消毒剂应存放在专用的设施内，不能与食品、厨房用具或者设备一起存放；②包装上贴有醒目标签和明显的警示标志；明确专人保管，必要时上锁。</w:t>
            </w:r>
          </w:p>
        </w:tc>
        <w:tc>
          <w:tcPr>
            <w:tcW w:w="690" w:type="dxa"/>
            <w:shd w:val="clear" w:color="000000" w:fill="FFFFFF"/>
            <w:vAlign w:val="center"/>
          </w:tcPr>
          <w:p w14:paraId="60141C24">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vMerge w:val="continue"/>
            <w:shd w:val="clear" w:color="auto" w:fill="auto"/>
            <w:vAlign w:val="center"/>
          </w:tcPr>
          <w:p w14:paraId="1408059C">
            <w:pPr>
              <w:widowControl/>
              <w:jc w:val="left"/>
              <w:rPr>
                <w:rFonts w:cs="宋体" w:asciiTheme="majorEastAsia" w:hAnsiTheme="majorEastAsia" w:eastAsiaTheme="majorEastAsia"/>
                <w:color w:val="auto"/>
                <w:kern w:val="0"/>
                <w:sz w:val="18"/>
                <w:szCs w:val="18"/>
                <w:highlight w:val="none"/>
              </w:rPr>
            </w:pPr>
          </w:p>
        </w:tc>
        <w:tc>
          <w:tcPr>
            <w:tcW w:w="641" w:type="dxa"/>
            <w:shd w:val="clear" w:color="auto" w:fill="auto"/>
          </w:tcPr>
          <w:p w14:paraId="2F9B32B6">
            <w:pPr>
              <w:widowControl/>
              <w:jc w:val="left"/>
              <w:rPr>
                <w:rFonts w:asciiTheme="majorEastAsia" w:hAnsiTheme="majorEastAsia" w:eastAsiaTheme="majorEastAsia"/>
                <w:color w:val="auto"/>
                <w:kern w:val="0"/>
                <w:sz w:val="20"/>
                <w:szCs w:val="20"/>
                <w:highlight w:val="none"/>
              </w:rPr>
            </w:pPr>
          </w:p>
        </w:tc>
      </w:tr>
      <w:tr w14:paraId="347F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jc w:val="center"/>
        </w:trPr>
        <w:tc>
          <w:tcPr>
            <w:tcW w:w="763" w:type="dxa"/>
            <w:vMerge w:val="continue"/>
            <w:vAlign w:val="center"/>
          </w:tcPr>
          <w:p w14:paraId="31E0F7BF">
            <w:pPr>
              <w:widowControl/>
              <w:jc w:val="center"/>
              <w:rPr>
                <w:rFonts w:cs="宋体" w:asciiTheme="majorEastAsia" w:hAnsiTheme="majorEastAsia" w:eastAsiaTheme="majorEastAsia"/>
                <w:color w:val="auto"/>
                <w:kern w:val="0"/>
                <w:sz w:val="18"/>
                <w:szCs w:val="18"/>
                <w:highlight w:val="none"/>
              </w:rPr>
            </w:pPr>
          </w:p>
        </w:tc>
        <w:tc>
          <w:tcPr>
            <w:tcW w:w="5098" w:type="dxa"/>
            <w:shd w:val="clear" w:color="000000" w:fill="FFFFFF"/>
            <w:vAlign w:val="center"/>
          </w:tcPr>
          <w:p w14:paraId="3B955BE8">
            <w:pPr>
              <w:rPr>
                <w:rFonts w:cs="宋体" w:asciiTheme="majorEastAsia" w:hAnsiTheme="majorEastAsia" w:eastAsiaTheme="majorEastAsia"/>
                <w:b/>
                <w:bCs/>
                <w:color w:val="auto"/>
                <w:sz w:val="18"/>
                <w:szCs w:val="18"/>
                <w:highlight w:val="none"/>
              </w:rPr>
            </w:pPr>
            <w:r>
              <w:rPr>
                <w:rFonts w:hint="eastAsia" w:asciiTheme="majorEastAsia" w:hAnsiTheme="majorEastAsia" w:eastAsiaTheme="majorEastAsia"/>
                <w:b/>
                <w:bCs/>
                <w:color w:val="auto"/>
                <w:sz w:val="18"/>
                <w:szCs w:val="18"/>
                <w:highlight w:val="none"/>
              </w:rPr>
              <w:t>6.消毒要求：</w:t>
            </w:r>
            <w:r>
              <w:rPr>
                <w:rFonts w:hint="eastAsia" w:asciiTheme="majorEastAsia" w:hAnsiTheme="majorEastAsia" w:eastAsiaTheme="majorEastAsia"/>
                <w:color w:val="auto"/>
                <w:sz w:val="18"/>
                <w:szCs w:val="18"/>
                <w:highlight w:val="none"/>
              </w:rPr>
              <w:t>①使用消毒剂应符合有关食品安全标准和要求，应定时测量有效消毒浓度；②按照要求使用物理消毒和化学消毒，优先考虑使用热力消毒；③已消毒和未消毒的餐用具应分开存放，存放时应将餐用具的食品接触面向下；④设专供存放消毒后餐用具的保洁设施，其标识明显、其结构应密闭并易于清洁，保洁设施内不得存放其他物品；⑤定期检查清洗消毒设备、设施是否处于良好状态。</w:t>
            </w:r>
          </w:p>
        </w:tc>
        <w:tc>
          <w:tcPr>
            <w:tcW w:w="690" w:type="dxa"/>
            <w:shd w:val="clear" w:color="000000" w:fill="FFFFFF"/>
            <w:vAlign w:val="center"/>
          </w:tcPr>
          <w:p w14:paraId="6A356AA8">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302369AD">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不定期抽查，发现一项不达标扣0.2分，公司应立即整改。如2天后复查发现仍未改进的，扣减0.5分/项，并进行处罚100元/次。</w:t>
            </w:r>
          </w:p>
        </w:tc>
        <w:tc>
          <w:tcPr>
            <w:tcW w:w="641" w:type="dxa"/>
            <w:shd w:val="clear" w:color="auto" w:fill="auto"/>
          </w:tcPr>
          <w:p w14:paraId="13E86437">
            <w:pPr>
              <w:widowControl/>
              <w:jc w:val="left"/>
              <w:rPr>
                <w:rFonts w:asciiTheme="majorEastAsia" w:hAnsiTheme="majorEastAsia" w:eastAsiaTheme="majorEastAsia"/>
                <w:color w:val="auto"/>
                <w:kern w:val="0"/>
                <w:sz w:val="20"/>
                <w:szCs w:val="20"/>
                <w:highlight w:val="none"/>
              </w:rPr>
            </w:pPr>
          </w:p>
        </w:tc>
      </w:tr>
      <w:tr w14:paraId="5E9C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63" w:type="dxa"/>
            <w:vMerge w:val="restart"/>
            <w:vAlign w:val="center"/>
          </w:tcPr>
          <w:p w14:paraId="5A31354D">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十三、昆虫鼠害控制  (3分)</w:t>
            </w:r>
          </w:p>
        </w:tc>
        <w:tc>
          <w:tcPr>
            <w:tcW w:w="5098" w:type="dxa"/>
            <w:shd w:val="clear" w:color="000000" w:fill="FFFFFF"/>
            <w:vAlign w:val="center"/>
          </w:tcPr>
          <w:p w14:paraId="178E835D">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1.基础预防设施：</w:t>
            </w:r>
            <w:r>
              <w:rPr>
                <w:rFonts w:hint="eastAsia" w:asciiTheme="majorEastAsia" w:hAnsiTheme="majorEastAsia" w:eastAsiaTheme="majorEastAsia"/>
                <w:color w:val="auto"/>
                <w:sz w:val="18"/>
                <w:szCs w:val="18"/>
                <w:highlight w:val="none"/>
              </w:rPr>
              <w:t>①门窗、天花、管口及风口设有易于拆卸清洗且不生锈的防蝇、防虫和防鼠设施；②保持排水沟清洁，避免食物残渣淤积；③防止水龙头滴水。</w:t>
            </w:r>
          </w:p>
        </w:tc>
        <w:tc>
          <w:tcPr>
            <w:tcW w:w="690" w:type="dxa"/>
            <w:shd w:val="clear" w:color="000000" w:fill="FFFFFF"/>
            <w:vAlign w:val="center"/>
          </w:tcPr>
          <w:p w14:paraId="2872E49A">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2</w:t>
            </w:r>
          </w:p>
        </w:tc>
        <w:tc>
          <w:tcPr>
            <w:tcW w:w="2999" w:type="dxa"/>
            <w:shd w:val="clear" w:color="auto" w:fill="auto"/>
            <w:vAlign w:val="center"/>
          </w:tcPr>
          <w:p w14:paraId="446F92AE">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每月定期检查，公司应积极配合，检查发现一项不达标扣0.5分，公司应立即整改，对已损坏的部位进行修复。如2天后复查发现仍未改进的，进行处罚100元/次。</w:t>
            </w:r>
          </w:p>
        </w:tc>
        <w:tc>
          <w:tcPr>
            <w:tcW w:w="641" w:type="dxa"/>
            <w:shd w:val="clear" w:color="auto" w:fill="auto"/>
          </w:tcPr>
          <w:p w14:paraId="77EFA3DF">
            <w:pPr>
              <w:widowControl/>
              <w:jc w:val="left"/>
              <w:rPr>
                <w:rFonts w:asciiTheme="majorEastAsia" w:hAnsiTheme="majorEastAsia" w:eastAsiaTheme="majorEastAsia"/>
                <w:color w:val="auto"/>
                <w:kern w:val="0"/>
                <w:sz w:val="20"/>
                <w:szCs w:val="20"/>
                <w:highlight w:val="none"/>
              </w:rPr>
            </w:pPr>
          </w:p>
        </w:tc>
      </w:tr>
      <w:tr w14:paraId="0E98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3" w:type="dxa"/>
            <w:vMerge w:val="continue"/>
            <w:vAlign w:val="center"/>
          </w:tcPr>
          <w:p w14:paraId="5FE4FD14">
            <w:pPr>
              <w:jc w:val="center"/>
              <w:rPr>
                <w:rFonts w:asciiTheme="majorEastAsia" w:hAnsiTheme="majorEastAsia" w:eastAsiaTheme="majorEastAsia"/>
                <w:color w:val="auto"/>
                <w:sz w:val="18"/>
                <w:szCs w:val="18"/>
                <w:highlight w:val="none"/>
              </w:rPr>
            </w:pPr>
          </w:p>
        </w:tc>
        <w:tc>
          <w:tcPr>
            <w:tcW w:w="5098" w:type="dxa"/>
            <w:shd w:val="clear" w:color="000000" w:fill="FFFFFF"/>
            <w:vAlign w:val="center"/>
          </w:tcPr>
          <w:p w14:paraId="770A78AA">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b/>
                <w:bCs/>
                <w:color w:val="auto"/>
                <w:sz w:val="18"/>
                <w:szCs w:val="18"/>
                <w:highlight w:val="none"/>
              </w:rPr>
              <w:t>2.除虫灭害：</w:t>
            </w:r>
            <w:r>
              <w:rPr>
                <w:rFonts w:hint="eastAsia" w:asciiTheme="majorEastAsia" w:hAnsiTheme="majorEastAsia" w:eastAsiaTheme="majorEastAsia"/>
                <w:color w:val="auto"/>
                <w:sz w:val="18"/>
                <w:szCs w:val="18"/>
                <w:highlight w:val="none"/>
              </w:rPr>
              <w:t>①定期进行除虫灭害，器械</w:t>
            </w:r>
            <w:r>
              <w:rPr>
                <w:rFonts w:hint="eastAsia" w:asciiTheme="majorEastAsia" w:hAnsiTheme="majorEastAsia" w:eastAsiaTheme="majorEastAsia"/>
                <w:color w:val="auto"/>
                <w:sz w:val="18"/>
                <w:szCs w:val="18"/>
                <w:highlight w:val="none"/>
                <w:lang w:val="en-US" w:eastAsia="zh-CN"/>
              </w:rPr>
              <w:t>方式</w:t>
            </w:r>
            <w:r>
              <w:rPr>
                <w:rFonts w:hint="eastAsia" w:asciiTheme="majorEastAsia" w:hAnsiTheme="majorEastAsia" w:eastAsiaTheme="majorEastAsia"/>
                <w:color w:val="auto"/>
                <w:sz w:val="18"/>
                <w:szCs w:val="18"/>
                <w:highlight w:val="none"/>
              </w:rPr>
              <w:t>为首选，器械无效时才使用药物，尽量减少药物对食品和食品加工环境可能的污染；②除虫灭害工作不能在食品加工操作时进行，实施时对各种食品（包括原料）应有保护措施，使用化学药物后，场所内的任何设备、食具及解除食物的表面，均须彻底清洁；③杀虫剂、杀鼠剂及其他有毒有害物品存放均有固定的场所，并且上锁，包装上应有明显的警示标志，设有专人保管；④除虫灭害药物的采购及使用应有详细记录，包括使用人、使用目的、使用及购买时间、配置浓度、使用方法和使用区域、使用量等。使用后应进行复核，并按规定进行存放、保管。</w:t>
            </w:r>
          </w:p>
        </w:tc>
        <w:tc>
          <w:tcPr>
            <w:tcW w:w="690" w:type="dxa"/>
            <w:shd w:val="clear" w:color="000000" w:fill="FFFFFF"/>
            <w:vAlign w:val="center"/>
          </w:tcPr>
          <w:p w14:paraId="27A2B134">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1</w:t>
            </w:r>
          </w:p>
        </w:tc>
        <w:tc>
          <w:tcPr>
            <w:tcW w:w="2999" w:type="dxa"/>
            <w:shd w:val="clear" w:color="auto" w:fill="auto"/>
            <w:vAlign w:val="center"/>
          </w:tcPr>
          <w:p w14:paraId="412B268E">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每月定期检查现场，公司应积极配合，检查发现一项不达标扣0.5分，公司应立即整改。如2天后复查发现仍未改进的，进行处罚100元/次。查阅除虫灭害药物的采购和使用记录，记录不全的缺少一项扣0.5分。</w:t>
            </w:r>
          </w:p>
        </w:tc>
        <w:tc>
          <w:tcPr>
            <w:tcW w:w="641" w:type="dxa"/>
            <w:shd w:val="clear" w:color="auto" w:fill="auto"/>
          </w:tcPr>
          <w:p w14:paraId="05106D19">
            <w:pPr>
              <w:widowControl/>
              <w:jc w:val="left"/>
              <w:rPr>
                <w:rFonts w:asciiTheme="majorEastAsia" w:hAnsiTheme="majorEastAsia" w:eastAsiaTheme="majorEastAsia"/>
                <w:color w:val="auto"/>
                <w:kern w:val="0"/>
                <w:sz w:val="20"/>
                <w:szCs w:val="20"/>
                <w:highlight w:val="none"/>
              </w:rPr>
            </w:pPr>
          </w:p>
        </w:tc>
      </w:tr>
      <w:tr w14:paraId="6617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763" w:type="dxa"/>
            <w:vAlign w:val="center"/>
          </w:tcPr>
          <w:p w14:paraId="6607B064">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十四、食品留样</w:t>
            </w:r>
          </w:p>
          <w:p w14:paraId="1CE6A604">
            <w:pPr>
              <w:jc w:val="cente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(4分)</w:t>
            </w:r>
          </w:p>
        </w:tc>
        <w:tc>
          <w:tcPr>
            <w:tcW w:w="5098" w:type="dxa"/>
            <w:shd w:val="clear" w:color="000000" w:fill="FFFFFF"/>
            <w:vAlign w:val="center"/>
          </w:tcPr>
          <w:p w14:paraId="6F016816">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①每餐次食品成品应留样，每个品种留样量不少于200g；②留样食品应按品种分别盛放于清洗消毒后的密闭专用容器内；③留样食品应放置在专用冷藏设施中，在冷藏条件下存放48小时以上；④每个品种留样必须详细记录留样食品名称、留样量、留样时间、留样人员、审核人员等。</w:t>
            </w:r>
          </w:p>
        </w:tc>
        <w:tc>
          <w:tcPr>
            <w:tcW w:w="690" w:type="dxa"/>
            <w:shd w:val="clear" w:color="000000" w:fill="FFFFFF"/>
            <w:vAlign w:val="center"/>
          </w:tcPr>
          <w:p w14:paraId="623F7E78">
            <w:pPr>
              <w:jc w:val="center"/>
              <w:rPr>
                <w:rFonts w:hint="eastAsia" w:cs="宋体" w:asciiTheme="majorEastAsia" w:hAnsiTheme="majorEastAsia" w:eastAsiaTheme="majorEastAsia"/>
                <w:color w:val="auto"/>
                <w:sz w:val="18"/>
                <w:szCs w:val="18"/>
                <w:highlight w:val="none"/>
                <w:lang w:val="en-US" w:eastAsia="zh-CN"/>
              </w:rPr>
            </w:pPr>
            <w:r>
              <w:rPr>
                <w:rFonts w:hint="eastAsia" w:cs="宋体" w:asciiTheme="majorEastAsia" w:hAnsiTheme="majorEastAsia" w:eastAsiaTheme="majorEastAsia"/>
                <w:color w:val="auto"/>
                <w:sz w:val="18"/>
                <w:szCs w:val="18"/>
                <w:highlight w:val="none"/>
                <w:lang w:val="en-US" w:eastAsia="zh-CN"/>
              </w:rPr>
              <w:t>4</w:t>
            </w:r>
          </w:p>
        </w:tc>
        <w:tc>
          <w:tcPr>
            <w:tcW w:w="2999" w:type="dxa"/>
            <w:shd w:val="clear" w:color="auto" w:fill="auto"/>
            <w:vAlign w:val="center"/>
          </w:tcPr>
          <w:p w14:paraId="022433DF">
            <w:pPr>
              <w:rPr>
                <w:rFonts w:cs="宋体"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不定期抽查，发现一项不达标扣0.5分，公司应立即整改。如2天后复查发现仍未改进的，扣减1分/项，并进行处罚100元/次。</w:t>
            </w:r>
          </w:p>
        </w:tc>
        <w:tc>
          <w:tcPr>
            <w:tcW w:w="641" w:type="dxa"/>
            <w:shd w:val="clear" w:color="auto" w:fill="auto"/>
          </w:tcPr>
          <w:p w14:paraId="4514BF33">
            <w:pPr>
              <w:widowControl/>
              <w:jc w:val="left"/>
              <w:rPr>
                <w:rFonts w:asciiTheme="majorEastAsia" w:hAnsiTheme="majorEastAsia" w:eastAsiaTheme="majorEastAsia"/>
                <w:color w:val="auto"/>
                <w:kern w:val="0"/>
                <w:sz w:val="20"/>
                <w:szCs w:val="20"/>
                <w:highlight w:val="none"/>
              </w:rPr>
            </w:pPr>
          </w:p>
        </w:tc>
      </w:tr>
      <w:tr w14:paraId="7005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63" w:type="dxa"/>
            <w:vAlign w:val="center"/>
          </w:tcPr>
          <w:p w14:paraId="06767508">
            <w:pPr>
              <w:jc w:val="center"/>
              <w:rPr>
                <w:rFonts w:asciiTheme="majorEastAsia" w:hAnsiTheme="majorEastAsia" w:eastAsiaTheme="majorEastAsia"/>
                <w:color w:val="auto"/>
                <w:sz w:val="18"/>
                <w:szCs w:val="18"/>
                <w:highlight w:val="none"/>
              </w:rPr>
            </w:pPr>
          </w:p>
        </w:tc>
        <w:tc>
          <w:tcPr>
            <w:tcW w:w="5098" w:type="dxa"/>
            <w:shd w:val="clear" w:color="000000" w:fill="FFFFFF"/>
            <w:vAlign w:val="center"/>
          </w:tcPr>
          <w:p w14:paraId="518673E1">
            <w:pPr>
              <w:jc w:val="center"/>
              <w:rPr>
                <w:rFonts w:asciiTheme="majorEastAsia" w:hAnsiTheme="majorEastAsia" w:eastAsiaTheme="majorEastAsia"/>
                <w:color w:val="auto"/>
                <w:sz w:val="18"/>
                <w:szCs w:val="18"/>
                <w:highlight w:val="none"/>
              </w:rPr>
            </w:pPr>
            <w:r>
              <w:rPr>
                <w:rFonts w:hint="eastAsia" w:asciiTheme="majorEastAsia" w:hAnsiTheme="majorEastAsia" w:eastAsiaTheme="majorEastAsia"/>
                <w:color w:val="auto"/>
                <w:sz w:val="18"/>
                <w:szCs w:val="18"/>
                <w:highlight w:val="none"/>
              </w:rPr>
              <w:t>合计</w:t>
            </w:r>
          </w:p>
        </w:tc>
        <w:tc>
          <w:tcPr>
            <w:tcW w:w="690" w:type="dxa"/>
            <w:shd w:val="clear" w:color="000000" w:fill="FFFFFF"/>
            <w:vAlign w:val="center"/>
          </w:tcPr>
          <w:p w14:paraId="41788184">
            <w:pPr>
              <w:jc w:val="center"/>
              <w:rPr>
                <w:rFonts w:asciiTheme="majorEastAsia" w:hAnsiTheme="majorEastAsia" w:eastAsiaTheme="majorEastAsia"/>
                <w:color w:val="auto"/>
                <w:sz w:val="18"/>
                <w:szCs w:val="18"/>
                <w:highlight w:val="none"/>
              </w:rPr>
            </w:pPr>
          </w:p>
        </w:tc>
        <w:tc>
          <w:tcPr>
            <w:tcW w:w="2999" w:type="dxa"/>
            <w:shd w:val="clear" w:color="auto" w:fill="auto"/>
            <w:vAlign w:val="center"/>
          </w:tcPr>
          <w:p w14:paraId="290C3645">
            <w:pPr>
              <w:rPr>
                <w:rFonts w:asciiTheme="majorEastAsia" w:hAnsiTheme="majorEastAsia" w:eastAsiaTheme="majorEastAsia"/>
                <w:color w:val="auto"/>
                <w:sz w:val="18"/>
                <w:szCs w:val="18"/>
                <w:highlight w:val="none"/>
              </w:rPr>
            </w:pPr>
          </w:p>
        </w:tc>
        <w:tc>
          <w:tcPr>
            <w:tcW w:w="641" w:type="dxa"/>
            <w:shd w:val="clear" w:color="auto" w:fill="auto"/>
          </w:tcPr>
          <w:p w14:paraId="5180C777">
            <w:pPr>
              <w:widowControl/>
              <w:jc w:val="left"/>
              <w:rPr>
                <w:rFonts w:asciiTheme="majorEastAsia" w:hAnsiTheme="majorEastAsia" w:eastAsiaTheme="majorEastAsia"/>
                <w:color w:val="auto"/>
                <w:kern w:val="0"/>
                <w:sz w:val="20"/>
                <w:szCs w:val="20"/>
                <w:highlight w:val="none"/>
              </w:rPr>
            </w:pPr>
          </w:p>
        </w:tc>
      </w:tr>
    </w:tbl>
    <w:p w14:paraId="38B2B25B">
      <w:pPr>
        <w:rPr>
          <w:rFonts w:hint="eastAsia" w:ascii="宋体" w:hAnsi="宋体" w:eastAsia="宋体" w:cs="宋体"/>
          <w:b/>
          <w:bCs/>
          <w:i w:val="0"/>
          <w:iCs w:val="0"/>
          <w:caps w:val="0"/>
          <w:color w:val="auto"/>
          <w:spacing w:val="0"/>
          <w:kern w:val="0"/>
          <w:sz w:val="24"/>
          <w:szCs w:val="24"/>
          <w:shd w:val="clear" w:color="auto" w:fill="FFFFFF"/>
          <w:lang w:val="en-US" w:eastAsia="zh-CN" w:bidi="ar"/>
        </w:rPr>
      </w:pPr>
    </w:p>
    <w:p w14:paraId="09BDE859">
      <w:pPr>
        <w:numPr>
          <w:ilvl w:val="0"/>
          <w:numId w:val="0"/>
        </w:numPr>
        <w:rPr>
          <w:rFonts w:hint="eastAsia" w:ascii="宋体" w:hAnsi="宋体" w:eastAsia="宋体" w:cs="宋体"/>
          <w:b/>
          <w:bCs/>
          <w:i w:val="0"/>
          <w:iCs w:val="0"/>
          <w:caps w:val="0"/>
          <w:color w:val="auto"/>
          <w:spacing w:val="0"/>
          <w:kern w:val="0"/>
          <w:sz w:val="24"/>
          <w:szCs w:val="24"/>
          <w:shd w:val="clear" w:color="auto"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012909"/>
    <w:rsid w:val="018F287C"/>
    <w:rsid w:val="0BBE1224"/>
    <w:rsid w:val="0D0E0E78"/>
    <w:rsid w:val="0E601A26"/>
    <w:rsid w:val="15E32EC1"/>
    <w:rsid w:val="18977817"/>
    <w:rsid w:val="19012909"/>
    <w:rsid w:val="1B567928"/>
    <w:rsid w:val="23AB30C1"/>
    <w:rsid w:val="25D86356"/>
    <w:rsid w:val="2CF50B89"/>
    <w:rsid w:val="2E09095E"/>
    <w:rsid w:val="2EF457D0"/>
    <w:rsid w:val="32021CC1"/>
    <w:rsid w:val="342172DC"/>
    <w:rsid w:val="34F74AEC"/>
    <w:rsid w:val="3A077262"/>
    <w:rsid w:val="3D61415F"/>
    <w:rsid w:val="3E126451"/>
    <w:rsid w:val="46DD541C"/>
    <w:rsid w:val="4B8A020D"/>
    <w:rsid w:val="4BC232FD"/>
    <w:rsid w:val="4C153450"/>
    <w:rsid w:val="4CB00229"/>
    <w:rsid w:val="52927C09"/>
    <w:rsid w:val="531D5F46"/>
    <w:rsid w:val="53A01EE2"/>
    <w:rsid w:val="57EF65AA"/>
    <w:rsid w:val="6A024D1C"/>
    <w:rsid w:val="6C306EEC"/>
    <w:rsid w:val="73014803"/>
    <w:rsid w:val="74B84955"/>
    <w:rsid w:val="76DB22D6"/>
    <w:rsid w:val="788439D9"/>
    <w:rsid w:val="7DF0330A"/>
    <w:rsid w:val="7F770F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3">
    <w:name w:val="Body Text"/>
    <w:basedOn w:val="1"/>
    <w:next w:val="4"/>
    <w:qFormat/>
    <w:uiPriority w:val="0"/>
    <w:pPr>
      <w:spacing w:line="360" w:lineRule="auto"/>
    </w:pPr>
    <w:rPr>
      <w:szCs w:val="20"/>
    </w:rPr>
  </w:style>
  <w:style w:type="paragraph" w:styleId="4">
    <w:name w:val="toc 5"/>
    <w:basedOn w:val="1"/>
    <w:next w:val="1"/>
    <w:qFormat/>
    <w:uiPriority w:val="0"/>
    <w:pPr>
      <w:ind w:left="840"/>
      <w:jc w:val="left"/>
    </w:pPr>
    <w:rPr>
      <w:rFonts w:ascii="Calibri" w:hAnsi="Calibri"/>
      <w:sz w:val="18"/>
      <w:szCs w:val="18"/>
    </w:rPr>
  </w:style>
  <w:style w:type="paragraph" w:styleId="5">
    <w:name w:val="Body Text Indent"/>
    <w:basedOn w:val="1"/>
    <w:next w:val="6"/>
    <w:qFormat/>
    <w:uiPriority w:val="0"/>
    <w:pPr>
      <w:ind w:firstLine="830" w:firstLineChars="352"/>
    </w:pPr>
    <w:rPr>
      <w:rFonts w:ascii="仿宋_GB2312" w:eastAsia="仿宋_GB2312"/>
      <w:sz w:val="32"/>
      <w:szCs w:val="20"/>
    </w:rPr>
  </w:style>
  <w:style w:type="paragraph" w:styleId="6">
    <w:name w:val="envelope return"/>
    <w:basedOn w:val="1"/>
    <w:qFormat/>
    <w:uiPriority w:val="99"/>
    <w:pPr>
      <w:snapToGrid w:val="0"/>
    </w:pPr>
    <w:rPr>
      <w:rFonts w:ascii="Arial" w:hAnsi="Arial"/>
    </w:rPr>
  </w:style>
  <w:style w:type="paragraph" w:styleId="7">
    <w:name w:val="Normal (Web)"/>
    <w:basedOn w:val="1"/>
    <w:qFormat/>
    <w:uiPriority w:val="99"/>
    <w:pPr>
      <w:widowControl/>
      <w:spacing w:before="100" w:beforeLines="0" w:beforeAutospacing="1" w:after="100" w:afterLines="0" w:afterAutospacing="1"/>
      <w:jc w:val="left"/>
    </w:pPr>
    <w:rPr>
      <w:rFonts w:ascii="宋体" w:hAnsi="宋体"/>
      <w:color w:val="000000"/>
      <w:kern w:val="0"/>
      <w:sz w:val="24"/>
    </w:rPr>
  </w:style>
  <w:style w:type="paragraph" w:styleId="8">
    <w:name w:val="Body Text First Indent"/>
    <w:basedOn w:val="3"/>
    <w:qFormat/>
    <w:uiPriority w:val="0"/>
    <w:pPr>
      <w:spacing w:after="120" w:afterLines="0" w:line="240" w:lineRule="auto"/>
      <w:ind w:firstLine="420" w:firstLineChars="100"/>
    </w:pPr>
    <w:rPr>
      <w:szCs w:val="24"/>
    </w:rPr>
  </w:style>
  <w:style w:type="paragraph" w:styleId="9">
    <w:name w:val="Body Text First Indent 2"/>
    <w:basedOn w:val="5"/>
    <w:qFormat/>
    <w:uiPriority w:val="0"/>
    <w:pPr>
      <w:spacing w:after="120"/>
      <w:ind w:left="420" w:leftChars="200"/>
    </w:pPr>
    <w:rPr>
      <w:rFonts w:ascii="Calibri"/>
      <w:sz w:val="21"/>
    </w:rPr>
  </w:style>
  <w:style w:type="table" w:styleId="11">
    <w:name w:val="Table Grid"/>
    <w:basedOn w:val="1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3">
    <w:name w:val="null3"/>
    <w:qFormat/>
    <w:uiPriority w:val="0"/>
    <w:rPr>
      <w:rFonts w:hint="eastAsia" w:ascii="Calibri" w:hAnsi="Calibri" w:eastAsia="宋体" w:cs="Times New Roman"/>
      <w:lang w:val="en-US" w:eastAsia="zh-Hans"/>
    </w:rPr>
  </w:style>
  <w:style w:type="paragraph" w:styleId="14">
    <w:name w:val="List Paragraph"/>
    <w:basedOn w:val="1"/>
    <w:qFormat/>
    <w:uiPriority w:val="34"/>
    <w:pPr>
      <w:ind w:firstLine="420" w:firstLineChars="200"/>
    </w:pPr>
    <w:rPr>
      <w:rFonts w:ascii="Calibri" w:hAnsi="Calibri"/>
      <w:szCs w:val="22"/>
    </w:rPr>
  </w:style>
  <w:style w:type="character" w:customStyle="1" w:styleId="15">
    <w:name w:val="font11"/>
    <w:basedOn w:val="1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5453</Words>
  <Characters>5622</Characters>
  <Lines>0</Lines>
  <Paragraphs>0</Paragraphs>
  <TotalTime>219</TotalTime>
  <ScaleCrop>false</ScaleCrop>
  <LinksUpToDate>false</LinksUpToDate>
  <CharactersWithSpaces>5627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2026-05-15T06:38:00Z</dcterms:created>
  <dc:creator>18924981193</dc:creator>
  <cp:lastModifiedBy>Lily</cp:lastModifiedBy>
  <cp:lastPrinted>2026-07-08T06:53:00Z</cp:lastPrinted>
  <dcterms:modified xsi:type="dcterms:W3CDTF">2026-08-03T08:17:45Z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904DE96E62BB4580B528544D23D90607_13</vt:lpwstr>
  </property>
  <property fmtid="{D5CDD505-2E9C-101B-9397-08002B2CF9AE}" pid="4" name="KSOTemplateDocerSaveRecord">
    <vt:lpwstr>eyJoZGlkIjoiZjMxODI1ZDk1NTM3ZThjZDIyMDM0N2Q4Njc3ODMwMjMiLCJ1c2VySWQiOiIyNjI5MDY5MzEifQ==</vt:lpwstr>
  </property>
</Properties>
</file>