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2A17F5">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outlineLvl w:val="0"/>
        <w:rPr>
          <w:rFonts w:hint="eastAsia" w:ascii="宋体" w:hAnsi="宋体" w:eastAsia="宋体" w:cs="宋体"/>
          <w:b/>
          <w:sz w:val="32"/>
          <w:szCs w:val="32"/>
          <w:lang w:val="zh-CN" w:eastAsia="zh-CN"/>
        </w:rPr>
      </w:pPr>
      <w:r>
        <w:rPr>
          <w:rFonts w:hint="eastAsia" w:ascii="宋体" w:hAnsi="宋体" w:eastAsia="宋体" w:cs="宋体"/>
          <w:b/>
          <w:sz w:val="32"/>
          <w:szCs w:val="32"/>
          <w:lang w:val="zh-CN" w:eastAsia="zh-CN"/>
        </w:rPr>
        <w:t>中山市东升医院三相自愈式低压电容器采购项目</w:t>
      </w:r>
    </w:p>
    <w:p w14:paraId="3B430EA8">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宋体" w:hAnsi="宋体" w:eastAsia="宋体" w:cs="宋体"/>
          <w:b/>
          <w:sz w:val="32"/>
          <w:szCs w:val="32"/>
          <w:lang w:val="en-US" w:eastAsia="zh-CN"/>
        </w:rPr>
      </w:pPr>
      <w:r>
        <w:rPr>
          <w:rFonts w:hint="eastAsia" w:ascii="宋体" w:hAnsi="宋体" w:eastAsia="宋体" w:cs="宋体"/>
          <w:b/>
          <w:sz w:val="32"/>
          <w:szCs w:val="32"/>
          <w:lang w:val="en-US" w:eastAsia="zh-CN"/>
        </w:rPr>
        <w:t>院内采购公告</w:t>
      </w:r>
    </w:p>
    <w:p w14:paraId="5F30450B">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420" w:lineRule="exact"/>
        <w:textAlignment w:val="auto"/>
        <w:rPr>
          <w:rFonts w:hint="eastAsia" w:ascii="宋体" w:hAnsi="宋体" w:eastAsia="宋体" w:cs="宋体"/>
          <w:b/>
          <w:bCs w:val="0"/>
          <w:sz w:val="24"/>
          <w:szCs w:val="24"/>
          <w:lang w:eastAsia="zh-CN"/>
        </w:rPr>
      </w:pPr>
      <w:r>
        <w:rPr>
          <w:rFonts w:hint="eastAsia" w:ascii="宋体" w:hAnsi="宋体" w:eastAsia="宋体" w:cs="宋体"/>
          <w:b/>
          <w:bCs w:val="0"/>
          <w:sz w:val="24"/>
          <w:szCs w:val="24"/>
          <w:lang w:eastAsia="zh-CN"/>
        </w:rPr>
        <w:t>一、项目概况</w:t>
      </w:r>
    </w:p>
    <w:p w14:paraId="42F2DA5B">
      <w:pPr>
        <w:keepNext w:val="0"/>
        <w:keepLines w:val="0"/>
        <w:pageBreakBefore w:val="0"/>
        <w:widowControl w:val="0"/>
        <w:numPr>
          <w:ilvl w:val="0"/>
          <w:numId w:val="0"/>
        </w:numPr>
        <w:kinsoku/>
        <w:wordWrap/>
        <w:overflowPunct/>
        <w:topLinePunct w:val="0"/>
        <w:autoSpaceDE/>
        <w:autoSpaceDN/>
        <w:bidi w:val="0"/>
        <w:adjustRightInd/>
        <w:snapToGrid/>
        <w:spacing w:line="420" w:lineRule="exac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 项目名称：</w:t>
      </w:r>
      <w:r>
        <w:rPr>
          <w:rFonts w:hint="eastAsia" w:ascii="宋体" w:hAnsi="宋体" w:eastAsia="宋体" w:cs="宋体"/>
          <w:sz w:val="24"/>
          <w:szCs w:val="24"/>
        </w:rPr>
        <w:t>中山市东升医院</w:t>
      </w:r>
      <w:r>
        <w:rPr>
          <w:rFonts w:hint="eastAsia" w:ascii="宋体" w:hAnsi="宋体" w:eastAsia="宋体" w:cs="宋体"/>
          <w:sz w:val="24"/>
          <w:szCs w:val="24"/>
          <w:lang w:eastAsia="zh-CN"/>
        </w:rPr>
        <w:t>三相自愈式低压电容器</w:t>
      </w:r>
      <w:r>
        <w:rPr>
          <w:rFonts w:hint="eastAsia" w:ascii="宋体" w:hAnsi="宋体" w:eastAsia="宋体" w:cs="宋体"/>
          <w:sz w:val="24"/>
          <w:szCs w:val="24"/>
        </w:rPr>
        <w:t>采购项目</w:t>
      </w:r>
    </w:p>
    <w:p w14:paraId="3E2CBD52">
      <w:pPr>
        <w:keepNext w:val="0"/>
        <w:keepLines w:val="0"/>
        <w:pageBreakBefore w:val="0"/>
        <w:widowControl w:val="0"/>
        <w:numPr>
          <w:ilvl w:val="0"/>
          <w:numId w:val="0"/>
        </w:numPr>
        <w:kinsoku/>
        <w:wordWrap/>
        <w:overflowPunct/>
        <w:topLinePunct w:val="0"/>
        <w:autoSpaceDE/>
        <w:autoSpaceDN/>
        <w:bidi w:val="0"/>
        <w:adjustRightInd/>
        <w:snapToGrid/>
        <w:spacing w:line="420" w:lineRule="exact"/>
        <w:textAlignment w:val="auto"/>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 项目编号：</w:t>
      </w:r>
      <w:r>
        <w:rPr>
          <w:rFonts w:hint="eastAsia" w:ascii="宋体" w:hAnsi="宋体" w:cs="宋体"/>
          <w:b w:val="0"/>
          <w:bCs/>
          <w:sz w:val="24"/>
          <w:szCs w:val="24"/>
          <w:lang w:val="en-US" w:eastAsia="zh-CN"/>
        </w:rPr>
        <w:t>H</w:t>
      </w:r>
      <w:r>
        <w:rPr>
          <w:rFonts w:hint="eastAsia" w:ascii="宋体" w:hAnsi="宋体" w:eastAsia="宋体" w:cs="宋体"/>
          <w:b w:val="0"/>
          <w:bCs/>
          <w:sz w:val="24"/>
          <w:szCs w:val="24"/>
          <w:lang w:val="en-US" w:eastAsia="zh-CN"/>
        </w:rPr>
        <w:t>W-CW-CW-2026081</w:t>
      </w:r>
    </w:p>
    <w:p w14:paraId="6AC3392B">
      <w:pPr>
        <w:keepNext w:val="0"/>
        <w:keepLines w:val="0"/>
        <w:pageBreakBefore w:val="0"/>
        <w:widowControl w:val="0"/>
        <w:numPr>
          <w:ilvl w:val="0"/>
          <w:numId w:val="0"/>
        </w:numPr>
        <w:kinsoku/>
        <w:wordWrap/>
        <w:overflowPunct/>
        <w:topLinePunct w:val="0"/>
        <w:autoSpaceDE/>
        <w:autoSpaceDN/>
        <w:bidi w:val="0"/>
        <w:adjustRightInd/>
        <w:snapToGrid/>
        <w:spacing w:line="420" w:lineRule="exact"/>
        <w:textAlignment w:val="auto"/>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3 .</w:t>
      </w:r>
      <w:r>
        <w:rPr>
          <w:rFonts w:hint="eastAsia" w:ascii="宋体" w:hAnsi="宋体" w:eastAsia="宋体" w:cs="宋体"/>
          <w:b w:val="0"/>
          <w:bCs/>
          <w:sz w:val="24"/>
          <w:szCs w:val="24"/>
        </w:rPr>
        <w:t>预算金额：</w:t>
      </w:r>
      <w:r>
        <w:rPr>
          <w:rFonts w:hint="eastAsia" w:ascii="宋体" w:hAnsi="宋体" w:eastAsia="宋体" w:cs="宋体"/>
          <w:b w:val="0"/>
          <w:bCs/>
          <w:sz w:val="24"/>
          <w:szCs w:val="24"/>
          <w:lang w:val="en-US" w:eastAsia="zh-CN"/>
        </w:rPr>
        <w:t>12400元</w:t>
      </w:r>
      <w:r>
        <w:rPr>
          <w:rFonts w:hint="eastAsia" w:ascii="宋体" w:hAnsi="宋体" w:cs="宋体"/>
          <w:b w:val="0"/>
          <w:bCs/>
          <w:sz w:val="24"/>
          <w:szCs w:val="24"/>
          <w:lang w:val="en-US" w:eastAsia="zh-CN"/>
        </w:rPr>
        <w:t>(含税价）</w:t>
      </w:r>
    </w:p>
    <w:p w14:paraId="1E436383">
      <w:pPr>
        <w:keepNext w:val="0"/>
        <w:keepLines w:val="0"/>
        <w:pageBreakBefore w:val="0"/>
        <w:widowControl w:val="0"/>
        <w:kinsoku/>
        <w:wordWrap/>
        <w:overflowPunct/>
        <w:topLinePunct w:val="0"/>
        <w:autoSpaceDE/>
        <w:autoSpaceDN/>
        <w:bidi w:val="0"/>
        <w:adjustRightInd/>
        <w:snapToGrid/>
        <w:spacing w:line="420" w:lineRule="exact"/>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val="0"/>
          <w:bCs/>
          <w:sz w:val="24"/>
          <w:szCs w:val="24"/>
          <w:lang w:val="en-US" w:eastAsia="zh-CN"/>
        </w:rPr>
        <w:t xml:space="preserve">4. </w:t>
      </w:r>
      <w:r>
        <w:rPr>
          <w:rFonts w:hint="eastAsia" w:ascii="宋体" w:hAnsi="宋体" w:eastAsia="宋体" w:cs="宋体"/>
          <w:color w:val="auto"/>
          <w:sz w:val="24"/>
          <w:szCs w:val="24"/>
          <w:highlight w:val="none"/>
        </w:rPr>
        <w:t>交</w:t>
      </w:r>
      <w:r>
        <w:rPr>
          <w:rFonts w:hint="eastAsia" w:ascii="宋体" w:hAnsi="宋体" w:eastAsia="宋体" w:cs="宋体"/>
          <w:color w:val="auto"/>
          <w:kern w:val="2"/>
          <w:sz w:val="24"/>
          <w:szCs w:val="24"/>
          <w:highlight w:val="none"/>
          <w:lang w:val="en-US" w:eastAsia="zh-CN" w:bidi="ar-SA"/>
        </w:rPr>
        <w:t>货方式：成交供应商应当在成交通知书发出之日起30日内按招标文件及中标人的投标文件确定的事项与采购人签订合同，签订合同后收到采购人下单通知后</w:t>
      </w:r>
      <w:r>
        <w:rPr>
          <w:rFonts w:hint="eastAsia" w:ascii="宋体" w:hAnsi="宋体" w:eastAsia="宋体" w:cs="宋体"/>
          <w:color w:val="auto"/>
          <w:kern w:val="2"/>
          <w:sz w:val="24"/>
          <w:szCs w:val="24"/>
          <w:highlight w:val="none"/>
          <w:u w:val="none"/>
          <w:lang w:val="en-US" w:eastAsia="zh-CN" w:bidi="ar-SA"/>
        </w:rPr>
        <w:t>5</w:t>
      </w:r>
      <w:r>
        <w:rPr>
          <w:rFonts w:hint="eastAsia" w:ascii="宋体" w:hAnsi="宋体" w:eastAsia="宋体" w:cs="宋体"/>
          <w:color w:val="auto"/>
          <w:kern w:val="2"/>
          <w:sz w:val="24"/>
          <w:szCs w:val="24"/>
          <w:highlight w:val="none"/>
          <w:lang w:val="en-US" w:eastAsia="zh-CN" w:bidi="ar-SA"/>
        </w:rPr>
        <w:t>个工作日内将货物交付到指定地点。</w:t>
      </w:r>
    </w:p>
    <w:p w14:paraId="183F4A1C">
      <w:pPr>
        <w:keepNext w:val="0"/>
        <w:keepLines w:val="0"/>
        <w:pageBreakBefore w:val="0"/>
        <w:numPr>
          <w:ilvl w:val="0"/>
          <w:numId w:val="0"/>
        </w:numPr>
        <w:kinsoku/>
        <w:wordWrap/>
        <w:overflowPunct/>
        <w:topLinePunct w:val="0"/>
        <w:autoSpaceDE/>
        <w:autoSpaceDN/>
        <w:bidi w:val="0"/>
        <w:adjustRightInd/>
        <w:snapToGrid/>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 交货条件：</w:t>
      </w:r>
    </w:p>
    <w:p w14:paraId="3B075E14">
      <w:pPr>
        <w:keepNext w:val="0"/>
        <w:keepLines w:val="0"/>
        <w:pageBreakBefore w:val="0"/>
        <w:kinsoku/>
        <w:wordWrap/>
        <w:overflowPunct/>
        <w:topLinePunct w:val="0"/>
        <w:autoSpaceDE/>
        <w:autoSpaceDN/>
        <w:bidi w:val="0"/>
        <w:adjustRightInd/>
        <w:snapToGrid/>
        <w:spacing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（1）成交供应商应将货物送到采购人指定地点交给采购人收货人，货物交付前一切风险由成交供应商承担。</w:t>
      </w:r>
    </w:p>
    <w:p w14:paraId="22AD6988">
      <w:pPr>
        <w:keepNext w:val="0"/>
        <w:keepLines w:val="0"/>
        <w:pageBreakBefore w:val="0"/>
        <w:kinsoku/>
        <w:wordWrap/>
        <w:overflowPunct/>
        <w:topLinePunct w:val="0"/>
        <w:autoSpaceDE/>
        <w:autoSpaceDN/>
        <w:bidi w:val="0"/>
        <w:adjustRightInd/>
        <w:snapToGrid/>
        <w:spacing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（2）成交供应商所提交的货物单价超出合同约定的，采购人有权拒绝接收。</w:t>
      </w:r>
    </w:p>
    <w:p w14:paraId="12FC0E83">
      <w:pPr>
        <w:keepNext w:val="0"/>
        <w:keepLines w:val="0"/>
        <w:pageBreakBefore w:val="0"/>
        <w:kinsoku/>
        <w:wordWrap/>
        <w:overflowPunct/>
        <w:topLinePunct w:val="0"/>
        <w:autoSpaceDE/>
        <w:autoSpaceDN/>
        <w:bidi w:val="0"/>
        <w:adjustRightInd/>
        <w:snapToGrid/>
        <w:spacing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合同期内，成交供应商应按合同约定品牌、规格或型号供货。如个别产品遇到停产情况或难以寻找货源的，成交供应商应优先寻找市面上同品牌、同型号、同规格参数的货物供应，若在市面上已无货源供应，成交供应商需提前15天书面告知采购人并经采购人同意后，提供等同或优于原参数的产品供应采购人使用，不得断供，否则视为成交供应商违约。</w:t>
      </w:r>
    </w:p>
    <w:p w14:paraId="450089BC">
      <w:pPr>
        <w:keepNext w:val="0"/>
        <w:keepLines w:val="0"/>
        <w:pageBreakBefore w:val="0"/>
        <w:kinsoku/>
        <w:wordWrap/>
        <w:overflowPunct/>
        <w:topLinePunct w:val="0"/>
        <w:autoSpaceDE/>
        <w:autoSpaceDN/>
        <w:bidi w:val="0"/>
        <w:adjustRightInd/>
        <w:snapToGrid/>
        <w:spacing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（4）合同期内，成交供应商所提供的货物在使用过程中，采购人发现以次充好或使用假冒伪劣产品2次以上，或者成交供应商超过规定交货期限15个自然日仍不能交货的，采购人有权单方终止合同。</w:t>
      </w:r>
    </w:p>
    <w:p w14:paraId="4E087859">
      <w:pPr>
        <w:keepNext w:val="0"/>
        <w:keepLines w:val="0"/>
        <w:pageBreakBefore w:val="0"/>
        <w:kinsoku/>
        <w:wordWrap/>
        <w:overflowPunct/>
        <w:topLinePunct w:val="0"/>
        <w:autoSpaceDE/>
        <w:autoSpaceDN/>
        <w:bidi w:val="0"/>
        <w:adjustRightInd/>
        <w:snapToGrid/>
        <w:spacing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（5）成交供应商在实施项目过程中如有违法违规行为的，采购人有权取消其供货资格，造成的一切损失由成交供应商承担。</w:t>
      </w:r>
    </w:p>
    <w:p w14:paraId="5FFC2500">
      <w:pPr>
        <w:keepNext w:val="0"/>
        <w:keepLines w:val="0"/>
        <w:pageBreakBefore w:val="0"/>
        <w:kinsoku/>
        <w:wordWrap/>
        <w:overflowPunct/>
        <w:topLinePunct w:val="0"/>
        <w:autoSpaceDE/>
        <w:autoSpaceDN/>
        <w:bidi w:val="0"/>
        <w:adjustRightInd/>
        <w:snapToGrid/>
        <w:spacing w:line="420" w:lineRule="exact"/>
        <w:rPr>
          <w:rFonts w:hint="eastAsia" w:eastAsia="宋体"/>
          <w:lang w:eastAsia="zh-CN"/>
        </w:rPr>
      </w:pPr>
      <w:r>
        <w:rPr>
          <w:rFonts w:hint="eastAsia" w:ascii="宋体" w:hAnsi="宋体" w:eastAsia="宋体" w:cs="宋体"/>
          <w:color w:val="auto"/>
          <w:sz w:val="24"/>
          <w:szCs w:val="24"/>
          <w:highlight w:val="none"/>
          <w:lang w:val="en-US" w:eastAsia="zh-CN"/>
        </w:rPr>
        <w:t>（6）成交供应商不得以任何方式转包或分包本项目，否则采购人有权单方终止项目。</w:t>
      </w:r>
    </w:p>
    <w:p w14:paraId="093C019C">
      <w:pPr>
        <w:keepNext w:val="0"/>
        <w:keepLines w:val="0"/>
        <w:pageBreakBefore w:val="0"/>
        <w:kinsoku/>
        <w:wordWrap/>
        <w:overflowPunct/>
        <w:topLinePunct w:val="0"/>
        <w:autoSpaceDE/>
        <w:autoSpaceDN/>
        <w:bidi w:val="0"/>
        <w:adjustRightInd/>
        <w:snapToGrid/>
        <w:spacing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（7）成交供应商向采购人提供产品全部相关资质证明。</w:t>
      </w:r>
    </w:p>
    <w:p w14:paraId="468505D1">
      <w:pPr>
        <w:keepNext w:val="0"/>
        <w:keepLines w:val="0"/>
        <w:pageBreakBefore w:val="0"/>
        <w:kinsoku/>
        <w:wordWrap/>
        <w:overflowPunct/>
        <w:topLinePunct w:val="0"/>
        <w:autoSpaceDE/>
        <w:autoSpaceDN/>
        <w:bidi w:val="0"/>
        <w:adjustRightInd/>
        <w:snapToGrid/>
        <w:spacing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成交供应商所提交的产品数量超出合同约定的部分，采购人有权拒绝接收；如采购人同意接收应按合同约定的价格计算货款。成交供应商所提交的产品数量少于合同约定的部分，成交供应商应在采购人要求的日期内补足并承担不足部分总价款20%的违约金。</w:t>
      </w:r>
    </w:p>
    <w:p w14:paraId="551A4E49">
      <w:pPr>
        <w:keepNext w:val="0"/>
        <w:keepLines w:val="0"/>
        <w:pageBreakBefore w:val="0"/>
        <w:kinsoku/>
        <w:wordWrap/>
        <w:overflowPunct/>
        <w:topLinePunct w:val="0"/>
        <w:autoSpaceDE/>
        <w:autoSpaceDN/>
        <w:bidi w:val="0"/>
        <w:adjustRightInd/>
        <w:snapToGrid/>
        <w:spacing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（9）如成交供应商未能按时保质交货，需支付违约金。</w:t>
      </w:r>
    </w:p>
    <w:p w14:paraId="0C6EA31D">
      <w:pPr>
        <w:keepNext w:val="0"/>
        <w:keepLines w:val="0"/>
        <w:pageBreakBefore w:val="0"/>
        <w:kinsoku/>
        <w:wordWrap/>
        <w:overflowPunct/>
        <w:topLinePunct w:val="0"/>
        <w:autoSpaceDE/>
        <w:autoSpaceDN/>
        <w:bidi w:val="0"/>
        <w:adjustRightInd/>
        <w:snapToGrid/>
        <w:spacing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（10）成交供应商送货上门，运费、更换、装卸费及保险费等一切相关费用均由成交供应商负责。</w:t>
      </w:r>
    </w:p>
    <w:p w14:paraId="0F37162F">
      <w:pPr>
        <w:keepNext w:val="0"/>
        <w:keepLines w:val="0"/>
        <w:pageBreakBefore w:val="0"/>
        <w:kinsoku/>
        <w:wordWrap/>
        <w:overflowPunct/>
        <w:topLinePunct w:val="0"/>
        <w:autoSpaceDE/>
        <w:autoSpaceDN/>
        <w:bidi w:val="0"/>
        <w:adjustRightInd/>
        <w:snapToGrid/>
        <w:spacing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（11）成交供应商应依照行业标准对采购人所购买的产品进行包装，以防止产品在转运中损坏、污染或侵权行为等，确保产品安全运抵指定地点。</w:t>
      </w:r>
    </w:p>
    <w:p w14:paraId="253D9061">
      <w:pPr>
        <w:keepNext w:val="0"/>
        <w:keepLines w:val="0"/>
        <w:pageBreakBefore w:val="0"/>
        <w:kinsoku/>
        <w:wordWrap/>
        <w:overflowPunct/>
        <w:topLinePunct w:val="0"/>
        <w:autoSpaceDE/>
        <w:autoSpaceDN/>
        <w:bidi w:val="0"/>
        <w:adjustRightInd/>
        <w:snapToGrid/>
        <w:spacing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（12）成交供应商不得无故拖延项目实施，否则，经采购人通知后，成交供应商未在采购人指定的合理期限内完成的，采购人有权向第三方采购，所产生的费用及一切经济损失由供应商自行承担。</w:t>
      </w:r>
    </w:p>
    <w:p w14:paraId="72272FF0">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420" w:lineRule="exact"/>
        <w:ind w:left="0" w:right="0" w:firstLine="0"/>
        <w:textAlignment w:val="baseline"/>
        <w:rPr>
          <w:rFonts w:hint="default" w:ascii="宋体" w:hAnsi="宋体" w:eastAsia="宋体" w:cs="宋体"/>
          <w:b/>
          <w:bCs/>
          <w:i w:val="0"/>
          <w:iCs w:val="0"/>
          <w:caps w:val="0"/>
          <w:color w:val="000000"/>
          <w:spacing w:val="0"/>
          <w:sz w:val="24"/>
          <w:szCs w:val="24"/>
          <w:lang w:val="en-US" w:eastAsia="zh-CN"/>
        </w:rPr>
      </w:pPr>
      <w:r>
        <w:rPr>
          <w:rFonts w:hint="eastAsia" w:ascii="宋体" w:hAnsi="宋体" w:eastAsia="宋体" w:cs="宋体"/>
          <w:b/>
          <w:bCs/>
          <w:i w:val="0"/>
          <w:iCs w:val="0"/>
          <w:caps w:val="0"/>
          <w:color w:val="000000"/>
          <w:spacing w:val="0"/>
          <w:sz w:val="24"/>
          <w:szCs w:val="24"/>
          <w:lang w:val="en-US" w:eastAsia="zh-CN"/>
        </w:rPr>
        <w:t>二、供应商资格要求</w:t>
      </w:r>
    </w:p>
    <w:p w14:paraId="1CB61F24">
      <w:pPr>
        <w:keepNext w:val="0"/>
        <w:keepLines w:val="0"/>
        <w:pageBreakBefore w:val="0"/>
        <w:kinsoku/>
        <w:wordWrap/>
        <w:overflowPunct/>
        <w:topLinePunct w:val="0"/>
        <w:autoSpaceDE/>
        <w:autoSpaceDN/>
        <w:bidi w:val="0"/>
        <w:adjustRightInd/>
        <w:snapToGrid/>
        <w:spacing w:line="420" w:lineRule="exact"/>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1.</w:t>
      </w:r>
      <w:r>
        <w:rPr>
          <w:rFonts w:hint="eastAsia" w:ascii="宋体" w:hAnsi="宋体" w:eastAsia="宋体" w:cs="宋体"/>
          <w:i w:val="0"/>
          <w:iCs w:val="0"/>
          <w:caps w:val="0"/>
          <w:color w:val="000000"/>
          <w:spacing w:val="0"/>
          <w:sz w:val="24"/>
          <w:szCs w:val="24"/>
          <w:lang w:val="en-US" w:eastAsia="zh-CN"/>
        </w:rPr>
        <w:t xml:space="preserve"> </w:t>
      </w:r>
      <w:r>
        <w:rPr>
          <w:rFonts w:hint="eastAsia" w:ascii="宋体" w:hAnsi="宋体" w:eastAsia="宋体" w:cs="宋体"/>
          <w:i w:val="0"/>
          <w:iCs w:val="0"/>
          <w:caps w:val="0"/>
          <w:color w:val="000000"/>
          <w:spacing w:val="0"/>
          <w:sz w:val="24"/>
          <w:szCs w:val="24"/>
        </w:rPr>
        <w:t>响应供应商必须是</w:t>
      </w:r>
      <w:r>
        <w:rPr>
          <w:rFonts w:hint="eastAsia" w:ascii="宋体" w:hAnsi="宋体" w:eastAsia="宋体" w:cs="宋体"/>
          <w:sz w:val="24"/>
          <w:szCs w:val="24"/>
        </w:rPr>
        <w:t>具有独立承担民事责任的能力：在中华人民共和国境内注册的法人或其他组织或自然人，投标（响应）时提交营业执照（或事业法人登记证或身份证等相关证明） 复印件。分支机构投标的，须提供总公司和分公司营业执照复印件，总公司出具给分支机构的授权书。</w:t>
      </w:r>
    </w:p>
    <w:p w14:paraId="51E4764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2.</w:t>
      </w:r>
      <w:r>
        <w:rPr>
          <w:rFonts w:hint="eastAsia" w:ascii="宋体" w:hAnsi="宋体" w:eastAsia="宋体" w:cs="宋体"/>
          <w:i w:val="0"/>
          <w:iCs w:val="0"/>
          <w:caps w:val="0"/>
          <w:color w:val="000000"/>
          <w:spacing w:val="0"/>
          <w:sz w:val="24"/>
          <w:szCs w:val="24"/>
          <w:lang w:val="en-US" w:eastAsia="zh-CN"/>
        </w:rPr>
        <w:t xml:space="preserve"> </w:t>
      </w:r>
      <w:r>
        <w:rPr>
          <w:rFonts w:hint="eastAsia" w:ascii="宋体" w:hAnsi="宋体" w:eastAsia="宋体" w:cs="宋体"/>
          <w:i w:val="0"/>
          <w:iCs w:val="0"/>
          <w:caps w:val="0"/>
          <w:color w:val="000000"/>
          <w:spacing w:val="0"/>
          <w:sz w:val="24"/>
          <w:szCs w:val="24"/>
        </w:rPr>
        <w:t>响应供应商</w:t>
      </w:r>
      <w:r>
        <w:rPr>
          <w:rFonts w:hint="eastAsia" w:ascii="宋体" w:hAnsi="宋体" w:eastAsia="宋体" w:cs="宋体"/>
          <w:i w:val="0"/>
          <w:iCs w:val="0"/>
          <w:caps w:val="0"/>
          <w:color w:val="000000"/>
          <w:spacing w:val="0"/>
          <w:sz w:val="24"/>
          <w:szCs w:val="24"/>
          <w:lang w:eastAsia="zh-CN"/>
        </w:rPr>
        <w:t>须持有</w:t>
      </w:r>
      <w:r>
        <w:rPr>
          <w:rFonts w:hint="eastAsia" w:ascii="宋体" w:hAnsi="宋体" w:eastAsia="宋体" w:cs="宋体"/>
          <w:i w:val="0"/>
          <w:iCs w:val="0"/>
          <w:caps w:val="0"/>
          <w:color w:val="000000"/>
          <w:spacing w:val="0"/>
          <w:sz w:val="24"/>
          <w:szCs w:val="24"/>
        </w:rPr>
        <w:t>有效的且具备相关经营范围的营业执照；</w:t>
      </w:r>
    </w:p>
    <w:p w14:paraId="059588B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0"/>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lang w:val="en-US" w:eastAsia="zh-CN"/>
        </w:rPr>
        <w:t>3</w:t>
      </w:r>
      <w:r>
        <w:rPr>
          <w:rFonts w:hint="eastAsia" w:ascii="宋体" w:hAnsi="宋体" w:eastAsia="宋体" w:cs="宋体"/>
          <w:i w:val="0"/>
          <w:iCs w:val="0"/>
          <w:caps w:val="0"/>
          <w:color w:val="000000"/>
          <w:spacing w:val="0"/>
          <w:sz w:val="24"/>
          <w:szCs w:val="24"/>
        </w:rPr>
        <w:t>.</w:t>
      </w:r>
      <w:r>
        <w:rPr>
          <w:rFonts w:hint="eastAsia" w:ascii="宋体" w:hAnsi="宋体" w:eastAsia="宋体" w:cs="宋体"/>
          <w:i w:val="0"/>
          <w:iCs w:val="0"/>
          <w:caps w:val="0"/>
          <w:color w:val="000000"/>
          <w:spacing w:val="0"/>
          <w:sz w:val="24"/>
          <w:szCs w:val="24"/>
          <w:lang w:val="en-US" w:eastAsia="zh-CN"/>
        </w:rPr>
        <w:t xml:space="preserve"> </w:t>
      </w:r>
      <w:r>
        <w:rPr>
          <w:rFonts w:hint="eastAsia" w:ascii="宋体" w:hAnsi="宋体" w:eastAsia="宋体" w:cs="宋体"/>
          <w:i w:val="0"/>
          <w:iCs w:val="0"/>
          <w:caps w:val="0"/>
          <w:color w:val="000000"/>
          <w:spacing w:val="0"/>
          <w:sz w:val="24"/>
          <w:szCs w:val="24"/>
        </w:rPr>
        <w:t>响应供应商应具有项目的承接能力、合同的履约能力、售后供应能力和良好的信誉；</w:t>
      </w:r>
    </w:p>
    <w:p w14:paraId="652063B4">
      <w:pPr>
        <w:keepNext w:val="0"/>
        <w:keepLines w:val="0"/>
        <w:pageBreakBefore w:val="0"/>
        <w:kinsoku/>
        <w:wordWrap/>
        <w:overflowPunct/>
        <w:topLinePunct w:val="0"/>
        <w:autoSpaceDE/>
        <w:autoSpaceDN/>
        <w:bidi w:val="0"/>
        <w:adjustRightInd/>
        <w:snapToGrid/>
        <w:spacing w:line="420" w:lineRule="exact"/>
        <w:rPr>
          <w:rFonts w:hint="eastAsia" w:ascii="宋体" w:hAnsi="宋体" w:eastAsia="宋体" w:cs="宋体"/>
          <w:i w:val="0"/>
          <w:iCs w:val="0"/>
          <w:caps w:val="0"/>
          <w:color w:val="000000"/>
          <w:spacing w:val="0"/>
          <w:sz w:val="24"/>
          <w:szCs w:val="24"/>
          <w:shd w:val="clear" w:fill="FFFFFF"/>
          <w:vertAlign w:val="baseline"/>
        </w:rPr>
      </w:pPr>
      <w:r>
        <w:rPr>
          <w:rFonts w:hint="eastAsia" w:ascii="宋体" w:hAnsi="宋体" w:eastAsia="宋体" w:cs="宋体"/>
          <w:i w:val="0"/>
          <w:iCs w:val="0"/>
          <w:caps w:val="0"/>
          <w:color w:val="000000"/>
          <w:spacing w:val="0"/>
          <w:sz w:val="24"/>
          <w:szCs w:val="24"/>
          <w:shd w:val="clear" w:fill="FFFFFF"/>
          <w:vertAlign w:val="baseline"/>
          <w:lang w:val="en-US" w:eastAsia="zh-CN"/>
        </w:rPr>
        <w:t>4</w:t>
      </w:r>
      <w:r>
        <w:rPr>
          <w:rFonts w:hint="eastAsia" w:ascii="宋体" w:hAnsi="宋体" w:eastAsia="宋体" w:cs="宋体"/>
          <w:i w:val="0"/>
          <w:iCs w:val="0"/>
          <w:caps w:val="0"/>
          <w:color w:val="000000"/>
          <w:spacing w:val="0"/>
          <w:sz w:val="24"/>
          <w:szCs w:val="24"/>
          <w:shd w:val="clear" w:fill="FFFFFF"/>
          <w:vertAlign w:val="baseline"/>
        </w:rPr>
        <w:t>.</w:t>
      </w:r>
      <w:r>
        <w:rPr>
          <w:rFonts w:hint="eastAsia" w:ascii="宋体" w:hAnsi="宋体" w:eastAsia="宋体" w:cs="宋体"/>
          <w:i w:val="0"/>
          <w:iCs w:val="0"/>
          <w:caps w:val="0"/>
          <w:color w:val="000000"/>
          <w:spacing w:val="0"/>
          <w:sz w:val="24"/>
          <w:szCs w:val="24"/>
          <w:shd w:val="clear"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fill="FFFFFF"/>
          <w:vertAlign w:val="baseline"/>
        </w:rPr>
        <w:t>响应供应商在参与公开招标活动中未有违法违纪行为并受过处罚，响应供应商无围标、串标行为。</w:t>
      </w:r>
    </w:p>
    <w:p w14:paraId="30D4F1E2">
      <w:pPr>
        <w:keepNext w:val="0"/>
        <w:keepLines w:val="0"/>
        <w:pageBreakBefore w:val="0"/>
        <w:widowControl w:val="0"/>
        <w:kinsoku/>
        <w:wordWrap/>
        <w:overflowPunct/>
        <w:topLinePunct w:val="0"/>
        <w:autoSpaceDE/>
        <w:autoSpaceDN/>
        <w:bidi w:val="0"/>
        <w:adjustRightInd/>
        <w:snapToGrid/>
        <w:spacing w:before="157" w:beforeLines="50" w:after="95" w:afterLines="30" w:line="420" w:lineRule="exact"/>
        <w:textAlignment w:val="auto"/>
        <w:rPr>
          <w:rFonts w:hint="eastAsia" w:ascii="宋体" w:hAnsi="宋体" w:eastAsia="宋体" w:cs="宋体"/>
          <w:b/>
          <w:color w:val="auto"/>
          <w:sz w:val="24"/>
          <w:szCs w:val="24"/>
          <w:highlight w:val="none"/>
          <w:lang w:val="en-US" w:eastAsia="zh-CN"/>
        </w:rPr>
      </w:pPr>
      <w:r>
        <w:rPr>
          <w:rStyle w:val="7"/>
          <w:rFonts w:hint="eastAsia" w:ascii="宋体" w:hAnsi="宋体" w:eastAsia="宋体" w:cs="宋体"/>
          <w:sz w:val="24"/>
          <w:szCs w:val="24"/>
          <w:lang w:eastAsia="zh-CN"/>
        </w:rPr>
        <w:t>三、</w:t>
      </w:r>
      <w:r>
        <w:rPr>
          <w:rFonts w:hint="eastAsia" w:ascii="宋体" w:hAnsi="宋体" w:eastAsia="宋体" w:cs="宋体"/>
          <w:b/>
          <w:color w:val="auto"/>
          <w:sz w:val="24"/>
          <w:szCs w:val="24"/>
          <w:highlight w:val="none"/>
          <w:lang w:val="en-US" w:eastAsia="zh-CN"/>
        </w:rPr>
        <w:t>采购清单及参数</w:t>
      </w:r>
    </w:p>
    <w:tbl>
      <w:tblPr>
        <w:tblStyle w:val="4"/>
        <w:tblW w:w="498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85" w:type="dxa"/>
          <w:left w:w="85" w:type="dxa"/>
          <w:bottom w:w="85" w:type="dxa"/>
          <w:right w:w="85" w:type="dxa"/>
        </w:tblCellMar>
      </w:tblPr>
      <w:tblGrid>
        <w:gridCol w:w="817"/>
        <w:gridCol w:w="2700"/>
        <w:gridCol w:w="1109"/>
        <w:gridCol w:w="2264"/>
        <w:gridCol w:w="1185"/>
        <w:gridCol w:w="1729"/>
      </w:tblGrid>
      <w:tr w14:paraId="5BB8C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93"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1942A">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ascii="宋体" w:hAnsi="宋体" w:eastAsia="宋体" w:cs="宋体"/>
                <w:b/>
                <w:bCs w:val="0"/>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序号</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716F8">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b/>
                <w:bCs w:val="0"/>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产品名称</w:t>
            </w:r>
          </w:p>
        </w:tc>
        <w:tc>
          <w:tcPr>
            <w:tcW w:w="5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90AD8">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b/>
                <w:bCs w:val="0"/>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在用</w:t>
            </w:r>
          </w:p>
          <w:p w14:paraId="457441CB">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b/>
                <w:bCs w:val="0"/>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品牌</w:t>
            </w:r>
          </w:p>
        </w:tc>
        <w:tc>
          <w:tcPr>
            <w:tcW w:w="11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11E6E">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b/>
                <w:bCs w:val="0"/>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规格</w:t>
            </w:r>
          </w:p>
          <w:p w14:paraId="148D23AC">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b/>
                <w:bCs w:val="0"/>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参数</w:t>
            </w:r>
          </w:p>
        </w:tc>
        <w:tc>
          <w:tcPr>
            <w:tcW w:w="6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A50C8">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b/>
                <w:bCs w:val="0"/>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数量</w:t>
            </w:r>
          </w:p>
          <w:p w14:paraId="2782C75E">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b/>
                <w:bCs w:val="0"/>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（个）</w:t>
            </w:r>
          </w:p>
        </w:tc>
        <w:tc>
          <w:tcPr>
            <w:tcW w:w="8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E51D4">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b/>
                <w:bCs w:val="0"/>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单价最高限价</w:t>
            </w:r>
          </w:p>
          <w:p w14:paraId="09780A41">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b/>
                <w:bCs w:val="0"/>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（元）</w:t>
            </w:r>
          </w:p>
        </w:tc>
      </w:tr>
      <w:tr w14:paraId="7DEF4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85" w:type="dxa"/>
            <w:bottom w:w="85" w:type="dxa"/>
            <w:right w:w="85" w:type="dxa"/>
          </w:tblCellMar>
        </w:tblPrEx>
        <w:trPr>
          <w:trHeight w:val="193"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763DC">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1</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918A2">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三相自愈式低压电容器</w:t>
            </w:r>
          </w:p>
        </w:tc>
        <w:tc>
          <w:tcPr>
            <w:tcW w:w="5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9573A">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指月</w:t>
            </w:r>
          </w:p>
        </w:tc>
        <w:tc>
          <w:tcPr>
            <w:tcW w:w="11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EA5B8">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额定容量：30kvar</w:t>
            </w:r>
          </w:p>
          <w:p w14:paraId="72E89F3A">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额定电压：450V</w:t>
            </w:r>
          </w:p>
          <w:p w14:paraId="50B99AE3">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额定频率：50Hz</w:t>
            </w:r>
          </w:p>
        </w:tc>
        <w:tc>
          <w:tcPr>
            <w:tcW w:w="6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F7334">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20</w:t>
            </w:r>
          </w:p>
        </w:tc>
        <w:tc>
          <w:tcPr>
            <w:tcW w:w="8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1E810">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270</w:t>
            </w:r>
          </w:p>
        </w:tc>
      </w:tr>
      <w:tr w14:paraId="0AC8F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5" w:type="dxa"/>
            <w:left w:w="85" w:type="dxa"/>
            <w:bottom w:w="85" w:type="dxa"/>
            <w:right w:w="85" w:type="dxa"/>
          </w:tblCellMar>
        </w:tblPrEx>
        <w:trPr>
          <w:trHeight w:val="193" w:hRule="atLeast"/>
          <w:jc w:val="center"/>
        </w:trPr>
        <w:tc>
          <w:tcPr>
            <w:tcW w:w="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782ED">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2</w:t>
            </w:r>
          </w:p>
        </w:tc>
        <w:tc>
          <w:tcPr>
            <w:tcW w:w="1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EB664">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三相自愈式低压电容器</w:t>
            </w:r>
          </w:p>
        </w:tc>
        <w:tc>
          <w:tcPr>
            <w:tcW w:w="5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EFFDD">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指月</w:t>
            </w:r>
          </w:p>
        </w:tc>
        <w:tc>
          <w:tcPr>
            <w:tcW w:w="11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458DA">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额定容量：40kvar</w:t>
            </w:r>
          </w:p>
          <w:p w14:paraId="6D58DAAD">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额定电压：450V</w:t>
            </w:r>
          </w:p>
          <w:p w14:paraId="5697675E">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额定频率：50Hz</w:t>
            </w:r>
          </w:p>
        </w:tc>
        <w:tc>
          <w:tcPr>
            <w:tcW w:w="6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FE0FC">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20</w:t>
            </w:r>
          </w:p>
        </w:tc>
        <w:tc>
          <w:tcPr>
            <w:tcW w:w="8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6915F">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350</w:t>
            </w:r>
          </w:p>
        </w:tc>
      </w:tr>
    </w:tbl>
    <w:p w14:paraId="685837B0">
      <w:pPr>
        <w:keepNext w:val="0"/>
        <w:keepLines w:val="0"/>
        <w:pageBreakBefore w:val="0"/>
        <w:widowControl w:val="0"/>
        <w:kinsoku/>
        <w:wordWrap/>
        <w:overflowPunct/>
        <w:topLinePunct w:val="0"/>
        <w:autoSpaceDE/>
        <w:autoSpaceDN/>
        <w:bidi w:val="0"/>
        <w:adjustRightInd/>
        <w:snapToGrid/>
        <w:spacing w:before="63" w:beforeLines="20" w:line="420" w:lineRule="exact"/>
        <w:textAlignment w:val="auto"/>
        <w:outlineLvl w:val="1"/>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注：该数量为预估数量，最终结算以实际发生量为准。</w:t>
      </w:r>
    </w:p>
    <w:p w14:paraId="6D2A02EA">
      <w:pPr>
        <w:keepNext w:val="0"/>
        <w:keepLines w:val="0"/>
        <w:pageBreakBefore w:val="0"/>
        <w:widowControl w:val="0"/>
        <w:kinsoku/>
        <w:wordWrap/>
        <w:overflowPunct/>
        <w:topLinePunct w:val="0"/>
        <w:autoSpaceDE/>
        <w:autoSpaceDN/>
        <w:bidi w:val="0"/>
        <w:adjustRightInd/>
        <w:snapToGrid/>
        <w:spacing w:before="157" w:beforeLines="50" w:line="420" w:lineRule="exact"/>
        <w:textAlignment w:val="auto"/>
        <w:outlineLvl w:val="1"/>
        <w:rPr>
          <w:rFonts w:hint="eastAsia" w:ascii="宋体" w:hAnsi="宋体" w:eastAsia="宋体" w:cs="宋体"/>
          <w:color w:val="auto"/>
          <w:sz w:val="24"/>
          <w:szCs w:val="24"/>
          <w:lang w:val="en-US" w:eastAsia="zh-CN"/>
        </w:rPr>
      </w:pPr>
      <w:r>
        <w:rPr>
          <w:rFonts w:hint="eastAsia" w:ascii="宋体" w:hAnsi="宋体" w:eastAsia="宋体" w:cs="宋体"/>
          <w:b/>
          <w:color w:val="auto"/>
          <w:sz w:val="24"/>
          <w:szCs w:val="24"/>
          <w:highlight w:val="none"/>
          <w:lang w:val="en-US" w:eastAsia="zh-CN"/>
        </w:rPr>
        <w:t>四、响应报价要求</w:t>
      </w:r>
    </w:p>
    <w:p w14:paraId="056782FD">
      <w:pPr>
        <w:keepNext w:val="0"/>
        <w:keepLines w:val="0"/>
        <w:pageBreakBefore w:val="0"/>
        <w:widowControl w:val="0"/>
        <w:numPr>
          <w:ilvl w:val="0"/>
          <w:numId w:val="0"/>
        </w:numPr>
        <w:kinsoku/>
        <w:wordWrap/>
        <w:overflowPunct/>
        <w:topLinePunct w:val="0"/>
        <w:autoSpaceDE/>
        <w:autoSpaceDN/>
        <w:bidi w:val="0"/>
        <w:adjustRightInd/>
        <w:snapToGrid/>
        <w:spacing w:line="420" w:lineRule="exact"/>
        <w:textAlignment w:val="auto"/>
        <w:rPr>
          <w:rFonts w:hint="eastAsia" w:ascii="宋体" w:hAnsi="宋体" w:eastAsia="宋体" w:cs="宋体"/>
          <w:b w:val="0"/>
          <w:color w:val="auto"/>
          <w:sz w:val="24"/>
          <w:szCs w:val="24"/>
          <w:lang w:val="en-US" w:eastAsia="zh-CN"/>
        </w:rPr>
      </w:pPr>
      <w:r>
        <w:rPr>
          <w:rFonts w:hint="eastAsia" w:ascii="宋体" w:hAnsi="宋体" w:eastAsia="宋体" w:cs="宋体"/>
          <w:color w:val="auto"/>
          <w:sz w:val="24"/>
          <w:szCs w:val="24"/>
          <w:lang w:val="en-US" w:eastAsia="zh-CN"/>
        </w:rPr>
        <w:t xml:space="preserve">1. </w:t>
      </w:r>
      <w:r>
        <w:rPr>
          <w:rFonts w:hint="eastAsia" w:ascii="宋体" w:hAnsi="宋体" w:eastAsia="宋体" w:cs="宋体"/>
          <w:b w:val="0"/>
          <w:bCs w:val="0"/>
          <w:color w:val="auto"/>
          <w:sz w:val="24"/>
          <w:szCs w:val="24"/>
        </w:rPr>
        <w:t>供应商</w:t>
      </w:r>
      <w:r>
        <w:rPr>
          <w:rFonts w:hint="eastAsia" w:ascii="宋体" w:hAnsi="宋体" w:eastAsia="宋体" w:cs="宋体"/>
          <w:b w:val="0"/>
          <w:bCs w:val="0"/>
          <w:color w:val="auto"/>
          <w:sz w:val="24"/>
          <w:szCs w:val="24"/>
          <w:lang w:eastAsia="zh-CN"/>
        </w:rPr>
        <w:t>须依据</w:t>
      </w:r>
      <w:r>
        <w:rPr>
          <w:rFonts w:hint="eastAsia" w:ascii="宋体" w:hAnsi="宋体" w:eastAsia="宋体" w:cs="宋体"/>
          <w:sz w:val="24"/>
          <w:szCs w:val="24"/>
        </w:rPr>
        <w:t>项目</w:t>
      </w:r>
      <w:r>
        <w:rPr>
          <w:rFonts w:hint="eastAsia" w:ascii="宋体" w:hAnsi="宋体" w:eastAsia="宋体" w:cs="宋体"/>
          <w:b w:val="0"/>
          <w:bCs w:val="0"/>
          <w:color w:val="auto"/>
          <w:sz w:val="24"/>
          <w:szCs w:val="24"/>
        </w:rPr>
        <w:t>采购</w:t>
      </w:r>
      <w:r>
        <w:rPr>
          <w:rFonts w:hint="eastAsia" w:ascii="宋体" w:hAnsi="宋体" w:eastAsia="宋体" w:cs="宋体"/>
          <w:b w:val="0"/>
          <w:bCs w:val="0"/>
          <w:color w:val="auto"/>
          <w:sz w:val="24"/>
          <w:szCs w:val="24"/>
          <w:lang w:eastAsia="zh-CN"/>
        </w:rPr>
        <w:t>清单</w:t>
      </w:r>
      <w:r>
        <w:rPr>
          <w:rFonts w:hint="eastAsia" w:ascii="宋体" w:hAnsi="宋体" w:eastAsia="宋体" w:cs="宋体"/>
          <w:b w:val="0"/>
          <w:bCs w:val="0"/>
          <w:color w:val="auto"/>
          <w:sz w:val="24"/>
          <w:szCs w:val="24"/>
          <w:lang w:val="en-US" w:eastAsia="zh-CN"/>
        </w:rPr>
        <w:t>分项报出单价金额、品牌及规格参数，</w:t>
      </w:r>
      <w:r>
        <w:rPr>
          <w:rFonts w:hint="eastAsia" w:ascii="宋体" w:hAnsi="宋体" w:eastAsia="宋体" w:cs="宋体"/>
          <w:color w:val="auto"/>
          <w:sz w:val="24"/>
          <w:szCs w:val="24"/>
          <w:lang w:val="en-US" w:eastAsia="zh-CN"/>
        </w:rPr>
        <w:t>超</w:t>
      </w:r>
      <w:r>
        <w:rPr>
          <w:rFonts w:hint="eastAsia" w:ascii="宋体" w:hAnsi="宋体" w:eastAsia="宋体" w:cs="宋体"/>
          <w:color w:val="auto"/>
          <w:sz w:val="24"/>
          <w:szCs w:val="24"/>
        </w:rPr>
        <w:t>出</w:t>
      </w:r>
      <w:r>
        <w:rPr>
          <w:rFonts w:hint="eastAsia" w:ascii="宋体" w:hAnsi="宋体" w:eastAsia="宋体" w:cs="宋体"/>
          <w:color w:val="auto"/>
          <w:sz w:val="24"/>
          <w:szCs w:val="24"/>
          <w:lang w:val="en-US" w:eastAsia="zh-CN"/>
        </w:rPr>
        <w:t>预算金额</w:t>
      </w:r>
      <w:r>
        <w:rPr>
          <w:rFonts w:hint="eastAsia" w:ascii="宋体" w:hAnsi="宋体" w:eastAsia="宋体" w:cs="宋体"/>
          <w:color w:val="auto"/>
          <w:sz w:val="24"/>
          <w:szCs w:val="24"/>
        </w:rPr>
        <w:t>范围</w:t>
      </w:r>
      <w:r>
        <w:rPr>
          <w:rFonts w:hint="eastAsia" w:ascii="宋体" w:hAnsi="宋体" w:eastAsia="宋体" w:cs="宋体"/>
          <w:color w:val="auto"/>
          <w:sz w:val="24"/>
          <w:szCs w:val="24"/>
          <w:lang w:val="en-US" w:eastAsia="zh-CN"/>
        </w:rPr>
        <w:t>视为</w:t>
      </w:r>
      <w:r>
        <w:rPr>
          <w:rFonts w:hint="eastAsia" w:ascii="宋体" w:hAnsi="宋体" w:eastAsia="宋体" w:cs="宋体"/>
          <w:color w:val="auto"/>
          <w:sz w:val="24"/>
          <w:szCs w:val="24"/>
        </w:rPr>
        <w:t>无效</w:t>
      </w:r>
      <w:r>
        <w:rPr>
          <w:rFonts w:hint="eastAsia" w:ascii="宋体" w:hAnsi="宋体" w:eastAsia="宋体" w:cs="宋体"/>
          <w:color w:val="auto"/>
          <w:sz w:val="24"/>
          <w:szCs w:val="24"/>
          <w:lang w:val="en-US" w:eastAsia="zh-CN"/>
        </w:rPr>
        <w:t>响应（报价格式详见附件一《响应文件模板》）</w:t>
      </w:r>
      <w:bookmarkStart w:id="1" w:name="_GoBack"/>
      <w:bookmarkEnd w:id="1"/>
      <w:r>
        <w:rPr>
          <w:rFonts w:hint="eastAsia" w:ascii="宋体" w:hAnsi="宋体" w:eastAsia="宋体" w:cs="宋体"/>
          <w:color w:val="auto"/>
          <w:sz w:val="24"/>
          <w:szCs w:val="24"/>
        </w:rPr>
        <w:t>。</w:t>
      </w:r>
      <w:r>
        <w:rPr>
          <w:rFonts w:hint="eastAsia" w:ascii="宋体" w:hAnsi="宋体" w:eastAsia="宋体" w:cs="宋体"/>
          <w:b w:val="0"/>
          <w:color w:val="auto"/>
          <w:sz w:val="24"/>
          <w:szCs w:val="24"/>
        </w:rPr>
        <w:t>各类货物实际供货</w:t>
      </w:r>
      <w:r>
        <w:rPr>
          <w:rFonts w:hint="eastAsia" w:ascii="宋体" w:hAnsi="宋体" w:eastAsia="宋体" w:cs="宋体"/>
          <w:b w:val="0"/>
          <w:color w:val="auto"/>
          <w:sz w:val="24"/>
          <w:szCs w:val="24"/>
          <w:lang w:val="en-US" w:eastAsia="zh-CN"/>
        </w:rPr>
        <w:t>单</w:t>
      </w:r>
      <w:r>
        <w:rPr>
          <w:rFonts w:hint="eastAsia" w:ascii="宋体" w:hAnsi="宋体" w:eastAsia="宋体" w:cs="宋体"/>
          <w:b w:val="0"/>
          <w:color w:val="auto"/>
          <w:sz w:val="24"/>
          <w:szCs w:val="24"/>
        </w:rPr>
        <w:t>价</w:t>
      </w:r>
      <w:r>
        <w:rPr>
          <w:rFonts w:hint="eastAsia" w:ascii="宋体" w:hAnsi="宋体" w:cs="宋体"/>
          <w:b w:val="0"/>
          <w:color w:val="auto"/>
          <w:sz w:val="24"/>
          <w:szCs w:val="24"/>
          <w:lang w:val="en-US" w:eastAsia="zh-CN"/>
        </w:rPr>
        <w:t xml:space="preserve"> </w:t>
      </w:r>
      <w:r>
        <w:rPr>
          <w:rFonts w:hint="eastAsia" w:ascii="宋体" w:hAnsi="宋体" w:eastAsia="宋体" w:cs="宋体"/>
          <w:b w:val="0"/>
          <w:color w:val="auto"/>
          <w:sz w:val="24"/>
          <w:szCs w:val="24"/>
        </w:rPr>
        <w:t>=</w:t>
      </w:r>
      <w:r>
        <w:rPr>
          <w:rFonts w:hint="eastAsia" w:ascii="宋体" w:hAnsi="宋体" w:cs="宋体"/>
          <w:b w:val="0"/>
          <w:color w:val="auto"/>
          <w:sz w:val="24"/>
          <w:szCs w:val="24"/>
          <w:lang w:val="en-US" w:eastAsia="zh-CN"/>
        </w:rPr>
        <w:t xml:space="preserve"> </w:t>
      </w:r>
      <w:r>
        <w:rPr>
          <w:rFonts w:hint="eastAsia" w:ascii="宋体" w:hAnsi="宋体" w:eastAsia="宋体" w:cs="宋体"/>
          <w:b w:val="0"/>
          <w:color w:val="auto"/>
          <w:sz w:val="24"/>
          <w:szCs w:val="24"/>
          <w:lang w:val="en-US" w:eastAsia="zh-CN"/>
        </w:rPr>
        <w:t>响应报价单价</w:t>
      </w:r>
      <w:r>
        <w:rPr>
          <w:rFonts w:hint="eastAsia" w:ascii="宋体" w:hAnsi="宋体" w:eastAsia="宋体" w:cs="宋体"/>
          <w:b w:val="0"/>
          <w:color w:val="auto"/>
          <w:sz w:val="24"/>
          <w:szCs w:val="24"/>
        </w:rPr>
        <w:t>×</w:t>
      </w:r>
      <w:r>
        <w:rPr>
          <w:rFonts w:hint="eastAsia" w:ascii="宋体" w:hAnsi="宋体" w:eastAsia="宋体" w:cs="宋体"/>
          <w:b w:val="0"/>
          <w:color w:val="auto"/>
          <w:sz w:val="24"/>
          <w:szCs w:val="24"/>
          <w:lang w:val="en-US" w:eastAsia="zh-CN"/>
        </w:rPr>
        <w:t>实际发生数量</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四舍五入保留至小数点后两位</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lang w:eastAsia="zh-CN"/>
        </w:rPr>
        <w:t>，该</w:t>
      </w:r>
      <w:r>
        <w:rPr>
          <w:rFonts w:hint="eastAsia" w:ascii="宋体" w:hAnsi="宋体" w:eastAsia="宋体" w:cs="宋体"/>
          <w:b w:val="0"/>
          <w:color w:val="auto"/>
          <w:sz w:val="24"/>
          <w:szCs w:val="24"/>
          <w:lang w:val="en-US" w:eastAsia="zh-CN"/>
        </w:rPr>
        <w:t>单价为合同期内的最终价格，合同期内不再随市场同类商品价格调整而调整。</w:t>
      </w:r>
    </w:p>
    <w:p w14:paraId="0A7F6EA3">
      <w:pPr>
        <w:keepNext w:val="0"/>
        <w:keepLines w:val="0"/>
        <w:pageBreakBefore w:val="0"/>
        <w:kinsoku/>
        <w:wordWrap/>
        <w:overflowPunct/>
        <w:topLinePunct w:val="0"/>
        <w:bidi w:val="0"/>
        <w:adjustRightInd/>
        <w:snapToGrid/>
        <w:spacing w:line="42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 </w:t>
      </w:r>
      <w:r>
        <w:rPr>
          <w:rFonts w:hint="eastAsia" w:ascii="宋体" w:hAnsi="宋体" w:eastAsia="宋体" w:cs="宋体"/>
          <w:color w:val="auto"/>
          <w:sz w:val="24"/>
          <w:szCs w:val="24"/>
        </w:rPr>
        <w:t>本次</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报价应为人民币含税全包价，包括</w:t>
      </w:r>
      <w:r>
        <w:rPr>
          <w:rFonts w:hint="eastAsia" w:ascii="宋体" w:hAnsi="宋体" w:eastAsia="宋体" w:cs="宋体"/>
          <w:color w:val="auto"/>
          <w:sz w:val="24"/>
          <w:szCs w:val="24"/>
          <w:lang w:val="en-US" w:eastAsia="zh-CN"/>
        </w:rPr>
        <w:t>货物</w:t>
      </w:r>
      <w:r>
        <w:rPr>
          <w:rFonts w:hint="eastAsia" w:ascii="宋体" w:hAnsi="宋体" w:eastAsia="宋体" w:cs="宋体"/>
          <w:color w:val="auto"/>
          <w:sz w:val="24"/>
          <w:szCs w:val="24"/>
        </w:rPr>
        <w:t>价格、包装费、运杂费、保险费、卸车费、配合费、检测费、配送费、</w:t>
      </w:r>
      <w:r>
        <w:rPr>
          <w:rFonts w:hint="eastAsia" w:ascii="宋体" w:hAnsi="宋体" w:eastAsia="宋体" w:cs="宋体"/>
          <w:color w:val="auto"/>
          <w:sz w:val="24"/>
          <w:szCs w:val="24"/>
          <w:highlight w:val="none"/>
          <w:lang w:val="en-US" w:eastAsia="zh-CN"/>
        </w:rPr>
        <w:t>更换人工费、更换材料费、</w:t>
      </w:r>
      <w:r>
        <w:rPr>
          <w:rFonts w:hint="eastAsia" w:ascii="宋体" w:hAnsi="宋体" w:eastAsia="宋体" w:cs="宋体"/>
          <w:color w:val="auto"/>
          <w:sz w:val="24"/>
          <w:szCs w:val="24"/>
        </w:rPr>
        <w:t>税金</w:t>
      </w:r>
      <w:r>
        <w:rPr>
          <w:rFonts w:hint="eastAsia" w:ascii="宋体" w:hAnsi="宋体" w:eastAsia="宋体" w:cs="宋体"/>
          <w:color w:val="auto"/>
          <w:sz w:val="24"/>
          <w:szCs w:val="24"/>
          <w:lang w:eastAsia="zh-CN"/>
        </w:rPr>
        <w:t>以及</w:t>
      </w:r>
      <w:r>
        <w:rPr>
          <w:rFonts w:hint="eastAsia" w:ascii="宋体" w:hAnsi="宋体" w:eastAsia="宋体" w:cs="宋体"/>
          <w:color w:val="auto"/>
          <w:sz w:val="24"/>
          <w:szCs w:val="24"/>
          <w:lang w:val="en-US" w:eastAsia="zh-CN"/>
        </w:rPr>
        <w:t>本项目执行过程中</w:t>
      </w:r>
      <w:r>
        <w:rPr>
          <w:rFonts w:hint="eastAsia" w:ascii="宋体" w:hAnsi="宋体" w:eastAsia="宋体" w:cs="宋体"/>
          <w:color w:val="auto"/>
          <w:sz w:val="24"/>
          <w:szCs w:val="24"/>
        </w:rPr>
        <w:t>需要的其他费用</w:t>
      </w:r>
      <w:r>
        <w:rPr>
          <w:rFonts w:hint="eastAsia" w:ascii="宋体" w:hAnsi="宋体" w:eastAsia="宋体" w:cs="宋体"/>
          <w:i w:val="0"/>
          <w:iCs w:val="0"/>
          <w:caps w:val="0"/>
          <w:color w:val="auto"/>
          <w:spacing w:val="0"/>
          <w:sz w:val="24"/>
          <w:szCs w:val="24"/>
          <w:shd w:val="clear" w:fill="FFFFFF"/>
        </w:rPr>
        <w:t>或合同实施过程中不可预见的费用等，响应供应商不得再向采购人收取任何费用。</w:t>
      </w:r>
    </w:p>
    <w:p w14:paraId="699A4B3B">
      <w:pPr>
        <w:keepNext w:val="0"/>
        <w:keepLines w:val="0"/>
        <w:pageBreakBefore w:val="0"/>
        <w:kinsoku/>
        <w:wordWrap/>
        <w:overflowPunct/>
        <w:topLinePunct w:val="0"/>
        <w:bidi w:val="0"/>
        <w:adjustRightInd/>
        <w:snapToGrid/>
        <w:spacing w:line="42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 </w:t>
      </w:r>
      <w:r>
        <w:rPr>
          <w:rFonts w:hint="eastAsia" w:ascii="宋体" w:hAnsi="宋体" w:eastAsia="宋体" w:cs="宋体"/>
          <w:color w:val="auto"/>
          <w:sz w:val="24"/>
          <w:szCs w:val="24"/>
        </w:rPr>
        <w:t>响应供应商</w:t>
      </w:r>
      <w:r>
        <w:rPr>
          <w:rFonts w:hint="eastAsia" w:ascii="宋体" w:hAnsi="宋体" w:eastAsia="宋体" w:cs="宋体"/>
          <w:color w:val="auto"/>
          <w:sz w:val="24"/>
          <w:szCs w:val="24"/>
          <w:lang w:val="en-US" w:eastAsia="zh-CN"/>
        </w:rPr>
        <w:t>须对采购清单的内容进行整体响应</w:t>
      </w:r>
      <w:r>
        <w:rPr>
          <w:rFonts w:hint="eastAsia" w:ascii="宋体" w:hAnsi="宋体" w:eastAsia="宋体" w:cs="宋体"/>
          <w:color w:val="auto"/>
          <w:sz w:val="24"/>
          <w:szCs w:val="24"/>
        </w:rPr>
        <w:t>，仅对其中一</w:t>
      </w:r>
      <w:r>
        <w:rPr>
          <w:rFonts w:hint="eastAsia" w:ascii="宋体" w:hAnsi="宋体" w:eastAsia="宋体" w:cs="宋体"/>
          <w:color w:val="auto"/>
          <w:sz w:val="24"/>
          <w:szCs w:val="24"/>
          <w:lang w:val="en-US" w:eastAsia="zh-CN"/>
        </w:rPr>
        <w:t>项</w:t>
      </w:r>
      <w:r>
        <w:rPr>
          <w:rFonts w:hint="eastAsia" w:ascii="宋体" w:hAnsi="宋体" w:eastAsia="宋体" w:cs="宋体"/>
          <w:color w:val="auto"/>
          <w:sz w:val="24"/>
          <w:szCs w:val="24"/>
        </w:rPr>
        <w:t>产品作出响应的，缺项、漏项</w:t>
      </w:r>
      <w:r>
        <w:rPr>
          <w:rFonts w:hint="eastAsia" w:ascii="宋体" w:hAnsi="宋体" w:eastAsia="宋体" w:cs="宋体"/>
          <w:color w:val="auto"/>
          <w:sz w:val="24"/>
          <w:szCs w:val="24"/>
          <w:lang w:val="en-US" w:eastAsia="zh-CN"/>
        </w:rPr>
        <w:t>、超出预算金额的报价均</w:t>
      </w:r>
      <w:r>
        <w:rPr>
          <w:rFonts w:hint="eastAsia" w:ascii="宋体" w:hAnsi="宋体" w:eastAsia="宋体" w:cs="宋体"/>
          <w:color w:val="auto"/>
          <w:sz w:val="24"/>
          <w:szCs w:val="24"/>
        </w:rPr>
        <w:t>为无效报价。</w:t>
      </w:r>
    </w:p>
    <w:p w14:paraId="391FA02B">
      <w:pPr>
        <w:keepNext w:val="0"/>
        <w:keepLines w:val="0"/>
        <w:pageBreakBefore w:val="0"/>
        <w:kinsoku/>
        <w:wordWrap/>
        <w:overflowPunct/>
        <w:topLinePunct w:val="0"/>
        <w:bidi w:val="0"/>
        <w:adjustRightInd/>
        <w:snapToGrid/>
        <w:spacing w:line="420" w:lineRule="exac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 响应供应商在响应报价文件中需提供近三年内同类项目业绩相关证明文件。（如有）</w:t>
      </w:r>
    </w:p>
    <w:p w14:paraId="5948E6F0">
      <w:pPr>
        <w:keepNext w:val="0"/>
        <w:keepLines w:val="0"/>
        <w:pageBreakBefore w:val="0"/>
        <w:widowControl w:val="0"/>
        <w:kinsoku/>
        <w:wordWrap/>
        <w:overflowPunct/>
        <w:topLinePunct w:val="0"/>
        <w:autoSpaceDE/>
        <w:autoSpaceDN/>
        <w:bidi w:val="0"/>
        <w:adjustRightInd/>
        <w:snapToGrid/>
        <w:spacing w:before="157" w:beforeLines="50" w:line="420" w:lineRule="exact"/>
        <w:textAlignment w:val="auto"/>
        <w:outlineLvl w:val="1"/>
        <w:rPr>
          <w:rFonts w:hint="eastAsia" w:ascii="宋体" w:hAnsi="宋体" w:eastAsia="宋体" w:cs="宋体"/>
          <w:color w:val="auto"/>
          <w:sz w:val="24"/>
          <w:szCs w:val="24"/>
          <w:lang w:val="en-US" w:eastAsia="zh-CN"/>
        </w:rPr>
      </w:pPr>
      <w:r>
        <w:rPr>
          <w:rFonts w:hint="eastAsia" w:ascii="宋体" w:hAnsi="宋体" w:eastAsia="宋体" w:cs="宋体"/>
          <w:b/>
          <w:color w:val="auto"/>
          <w:sz w:val="24"/>
          <w:szCs w:val="24"/>
          <w:highlight w:val="none"/>
          <w:lang w:val="en-US" w:eastAsia="zh-CN"/>
        </w:rPr>
        <w:t>五、技术要求</w:t>
      </w:r>
    </w:p>
    <w:p w14:paraId="57FB7526">
      <w:pPr>
        <w:keepNext w:val="0"/>
        <w:keepLines w:val="0"/>
        <w:pageBreakBefore w:val="0"/>
        <w:kinsoku/>
        <w:wordWrap/>
        <w:overflowPunct/>
        <w:topLinePunct w:val="0"/>
        <w:autoSpaceDE w:val="0"/>
        <w:autoSpaceDN w:val="0"/>
        <w:bidi w:val="0"/>
        <w:adjustRightInd/>
        <w:snapToGrid/>
        <w:spacing w:line="4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 成交供应商应提供已注册品牌制造商原装、全新、符合国家及采购人提出的有关质量标准的产品。</w:t>
      </w:r>
    </w:p>
    <w:p w14:paraId="02FDEA92">
      <w:pPr>
        <w:keepNext w:val="0"/>
        <w:keepLines w:val="0"/>
        <w:pageBreakBefore w:val="0"/>
        <w:kinsoku/>
        <w:wordWrap/>
        <w:overflowPunct/>
        <w:topLinePunct w:val="0"/>
        <w:autoSpaceDE w:val="0"/>
        <w:autoSpaceDN w:val="0"/>
        <w:bidi w:val="0"/>
        <w:adjustRightInd/>
        <w:snapToGrid/>
        <w:spacing w:line="4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 所有货物在开箱检验时必须完好，无破损，配置与装箱单相符。</w:t>
      </w:r>
    </w:p>
    <w:p w14:paraId="2D237BB6">
      <w:pPr>
        <w:keepNext w:val="0"/>
        <w:keepLines w:val="0"/>
        <w:pageBreakBefore w:val="0"/>
        <w:kinsoku/>
        <w:wordWrap/>
        <w:overflowPunct/>
        <w:topLinePunct w:val="0"/>
        <w:autoSpaceDE w:val="0"/>
        <w:autoSpaceDN w:val="0"/>
        <w:bidi w:val="0"/>
        <w:adjustRightInd/>
        <w:snapToGrid/>
        <w:spacing w:line="4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 成交供应商所提供产品的性能、配置参数等不能低于采购文件所提出的要求。</w:t>
      </w:r>
    </w:p>
    <w:p w14:paraId="69D8FF8B">
      <w:pPr>
        <w:keepNext w:val="0"/>
        <w:keepLines w:val="0"/>
        <w:pageBreakBefore w:val="0"/>
        <w:kinsoku/>
        <w:wordWrap/>
        <w:overflowPunct/>
        <w:topLinePunct w:val="0"/>
        <w:autoSpaceDE w:val="0"/>
        <w:autoSpaceDN w:val="0"/>
        <w:bidi w:val="0"/>
        <w:adjustRightInd/>
        <w:snapToGrid/>
        <w:spacing w:line="4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 成交供应商所提供的货物必须符合国家有关规范和环保要求及采购人的技术要求。所有货物及服务不得侵犯第三方专利权、商标权、工业设计权、所有权和著作权（版权）等。否则，成交供应商须承担对第三方的专利、商标或版权等的侵权责任，并承担因此而发生的一切费用，采购人不承担与之相关的任何经济和法律责任。</w:t>
      </w:r>
    </w:p>
    <w:p w14:paraId="13742DD8">
      <w:pPr>
        <w:keepNext w:val="0"/>
        <w:keepLines w:val="0"/>
        <w:pageBreakBefore w:val="0"/>
        <w:kinsoku/>
        <w:wordWrap/>
        <w:overflowPunct/>
        <w:topLinePunct w:val="0"/>
        <w:autoSpaceDE w:val="0"/>
        <w:autoSpaceDN w:val="0"/>
        <w:bidi w:val="0"/>
        <w:adjustRightInd/>
        <w:snapToGrid/>
        <w:spacing w:line="4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 成交供应商不得经营未经注册、无合格证明、过期、失效或者淘汰的产品，如因产品质量原因造成的一切损失由成交供应商承担全部责任。</w:t>
      </w:r>
    </w:p>
    <w:p w14:paraId="7E941CBA">
      <w:pPr>
        <w:keepNext w:val="0"/>
        <w:keepLines w:val="0"/>
        <w:pageBreakBefore w:val="0"/>
        <w:widowControl w:val="0"/>
        <w:kinsoku/>
        <w:wordWrap/>
        <w:overflowPunct/>
        <w:topLinePunct w:val="0"/>
        <w:autoSpaceDE/>
        <w:autoSpaceDN/>
        <w:bidi w:val="0"/>
        <w:adjustRightInd/>
        <w:snapToGrid/>
        <w:spacing w:before="157" w:beforeLines="50" w:line="420" w:lineRule="exact"/>
        <w:textAlignment w:val="auto"/>
        <w:outlineLvl w:val="1"/>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六、包装、装卸、运输及保险</w:t>
      </w:r>
    </w:p>
    <w:p w14:paraId="70ED0E52">
      <w:pPr>
        <w:keepNext w:val="0"/>
        <w:keepLines w:val="0"/>
        <w:pageBreakBefore w:val="0"/>
        <w:kinsoku/>
        <w:wordWrap/>
        <w:overflowPunct/>
        <w:topLinePunct w:val="0"/>
        <w:bidi w:val="0"/>
        <w:adjustRightInd/>
        <w:snapToGrid/>
        <w:spacing w:line="4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 成交供应商所供货物包装质量必须符合国家相关标准，货物的包装均应有良好的防锈、防腐、防潮及防摔破等措施，货物要求有包装保护运至现场。凡由于包装不良造成的损失和由此产生的费用均由成交供应商承担。</w:t>
      </w:r>
    </w:p>
    <w:p w14:paraId="798F35CD">
      <w:pPr>
        <w:keepNext w:val="0"/>
        <w:keepLines w:val="0"/>
        <w:pageBreakBefore w:val="0"/>
        <w:kinsoku/>
        <w:wordWrap/>
        <w:overflowPunct/>
        <w:topLinePunct w:val="0"/>
        <w:bidi w:val="0"/>
        <w:adjustRightInd/>
        <w:snapToGrid/>
        <w:spacing w:line="4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 成交供应商负责根据采购人指定的地点，将货物送到现场过程中的全部运输，包括装卸车、货物现场的搬运，由此产生的费用均由成交供应商承担。</w:t>
      </w:r>
    </w:p>
    <w:p w14:paraId="1B6D3EC7">
      <w:pPr>
        <w:keepNext w:val="0"/>
        <w:keepLines w:val="0"/>
        <w:pageBreakBefore w:val="0"/>
        <w:kinsoku/>
        <w:wordWrap/>
        <w:overflowPunct/>
        <w:topLinePunct w:val="0"/>
        <w:bidi w:val="0"/>
        <w:adjustRightInd/>
        <w:snapToGrid/>
        <w:spacing w:line="4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 如货物运输过程中因事故造成货物短缺、损坏，成交供应商应及时安排补、换货，以保证合同货物及时交付，补、换货的相关费用由成交供应商承担。</w:t>
      </w:r>
    </w:p>
    <w:p w14:paraId="105C3984">
      <w:pPr>
        <w:keepNext w:val="0"/>
        <w:keepLines w:val="0"/>
        <w:pageBreakBefore w:val="0"/>
        <w:kinsoku/>
        <w:wordWrap/>
        <w:overflowPunct/>
        <w:topLinePunct w:val="0"/>
        <w:bidi w:val="0"/>
        <w:adjustRightInd/>
        <w:snapToGrid/>
        <w:spacing w:line="420" w:lineRule="exact"/>
        <w:textAlignment w:val="auto"/>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none"/>
          <w:lang w:val="en-US" w:eastAsia="zh-CN"/>
        </w:rPr>
        <w:t>4. 货物的质量保险和其他相关责任由成交供应商负责，派出的现场服务人员须具有相应的资格，在履行合同中一切安全责任由成交供应商负责。</w:t>
      </w:r>
    </w:p>
    <w:p w14:paraId="4F58DAD6">
      <w:pPr>
        <w:pStyle w:val="10"/>
        <w:keepNext w:val="0"/>
        <w:keepLines w:val="0"/>
        <w:pageBreakBefore w:val="0"/>
        <w:widowControl w:val="0"/>
        <w:numPr>
          <w:ilvl w:val="0"/>
          <w:numId w:val="0"/>
        </w:numPr>
        <w:kinsoku/>
        <w:wordWrap/>
        <w:overflowPunct/>
        <w:topLinePunct w:val="0"/>
        <w:autoSpaceDE/>
        <w:autoSpaceDN/>
        <w:bidi w:val="0"/>
        <w:adjustRightInd/>
        <w:snapToGrid/>
        <w:spacing w:before="157" w:beforeLines="50" w:line="420" w:lineRule="exact"/>
        <w:textAlignment w:val="auto"/>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七、</w:t>
      </w:r>
      <w:r>
        <w:rPr>
          <w:rFonts w:hint="eastAsia" w:ascii="宋体" w:hAnsi="宋体" w:eastAsia="宋体" w:cs="宋体"/>
          <w:b/>
          <w:color w:val="auto"/>
          <w:sz w:val="24"/>
          <w:szCs w:val="24"/>
          <w:highlight w:val="none"/>
        </w:rPr>
        <w:t>验收方式</w:t>
      </w:r>
    </w:p>
    <w:p w14:paraId="0CD1A59B">
      <w:pPr>
        <w:keepNext w:val="0"/>
        <w:keepLines w:val="0"/>
        <w:pageBreakBefore w:val="0"/>
        <w:kinsoku/>
        <w:wordWrap/>
        <w:overflowPunct/>
        <w:topLinePunct w:val="0"/>
        <w:bidi w:val="0"/>
        <w:adjustRightInd/>
        <w:snapToGrid/>
        <w:spacing w:line="4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 成交供应商将货物送货至采购人指定地点后，由采购人按照采购合同、相关采购文件要求、产品合格证和样品等进行核对，根据国家相关法律法规、质量标准，对货物的规格参数和质量进行验收。</w:t>
      </w:r>
    </w:p>
    <w:p w14:paraId="0083BDC3">
      <w:pPr>
        <w:keepNext w:val="0"/>
        <w:keepLines w:val="0"/>
        <w:pageBreakBefore w:val="0"/>
        <w:kinsoku/>
        <w:wordWrap/>
        <w:overflowPunct/>
        <w:topLinePunct w:val="0"/>
        <w:bidi w:val="0"/>
        <w:adjustRightInd/>
        <w:snapToGrid/>
        <w:spacing w:line="4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 供货期间，采购人有权进行实时现场抽检测试交付货物，如不达标的，供应商需要无条件更换合格的产品。</w:t>
      </w:r>
      <w:r>
        <w:rPr>
          <w:rFonts w:hint="eastAsia" w:ascii="宋体" w:hAnsi="宋体" w:eastAsia="宋体" w:cs="宋体"/>
          <w:color w:val="auto"/>
          <w:sz w:val="24"/>
          <w:szCs w:val="24"/>
          <w:highlight w:val="none"/>
          <w:lang w:val="en-US" w:eastAsia="zh-CN"/>
        </w:rPr>
        <w:t>货物在验收过程中发现所交付的货物有短缺、次品、损坏或其他不符合相关采购文件、合同规定之情形者，采购人有权拒收并拒付该批货物的费用，成交供应商须无条件更换货物，并由成交供应商承担由此发生的一切费用和损失。</w:t>
      </w:r>
    </w:p>
    <w:p w14:paraId="13339D6D">
      <w:pPr>
        <w:keepNext w:val="0"/>
        <w:keepLines w:val="0"/>
        <w:pageBreakBefore w:val="0"/>
        <w:kinsoku/>
        <w:wordWrap/>
        <w:overflowPunct/>
        <w:topLinePunct w:val="0"/>
        <w:bidi w:val="0"/>
        <w:adjustRightInd/>
        <w:snapToGrid/>
        <w:spacing w:line="4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 所有货物在使用过程中发现以次充好或使用假冒伪劣产品的，成交供应商须无条件更换货物并按假一赔三进行赔偿。此种情况超过2次或以上的，采购人有权单方终止合同，履约保证金不予退还。</w:t>
      </w:r>
    </w:p>
    <w:p w14:paraId="0BA1DB11">
      <w:pPr>
        <w:keepNext w:val="0"/>
        <w:keepLines w:val="0"/>
        <w:pageBreakBefore w:val="0"/>
        <w:kinsoku/>
        <w:wordWrap/>
        <w:overflowPunct/>
        <w:topLinePunct w:val="0"/>
        <w:bidi w:val="0"/>
        <w:adjustRightInd/>
        <w:snapToGrid/>
        <w:spacing w:line="4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 因质量问题发生争议时，由地级市或以上的质检部门进行相关鉴定，鉴定费用先由成交供应商垫付，鉴定结果符合质量技术要求，发生的所有鉴定费由采购人承担；鉴定结果不符合质量技术要求，发生的所有鉴定费由成交供应商承担。</w:t>
      </w:r>
    </w:p>
    <w:p w14:paraId="2A17CF30">
      <w:pPr>
        <w:keepNext w:val="0"/>
        <w:keepLines w:val="0"/>
        <w:pageBreakBefore w:val="0"/>
        <w:kinsoku/>
        <w:wordWrap/>
        <w:overflowPunct/>
        <w:topLinePunct w:val="0"/>
        <w:bidi w:val="0"/>
        <w:adjustRightInd/>
        <w:snapToGrid/>
        <w:spacing w:line="4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 若成交供应商提供的产品发生知识产权纠纷的，由成交供应商执行处置与原知识产权所有者协商解决，采购人不承担与之相关的任何经济和法律责任。</w:t>
      </w:r>
    </w:p>
    <w:p w14:paraId="43B3FBE1">
      <w:pPr>
        <w:keepNext w:val="0"/>
        <w:keepLines w:val="0"/>
        <w:pageBreakBefore w:val="0"/>
        <w:kinsoku/>
        <w:wordWrap/>
        <w:overflowPunct/>
        <w:topLinePunct w:val="0"/>
        <w:bidi w:val="0"/>
        <w:adjustRightInd/>
        <w:snapToGrid/>
        <w:spacing w:line="4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 成交供应商应按双方约定的时间交付采购人购买的产品等，采购人应及时组织验收；对于符合合同约定的标的物予以接收，对不符合合同要求的质量、品种、规格、数量等，采购人有权拒绝接收。成交供应商应及时更换被拒绝的产品，但不得影响采购人的使用。如影响采购人使用并造成损失，采购人有权要求成交供应商赔偿由此造成的损失。</w:t>
      </w:r>
    </w:p>
    <w:p w14:paraId="269AE36A">
      <w:pPr>
        <w:keepNext w:val="0"/>
        <w:keepLines w:val="0"/>
        <w:pageBreakBefore w:val="0"/>
        <w:kinsoku/>
        <w:wordWrap/>
        <w:overflowPunct/>
        <w:topLinePunct w:val="0"/>
        <w:bidi w:val="0"/>
        <w:adjustRightInd/>
        <w:snapToGrid/>
        <w:spacing w:line="4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 成交供应商提前交付采购人购买的产品等，必须事前得到采购人同意，否则由此引起的储存保管费用及标的物毁损灭失风险由成交供应商自行承担。</w:t>
      </w:r>
    </w:p>
    <w:p w14:paraId="47DE4BAA">
      <w:pPr>
        <w:keepNext w:val="0"/>
        <w:keepLines w:val="0"/>
        <w:pageBreakBefore w:val="0"/>
        <w:kinsoku/>
        <w:wordWrap/>
        <w:overflowPunct/>
        <w:topLinePunct w:val="0"/>
        <w:bidi w:val="0"/>
        <w:adjustRightInd/>
        <w:snapToGrid/>
        <w:spacing w:line="4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 成交供应商按采购人采购计划中指定医院的地址送货，费用由成交供应商承担。</w:t>
      </w:r>
    </w:p>
    <w:p w14:paraId="05A546AB">
      <w:pPr>
        <w:keepNext w:val="0"/>
        <w:keepLines w:val="0"/>
        <w:pageBreakBefore w:val="0"/>
        <w:widowControl w:val="0"/>
        <w:kinsoku/>
        <w:wordWrap/>
        <w:overflowPunct/>
        <w:topLinePunct w:val="0"/>
        <w:autoSpaceDE/>
        <w:autoSpaceDN/>
        <w:bidi w:val="0"/>
        <w:adjustRightInd/>
        <w:snapToGrid/>
        <w:spacing w:before="157" w:beforeLines="50" w:line="420" w:lineRule="exac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八、售后服务要求</w:t>
      </w:r>
    </w:p>
    <w:p w14:paraId="21A5BB20">
      <w:pPr>
        <w:keepNext w:val="0"/>
        <w:keepLines w:val="0"/>
        <w:pageBreakBefore w:val="0"/>
        <w:kinsoku/>
        <w:wordWrap/>
        <w:overflowPunct/>
        <w:topLinePunct w:val="0"/>
        <w:bidi w:val="0"/>
        <w:adjustRightInd/>
        <w:snapToGrid/>
        <w:spacing w:line="4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 成交供应商所提供的货物应是原厂生产或该品牌授权生产、销售的全新正品，其质量、规格、性能、品牌、有效期限等满足用户需求，无任何侵权行为，且必须符合国家行业生产及经营标准，货真价实，均能提供相应的合格证明资料。货物交付时，成交供应商应提供合同货物真实有效的生产日期，且成交供应商保证提供货物的生产日期距交付时的时间差不超过6个月。</w:t>
      </w:r>
    </w:p>
    <w:p w14:paraId="2297E5F0">
      <w:pPr>
        <w:keepNext w:val="0"/>
        <w:keepLines w:val="0"/>
        <w:pageBreakBefore w:val="0"/>
        <w:kinsoku/>
        <w:wordWrap/>
        <w:overflowPunct/>
        <w:topLinePunct w:val="0"/>
        <w:bidi w:val="0"/>
        <w:adjustRightInd/>
        <w:snapToGrid/>
        <w:spacing w:line="4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 因成交供应商所供应的货物质量问题造成采购人设备故障、人身伤害或出现严重事故的，由成交供应商负责更换，所造成的一切损失及责任由成交供应商承担，同时采购人有权单方面终止合同且履约保证金不再退还。</w:t>
      </w:r>
    </w:p>
    <w:p w14:paraId="5022FB3F">
      <w:pPr>
        <w:keepNext w:val="0"/>
        <w:keepLines w:val="0"/>
        <w:pageBreakBefore w:val="0"/>
        <w:widowControl w:val="0"/>
        <w:numPr>
          <w:ilvl w:val="0"/>
          <w:numId w:val="0"/>
        </w:numPr>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 质保期：当次所提供的货物质保期为验收合格之日起18个月</w:t>
      </w:r>
      <w:r>
        <w:rPr>
          <w:rFonts w:hint="eastAsia" w:ascii="宋体" w:hAnsi="宋体" w:eastAsia="宋体" w:cs="宋体"/>
          <w:b w:val="0"/>
          <w:bCs w:val="0"/>
          <w:color w:val="auto"/>
          <w:sz w:val="24"/>
          <w:szCs w:val="24"/>
          <w:highlight w:val="none"/>
          <w:lang w:val="en-US" w:eastAsia="zh-CN"/>
        </w:rPr>
        <w:t>或以上</w:t>
      </w:r>
      <w:r>
        <w:rPr>
          <w:rFonts w:hint="eastAsia" w:ascii="宋体" w:hAnsi="宋体" w:eastAsia="宋体" w:cs="宋体"/>
          <w:color w:val="auto"/>
          <w:sz w:val="24"/>
          <w:szCs w:val="24"/>
          <w:highlight w:val="none"/>
          <w:lang w:val="en-US" w:eastAsia="zh-CN"/>
        </w:rPr>
        <w:t>。质保期内，成交供应商须提供货物“包退、包换、包修”的质量“三包”服务。货物如不符合国家的有关质量技术标准、采购文件、合同参数要求的，采购人有权拒收，成交供应商应无条件退换货物，退换期限为3个工作日内，由此产生的一切费用由成交供应商承担，如造成采购人经济损失的，采购人有权进行索赔。</w:t>
      </w:r>
    </w:p>
    <w:p w14:paraId="0EFAB966">
      <w:pPr>
        <w:keepNext w:val="0"/>
        <w:keepLines w:val="0"/>
        <w:pageBreakBefore w:val="0"/>
        <w:widowControl w:val="0"/>
        <w:numPr>
          <w:ilvl w:val="0"/>
          <w:numId w:val="0"/>
        </w:numPr>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4. </w:t>
      </w:r>
      <w:r>
        <w:rPr>
          <w:rFonts w:hint="eastAsia" w:ascii="宋体" w:hAnsi="宋体" w:eastAsia="宋体" w:cs="宋体"/>
          <w:color w:val="auto"/>
          <w:sz w:val="24"/>
          <w:szCs w:val="24"/>
          <w:highlight w:val="none"/>
          <w:lang w:val="en-US" w:eastAsia="zh-CN"/>
        </w:rPr>
        <w:t>质保期内，成交供应商提供24小时响应服务，指定一名人员为本项目负责人，负责人要保证服务电话24小时保持畅通。成交供应商必须对采购人提出的质量异议在1小时内予以响应并针对问题提出解决办法，货物非人为因素出现损坏、变形等情况的，成交供应商应在接到通知的1小时内派专业人员上门服务，解决问题的时限为到达现场后4小时内，保证按要求完成更换、送回等服务，确保所提供的货物合格率达到100%，并对造成的损失承担赔偿责任。若在到场4小时后仍未能有效解决，成交供应商应向采购人书面说明原因并经采购人同意后提供同档次或优于原参数的货物供采购人使用，未能及时完成修理或更换的，采购人有权自行购买更换，所支付费用从履约保证金中扣除。如因造成采购人损失的，由成交供应商承担赔偿责任。</w:t>
      </w:r>
    </w:p>
    <w:p w14:paraId="40E2A877">
      <w:pPr>
        <w:keepNext w:val="0"/>
        <w:keepLines w:val="0"/>
        <w:pageBreakBefore w:val="0"/>
        <w:widowControl w:val="0"/>
        <w:numPr>
          <w:ilvl w:val="0"/>
          <w:numId w:val="0"/>
        </w:numPr>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 货物如不符合国家的有关质量标准或进货渠道不正规，或证实货物是有缺陷的，包括潜在的缺陷或使用不符合要求的材料等，采购人有权要求成交供应商无条件退换货物，退换期限为2个工作日内，由此产生的一切费用均由成交供应商承担，并赔偿因此造成采购人的经济损失。</w:t>
      </w:r>
    </w:p>
    <w:p w14:paraId="68B22F70">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42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九、</w:t>
      </w:r>
      <w:r>
        <w:rPr>
          <w:rFonts w:hint="eastAsia" w:ascii="宋体" w:hAnsi="宋体" w:eastAsia="宋体" w:cs="宋体"/>
          <w:b/>
          <w:color w:val="auto"/>
          <w:sz w:val="24"/>
          <w:szCs w:val="24"/>
          <w:highlight w:val="none"/>
        </w:rPr>
        <w:t>付款方式</w:t>
      </w:r>
    </w:p>
    <w:p w14:paraId="3BDDC05E">
      <w:pPr>
        <w:keepNext w:val="0"/>
        <w:keepLines w:val="0"/>
        <w:pageBreakBefore w:val="0"/>
        <w:widowControl w:val="0"/>
        <w:numPr>
          <w:ilvl w:val="0"/>
          <w:numId w:val="0"/>
        </w:numPr>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 签订合同后5个工作日内成交供应商需向采购人交合同总金额的</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作为履约保证金。保证金的退还为最后一批送货验收合格后一个月内一次性无息退还。</w:t>
      </w:r>
    </w:p>
    <w:p w14:paraId="024548C7">
      <w:pPr>
        <w:keepNext w:val="0"/>
        <w:keepLines w:val="0"/>
        <w:pageBreakBefore w:val="0"/>
        <w:widowControl w:val="0"/>
        <w:numPr>
          <w:ilvl w:val="0"/>
          <w:numId w:val="0"/>
        </w:numPr>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（1）如有违约事项，采购人根据约定条款扣款，剩余款项予以无息退还。</w:t>
      </w:r>
    </w:p>
    <w:p w14:paraId="724C9265">
      <w:pPr>
        <w:keepNext w:val="0"/>
        <w:keepLines w:val="0"/>
        <w:pageBreakBefore w:val="0"/>
        <w:widowControl w:val="0"/>
        <w:numPr>
          <w:ilvl w:val="0"/>
          <w:numId w:val="0"/>
        </w:numPr>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（2）如逾期未缴交履约保证金的，则每逾期一天按履约保证金金额的5‰支付违约金给采购人。</w:t>
      </w:r>
    </w:p>
    <w:p w14:paraId="1E1BF57D">
      <w:pPr>
        <w:keepNext w:val="0"/>
        <w:keepLines w:val="0"/>
        <w:pageBreakBefore w:val="0"/>
        <w:widowControl w:val="0"/>
        <w:numPr>
          <w:ilvl w:val="0"/>
          <w:numId w:val="0"/>
        </w:numPr>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 合同签订后，供货期内采购人可按照实际使用需要分批次要求成交供应商供货。合同无预付款，每批次订货无预付款。</w:t>
      </w:r>
    </w:p>
    <w:p w14:paraId="33192927">
      <w:pPr>
        <w:keepNext w:val="0"/>
        <w:keepLines w:val="0"/>
        <w:pageBreakBefore w:val="0"/>
        <w:widowControl w:val="0"/>
        <w:numPr>
          <w:ilvl w:val="0"/>
          <w:numId w:val="0"/>
        </w:numPr>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 按月结算。成交供应商接到采购人的下单通知后，按采购人要求的品种及数量提供货物，经双方确认验收合格后，成交供应商开具该月所供货物的有效全额增值税普通发票（含税），采购人在收到发票并审核无误后6个月内付款给成交供应商。</w:t>
      </w:r>
    </w:p>
    <w:p w14:paraId="6A5BB1CE">
      <w:pPr>
        <w:keepNext w:val="0"/>
        <w:keepLines w:val="0"/>
        <w:pageBreakBefore w:val="0"/>
        <w:widowControl w:val="0"/>
        <w:numPr>
          <w:ilvl w:val="0"/>
          <w:numId w:val="0"/>
        </w:numPr>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 </w:t>
      </w:r>
      <w:r>
        <w:rPr>
          <w:rFonts w:hint="eastAsia" w:ascii="宋体" w:hAnsi="宋体" w:eastAsia="宋体" w:cs="宋体"/>
          <w:b w:val="0"/>
          <w:bCs w:val="0"/>
          <w:color w:val="auto"/>
          <w:spacing w:val="-2"/>
          <w:sz w:val="24"/>
          <w:szCs w:val="24"/>
          <w:highlight w:val="none"/>
          <w:lang w:eastAsia="zh-CN"/>
        </w:rPr>
        <w:t>特别说明：合同约定的付款期限，遵守《保障中小企业款项支付条例》的规定。如成交供应商为中小企业，付款期限最长不超过60日。</w:t>
      </w:r>
    </w:p>
    <w:p w14:paraId="19BDBE85">
      <w:pPr>
        <w:keepNext w:val="0"/>
        <w:keepLines w:val="0"/>
        <w:pageBreakBefore w:val="0"/>
        <w:widowControl w:val="0"/>
        <w:numPr>
          <w:ilvl w:val="0"/>
          <w:numId w:val="0"/>
        </w:numPr>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 成交供应商须开具与响应文件中报价人名称、响应报价一致的有效全额增值税普通发票。</w:t>
      </w:r>
    </w:p>
    <w:p w14:paraId="375EBEDB">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4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十、违约责任</w:t>
      </w:r>
    </w:p>
    <w:p w14:paraId="6B8B6E8A">
      <w:pPr>
        <w:keepNext w:val="0"/>
        <w:keepLines w:val="0"/>
        <w:pageBreakBefore w:val="0"/>
        <w:kinsoku/>
        <w:wordWrap/>
        <w:overflowPunct/>
        <w:topLinePunct w:val="0"/>
        <w:bidi w:val="0"/>
        <w:adjustRightInd/>
        <w:snapToGrid/>
        <w:spacing w:line="4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 采购人应在合同规定时间内，按合同执行进度向成交供应商支付货款，逾期支付的，采购人向成交供应商按合同订立时全国银行间同业拆借中心公布的一年期贷款市场报价利率支付违约金。</w:t>
      </w:r>
    </w:p>
    <w:p w14:paraId="18A3F4A0">
      <w:pPr>
        <w:keepNext w:val="0"/>
        <w:keepLines w:val="0"/>
        <w:pageBreakBefore w:val="0"/>
        <w:kinsoku/>
        <w:wordWrap/>
        <w:overflowPunct/>
        <w:topLinePunct w:val="0"/>
        <w:bidi w:val="0"/>
        <w:adjustRightInd/>
        <w:snapToGrid/>
        <w:spacing w:line="4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 成交供应商未能按时交货，或未能在交货之日起10个自然日内提供该项目验收相关所必须的合法有效的文件，每拖延一天，须向采购人支付合同金额的5‰的违约金。如拖延10个自然日，经采购人书面通知后，成交供应商仍未履行的，视为成交供应商不能交货，则按合同总价20%支付违约金给采购人。同时，采购人有权单方面解除合同且履约保证金不再退还。如上述违约金及履约保证金的金额仍不足以补偿采购人因成交供应商违约造成的损失，采购人有权进一步向成交供应商提出索赔。</w:t>
      </w:r>
    </w:p>
    <w:p w14:paraId="45D94643">
      <w:pPr>
        <w:keepNext w:val="0"/>
        <w:keepLines w:val="0"/>
        <w:pageBreakBefore w:val="0"/>
        <w:kinsoku/>
        <w:wordWrap/>
        <w:overflowPunct/>
        <w:topLinePunct w:val="0"/>
        <w:bidi w:val="0"/>
        <w:adjustRightInd/>
        <w:snapToGrid/>
        <w:spacing w:line="4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 成交供应商交付的货物不符合合同规定的，采购人有权拒收，成交供应商向采购人支付合同总价的20％的违约金。 </w:t>
      </w:r>
    </w:p>
    <w:p w14:paraId="2D506CBF">
      <w:pPr>
        <w:keepNext w:val="0"/>
        <w:keepLines w:val="0"/>
        <w:pageBreakBefore w:val="0"/>
        <w:kinsoku/>
        <w:wordWrap/>
        <w:overflowPunct/>
        <w:topLinePunct w:val="0"/>
        <w:bidi w:val="0"/>
        <w:adjustRightInd/>
        <w:snapToGrid/>
        <w:spacing w:line="4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 采购人无正当理由拒收货物的，采购人向成交供应商支付当次送货金额的 5‰的违约金。 </w:t>
      </w:r>
    </w:p>
    <w:p w14:paraId="3056CEC6">
      <w:pPr>
        <w:keepNext w:val="0"/>
        <w:keepLines w:val="0"/>
        <w:pageBreakBefore w:val="0"/>
        <w:kinsoku/>
        <w:wordWrap/>
        <w:overflowPunct/>
        <w:topLinePunct w:val="0"/>
        <w:bidi w:val="0"/>
        <w:adjustRightInd/>
        <w:snapToGrid/>
        <w:spacing w:line="4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 货物在保质期内如无法提供质保服务，成交供应商承担采购人就此造成的一切更换费用和其他损失。</w:t>
      </w:r>
    </w:p>
    <w:p w14:paraId="2C54918F">
      <w:pPr>
        <w:keepNext w:val="0"/>
        <w:keepLines w:val="0"/>
        <w:pageBreakBefore w:val="0"/>
        <w:kinsoku/>
        <w:wordWrap/>
        <w:overflowPunct/>
        <w:topLinePunct w:val="0"/>
        <w:bidi w:val="0"/>
        <w:adjustRightInd/>
        <w:snapToGrid/>
        <w:spacing w:line="4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 所有货物在使用过程中发现以次充好或使用假冒伪劣产品的，成交供应商须无条件更换货物并按假一赔三进行赔偿。此种情况超过2次或以上的，履约保证金不予退还，采购人有权单方终止合同。</w:t>
      </w:r>
    </w:p>
    <w:p w14:paraId="062E8DB1">
      <w:pPr>
        <w:keepNext w:val="0"/>
        <w:keepLines w:val="0"/>
        <w:pageBreakBefore w:val="0"/>
        <w:kinsoku/>
        <w:wordWrap/>
        <w:overflowPunct/>
        <w:topLinePunct w:val="0"/>
        <w:bidi w:val="0"/>
        <w:adjustRightInd/>
        <w:snapToGrid/>
        <w:spacing w:line="4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 若成交供应商提供的货物发生知识产权纠纷的，由成交供应商执行处置与原知识产权所有者协商解决，采购人不承担与之相关的任何经济和法律责任。</w:t>
      </w:r>
    </w:p>
    <w:p w14:paraId="7FA66910">
      <w:pPr>
        <w:keepNext w:val="0"/>
        <w:keepLines w:val="0"/>
        <w:pageBreakBefore w:val="0"/>
        <w:kinsoku/>
        <w:wordWrap/>
        <w:overflowPunct/>
        <w:topLinePunct w:val="0"/>
        <w:bidi w:val="0"/>
        <w:adjustRightInd/>
        <w:snapToGrid/>
        <w:spacing w:line="4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 因成交供应商原因造成采购人货物无法按时正常使用，成交供应商承担合同标的金额20%的违约金，违约金不足以赔偿采购人损失的，应另行补足采购人损失。</w:t>
      </w:r>
    </w:p>
    <w:p w14:paraId="11CCE618">
      <w:pPr>
        <w:keepNext w:val="0"/>
        <w:keepLines w:val="0"/>
        <w:pageBreakBefore w:val="0"/>
        <w:kinsoku/>
        <w:wordWrap/>
        <w:overflowPunct/>
        <w:topLinePunct w:val="0"/>
        <w:bidi w:val="0"/>
        <w:adjustRightInd/>
        <w:snapToGrid/>
        <w:spacing w:line="4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 双方对本项目（含涉及本项目相关通知和函电）内容应严格履行保密义务，未经一方书面同意或许可，均不得在任何时候以任何方式和理由向第三人泄露，否则，任何一方应赔偿由此给对方造成的一切损失。</w:t>
      </w:r>
    </w:p>
    <w:p w14:paraId="5D6A6F8A">
      <w:pPr>
        <w:keepNext w:val="0"/>
        <w:keepLines w:val="0"/>
        <w:pageBreakBefore w:val="0"/>
        <w:kinsoku/>
        <w:wordWrap/>
        <w:overflowPunct/>
        <w:topLinePunct w:val="0"/>
        <w:bidi w:val="0"/>
        <w:adjustRightInd/>
        <w:snapToGrid/>
        <w:spacing w:line="4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 违约方给守约方造成的损失，守约方可采取必要的途径或方式追索，由此引起的费用由违约方承担，包括但不仅限于</w:t>
      </w:r>
      <w:bookmarkStart w:id="0" w:name="OLE_LINK1"/>
      <w:r>
        <w:rPr>
          <w:rFonts w:hint="eastAsia" w:ascii="宋体" w:hAnsi="宋体" w:eastAsia="宋体" w:cs="宋体"/>
          <w:color w:val="auto"/>
          <w:sz w:val="24"/>
          <w:szCs w:val="24"/>
          <w:highlight w:val="none"/>
          <w:lang w:val="en-US" w:eastAsia="zh-CN"/>
        </w:rPr>
        <w:t>律师费、查档费、鉴定费、公证费、交通费、诉讼费、财产保全责任保险费等</w:t>
      </w:r>
      <w:bookmarkEnd w:id="0"/>
      <w:r>
        <w:rPr>
          <w:rFonts w:hint="eastAsia" w:ascii="宋体" w:hAnsi="宋体" w:eastAsia="宋体" w:cs="宋体"/>
          <w:color w:val="auto"/>
          <w:sz w:val="24"/>
          <w:szCs w:val="24"/>
          <w:highlight w:val="none"/>
          <w:lang w:val="en-US" w:eastAsia="zh-CN"/>
        </w:rPr>
        <w:t>。</w:t>
      </w:r>
    </w:p>
    <w:p w14:paraId="56B2FBB7">
      <w:pPr>
        <w:pStyle w:val="2"/>
        <w:keepNext w:val="0"/>
        <w:keepLines w:val="0"/>
        <w:pageBreakBefore w:val="0"/>
        <w:kinsoku/>
        <w:wordWrap/>
        <w:overflowPunct/>
        <w:topLinePunct w:val="0"/>
        <w:bidi w:val="0"/>
        <w:adjustRightInd/>
        <w:snapToGrid/>
        <w:spacing w:after="0" w:afterLines="0" w:line="4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 其他违约责任按《中华人民共和国民法典》处理。</w:t>
      </w:r>
    </w:p>
    <w:p w14:paraId="7309C018">
      <w:pPr>
        <w:keepNext w:val="0"/>
        <w:keepLines w:val="0"/>
        <w:pageBreakBefore w:val="0"/>
        <w:widowControl w:val="0"/>
        <w:kinsoku/>
        <w:wordWrap/>
        <w:overflowPunct/>
        <w:topLinePunct w:val="0"/>
        <w:autoSpaceDE/>
        <w:autoSpaceDN/>
        <w:bidi w:val="0"/>
        <w:adjustRightInd/>
        <w:snapToGrid/>
        <w:spacing w:before="157" w:beforeLines="50" w:line="42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十</w:t>
      </w:r>
      <w:r>
        <w:rPr>
          <w:rFonts w:hint="eastAsia" w:ascii="宋体" w:hAnsi="宋体" w:eastAsia="宋体" w:cs="宋体"/>
          <w:b/>
          <w:bCs/>
          <w:sz w:val="24"/>
          <w:szCs w:val="24"/>
          <w:lang w:val="en-US" w:eastAsia="zh-CN"/>
        </w:rPr>
        <w:t>一</w:t>
      </w:r>
      <w:r>
        <w:rPr>
          <w:rFonts w:hint="eastAsia" w:ascii="宋体" w:hAnsi="宋体" w:eastAsia="宋体" w:cs="宋体"/>
          <w:b/>
          <w:bCs/>
          <w:sz w:val="24"/>
          <w:szCs w:val="24"/>
        </w:rPr>
        <w:t>、评审方式</w:t>
      </w:r>
    </w:p>
    <w:p w14:paraId="38F68E0F">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本项目评审采用</w:t>
      </w:r>
      <w:r>
        <w:rPr>
          <w:rFonts w:hint="eastAsia" w:ascii="宋体" w:hAnsi="宋体" w:eastAsia="宋体" w:cs="宋体"/>
          <w:b/>
          <w:bCs/>
          <w:sz w:val="24"/>
          <w:szCs w:val="24"/>
          <w:u w:val="single"/>
        </w:rPr>
        <w:t>经评审的最低投标价法</w:t>
      </w:r>
      <w:r>
        <w:rPr>
          <w:rFonts w:hint="eastAsia" w:ascii="宋体" w:hAnsi="宋体" w:eastAsia="宋体" w:cs="宋体"/>
          <w:sz w:val="24"/>
          <w:szCs w:val="24"/>
        </w:rPr>
        <w:t>（</w:t>
      </w:r>
      <w:r>
        <w:rPr>
          <w:rFonts w:hint="eastAsia" w:ascii="宋体" w:hAnsi="宋体" w:cs="宋体"/>
          <w:sz w:val="24"/>
          <w:szCs w:val="24"/>
          <w:lang w:val="en-US" w:eastAsia="zh-CN"/>
        </w:rPr>
        <w:t>报价</w:t>
      </w:r>
      <w:r>
        <w:rPr>
          <w:rFonts w:hint="eastAsia" w:ascii="宋体" w:hAnsi="宋体" w:eastAsia="宋体" w:cs="宋体"/>
          <w:sz w:val="24"/>
          <w:szCs w:val="24"/>
        </w:rPr>
        <w:t>格式详见附件</w:t>
      </w:r>
      <w:r>
        <w:rPr>
          <w:rFonts w:hint="eastAsia" w:ascii="宋体" w:hAnsi="宋体" w:eastAsia="宋体" w:cs="宋体"/>
          <w:sz w:val="24"/>
          <w:szCs w:val="24"/>
          <w:lang w:val="en-US" w:eastAsia="zh-CN"/>
        </w:rPr>
        <w:t>一</w:t>
      </w:r>
      <w:r>
        <w:rPr>
          <w:rFonts w:hint="eastAsia" w:ascii="宋体" w:hAnsi="宋体" w:eastAsia="宋体" w:cs="宋体"/>
          <w:sz w:val="24"/>
          <w:szCs w:val="24"/>
        </w:rPr>
        <w:t>《响应文件模板》）。供应商响应满足项目需求的前提下，总报价最低的推荐为拟中选供应商；报价高于项目预算金额的，作无效报价处理。若两家及以上供应商总报价相同，平台响应报名时间较早的优先排序。</w:t>
      </w:r>
    </w:p>
    <w:p w14:paraId="43DFC343">
      <w:pPr>
        <w:keepNext w:val="0"/>
        <w:keepLines w:val="0"/>
        <w:pageBreakBefore w:val="0"/>
        <w:widowControl w:val="0"/>
        <w:kinsoku/>
        <w:wordWrap/>
        <w:overflowPunct/>
        <w:topLinePunct w:val="0"/>
        <w:autoSpaceDE/>
        <w:autoSpaceDN/>
        <w:bidi w:val="0"/>
        <w:adjustRightInd/>
        <w:snapToGrid/>
        <w:spacing w:before="157" w:beforeLines="50" w:line="42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十</w:t>
      </w:r>
      <w:r>
        <w:rPr>
          <w:rFonts w:hint="eastAsia" w:ascii="宋体" w:hAnsi="宋体" w:eastAsia="宋体" w:cs="宋体"/>
          <w:b/>
          <w:bCs/>
          <w:sz w:val="24"/>
          <w:szCs w:val="24"/>
          <w:lang w:val="en-US" w:eastAsia="zh-CN"/>
        </w:rPr>
        <w:t>二</w:t>
      </w:r>
      <w:r>
        <w:rPr>
          <w:rFonts w:hint="eastAsia" w:ascii="宋体" w:hAnsi="宋体" w:eastAsia="宋体" w:cs="宋体"/>
          <w:b/>
          <w:bCs/>
          <w:sz w:val="24"/>
          <w:szCs w:val="24"/>
        </w:rPr>
        <w:t>、提交方式</w:t>
      </w:r>
    </w:p>
    <w:p w14:paraId="00BE7D8A">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请于</w:t>
      </w:r>
      <w:r>
        <w:rPr>
          <w:rFonts w:hint="eastAsia" w:ascii="宋体" w:hAnsi="宋体" w:eastAsia="宋体" w:cs="宋体"/>
          <w:sz w:val="24"/>
          <w:szCs w:val="24"/>
          <w:highlight w:val="none"/>
        </w:rPr>
        <w:t>2026年</w:t>
      </w:r>
      <w:r>
        <w:rPr>
          <w:rFonts w:hint="eastAsia" w:ascii="宋体" w:hAnsi="宋体" w:cs="宋体"/>
          <w:sz w:val="24"/>
          <w:szCs w:val="24"/>
          <w:highlight w:val="none"/>
          <w:lang w:val="en-US" w:eastAsia="zh-CN"/>
        </w:rPr>
        <w:t>9</w:t>
      </w:r>
      <w:r>
        <w:rPr>
          <w:rFonts w:hint="eastAsia" w:ascii="宋体" w:hAnsi="宋体" w:eastAsia="宋体" w:cs="宋体"/>
          <w:sz w:val="24"/>
          <w:szCs w:val="24"/>
          <w:highlight w:val="none"/>
        </w:rPr>
        <w:t>月</w:t>
      </w:r>
      <w:r>
        <w:rPr>
          <w:rFonts w:hint="eastAsia" w:ascii="宋体" w:hAnsi="宋体" w:cs="宋体"/>
          <w:sz w:val="24"/>
          <w:szCs w:val="24"/>
          <w:highlight w:val="none"/>
          <w:lang w:val="en-US" w:eastAsia="zh-CN"/>
        </w:rPr>
        <w:t>29</w:t>
      </w:r>
      <w:r>
        <w:rPr>
          <w:rFonts w:hint="eastAsia" w:ascii="宋体" w:hAnsi="宋体" w:eastAsia="宋体" w:cs="宋体"/>
          <w:sz w:val="24"/>
          <w:szCs w:val="24"/>
          <w:highlight w:val="none"/>
        </w:rPr>
        <w:t>日17点之前将</w:t>
      </w:r>
      <w:r>
        <w:rPr>
          <w:rFonts w:hint="eastAsia" w:ascii="宋体" w:hAnsi="宋体" w:eastAsia="宋体" w:cs="宋体"/>
          <w:sz w:val="24"/>
          <w:szCs w:val="24"/>
        </w:rPr>
        <w:t>以上资料（招标文件格式详见附件</w:t>
      </w:r>
      <w:r>
        <w:rPr>
          <w:rFonts w:hint="eastAsia" w:ascii="宋体" w:hAnsi="宋体" w:eastAsia="宋体" w:cs="宋体"/>
          <w:sz w:val="24"/>
          <w:szCs w:val="24"/>
          <w:lang w:val="en-US" w:eastAsia="zh-CN"/>
        </w:rPr>
        <w:t>一</w:t>
      </w:r>
      <w:r>
        <w:rPr>
          <w:rFonts w:hint="eastAsia" w:ascii="宋体" w:hAnsi="宋体" w:eastAsia="宋体" w:cs="宋体"/>
          <w:sz w:val="24"/>
          <w:szCs w:val="24"/>
        </w:rPr>
        <w:t>《响应文件模板》）一式三份（一正二副）密封加盖公章，投递资料封面注明项目名称、供应商名称、联系人及联系电话，可通过现场提交或邮寄方式提交。所有提交的资料一律不予退还。</w:t>
      </w:r>
    </w:p>
    <w:p w14:paraId="0BFD77BE">
      <w:pPr>
        <w:keepNext w:val="0"/>
        <w:keepLines w:val="0"/>
        <w:pageBreakBefore w:val="0"/>
        <w:widowControl w:val="0"/>
        <w:kinsoku/>
        <w:wordWrap/>
        <w:overflowPunct/>
        <w:topLinePunct w:val="0"/>
        <w:autoSpaceDE/>
        <w:autoSpaceDN/>
        <w:bidi w:val="0"/>
        <w:adjustRightInd/>
        <w:snapToGrid/>
        <w:spacing w:before="157" w:beforeLines="50" w:line="420" w:lineRule="exact"/>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递交地址：中山市小榄镇兆隆路一号东升医院行政楼七楼采购办。</w:t>
      </w:r>
    </w:p>
    <w:p w14:paraId="2C0BA2C0">
      <w:pPr>
        <w:keepNext w:val="0"/>
        <w:keepLines w:val="0"/>
        <w:pageBreakBefore w:val="0"/>
        <w:widowControl w:val="0"/>
        <w:kinsoku/>
        <w:wordWrap/>
        <w:overflowPunct/>
        <w:topLinePunct w:val="0"/>
        <w:autoSpaceDE/>
        <w:autoSpaceDN/>
        <w:bidi w:val="0"/>
        <w:adjustRightInd/>
        <w:snapToGrid/>
        <w:spacing w:before="157" w:beforeLines="50" w:line="420" w:lineRule="exact"/>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项目截止时间为止，逾期送达或者未送达指定地点或未按要求密封和加写标记的投标文件，招标人均不予受理。</w:t>
      </w:r>
    </w:p>
    <w:p w14:paraId="7C31F277">
      <w:pPr>
        <w:keepNext w:val="0"/>
        <w:keepLines w:val="0"/>
        <w:pageBreakBefore w:val="0"/>
        <w:widowControl w:val="0"/>
        <w:kinsoku/>
        <w:wordWrap/>
        <w:overflowPunct/>
        <w:topLinePunct w:val="0"/>
        <w:autoSpaceDE/>
        <w:autoSpaceDN/>
        <w:bidi w:val="0"/>
        <w:adjustRightInd/>
        <w:snapToGrid/>
        <w:spacing w:before="157" w:beforeLines="50" w:line="420" w:lineRule="exact"/>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供应商应在医院采购平台</w:t>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"https://www.cotenders.cn/"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https://www.cotenders.cn/</w:t>
      </w:r>
      <w:r>
        <w:rPr>
          <w:rFonts w:hint="eastAsia" w:ascii="宋体" w:hAnsi="宋体" w:eastAsia="宋体" w:cs="宋体"/>
          <w:b/>
          <w:bCs/>
          <w:sz w:val="24"/>
          <w:szCs w:val="24"/>
        </w:rPr>
        <w:fldChar w:fldCharType="end"/>
      </w:r>
      <w:r>
        <w:rPr>
          <w:rFonts w:hint="eastAsia" w:ascii="宋体" w:hAnsi="宋体" w:eastAsia="宋体" w:cs="宋体"/>
          <w:b/>
          <w:bCs/>
          <w:sz w:val="24"/>
          <w:szCs w:val="24"/>
        </w:rPr>
        <w:t xml:space="preserve"> 完成项目响应登记并上传电子文件。</w:t>
      </w:r>
    </w:p>
    <w:p w14:paraId="3CC43820">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联系人：杨老师</w:t>
      </w:r>
    </w:p>
    <w:p w14:paraId="65B734CF">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联系电话：0760-22896930</w:t>
      </w:r>
    </w:p>
    <w:p w14:paraId="3BBFA15A">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纪检联系人：吴老师</w:t>
      </w:r>
    </w:p>
    <w:p w14:paraId="537C3278">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联系电话：0760-22825236</w:t>
      </w:r>
    </w:p>
    <w:sectPr>
      <w:type w:val="continuous"/>
      <w:pgSz w:w="11906" w:h="16838"/>
      <w:pgMar w:top="1157" w:right="1123" w:bottom="1157" w:left="112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ˎ̥">
    <w:altName w:val="Times New Roman"/>
    <w:panose1 w:val="00000000000000000000"/>
    <w:charset w:val="00"/>
    <w:family w:val="roman"/>
    <w:pitch w:val="default"/>
    <w:sig w:usb0="00000000"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8063430"/>
    <w:rsid w:val="0A937A49"/>
    <w:rsid w:val="0F441F67"/>
    <w:rsid w:val="12F45F70"/>
    <w:rsid w:val="1702234F"/>
    <w:rsid w:val="1B751AA3"/>
    <w:rsid w:val="20CE54B1"/>
    <w:rsid w:val="2293535C"/>
    <w:rsid w:val="277654C4"/>
    <w:rsid w:val="29990919"/>
    <w:rsid w:val="2DBE55AA"/>
    <w:rsid w:val="30454DA6"/>
    <w:rsid w:val="3049232A"/>
    <w:rsid w:val="34782B17"/>
    <w:rsid w:val="38063430"/>
    <w:rsid w:val="38941E34"/>
    <w:rsid w:val="3CAA04D6"/>
    <w:rsid w:val="408D0C45"/>
    <w:rsid w:val="47250F6F"/>
    <w:rsid w:val="47D93B3C"/>
    <w:rsid w:val="4B953D42"/>
    <w:rsid w:val="4CB66D8D"/>
    <w:rsid w:val="4FF52B93"/>
    <w:rsid w:val="50174F92"/>
    <w:rsid w:val="51B177E4"/>
    <w:rsid w:val="52254A8C"/>
    <w:rsid w:val="52BE60E2"/>
    <w:rsid w:val="53456529"/>
    <w:rsid w:val="54262E49"/>
    <w:rsid w:val="5F3458A9"/>
    <w:rsid w:val="5F352E11"/>
    <w:rsid w:val="629D5EDE"/>
    <w:rsid w:val="661A5821"/>
    <w:rsid w:val="68307C68"/>
    <w:rsid w:val="6D853C9A"/>
    <w:rsid w:val="6E7558EB"/>
    <w:rsid w:val="73DB2866"/>
    <w:rsid w:val="74BE74FF"/>
    <w:rsid w:val="75D7399E"/>
    <w:rsid w:val="776F426D"/>
    <w:rsid w:val="783202A2"/>
    <w:rsid w:val="7B525E42"/>
    <w:rsid w:val="7B735A7A"/>
    <w:rsid w:val="7E0C5AB0"/>
    <w:rsid w:val="7E9F1B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widowControl/>
      <w:spacing w:after="120" w:afterLines="0"/>
      <w:jc w:val="left"/>
    </w:pPr>
    <w:rPr>
      <w:rFonts w:ascii="ˎ̥" w:hAnsi="ˎ̥"/>
      <w:color w:val="000000"/>
      <w:sz w:val="24"/>
      <w:szCs w:val="20"/>
    </w:r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7">
    <w:name w:val="Strong"/>
    <w:basedOn w:val="6"/>
    <w:qFormat/>
    <w:uiPriority w:val="0"/>
    <w:rPr>
      <w:b/>
    </w:rPr>
  </w:style>
  <w:style w:type="character" w:styleId="8">
    <w:name w:val="Hyperlink"/>
    <w:basedOn w:val="6"/>
    <w:qFormat/>
    <w:uiPriority w:val="0"/>
    <w:rPr>
      <w:color w:val="0000FF"/>
      <w:u w:val="single"/>
    </w:rPr>
  </w:style>
  <w:style w:type="character" w:customStyle="1" w:styleId="9">
    <w:name w:val="font31"/>
    <w:basedOn w:val="6"/>
    <w:qFormat/>
    <w:uiPriority w:val="0"/>
    <w:rPr>
      <w:rFonts w:hint="eastAsia" w:ascii="宋体" w:hAnsi="宋体" w:eastAsia="宋体" w:cs="宋体"/>
      <w:color w:val="000000"/>
      <w:sz w:val="24"/>
      <w:szCs w:val="24"/>
      <w:u w:val="none"/>
    </w:rPr>
  </w:style>
  <w:style w:type="paragraph" w:customStyle="1" w:styleId="10">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5592</Words>
  <Characters>5767</Characters>
  <Lines>0</Lines>
  <Paragraphs>0</Paragraphs>
  <TotalTime>65</TotalTime>
  <ScaleCrop>false</ScaleCrop>
  <LinksUpToDate>false</LinksUpToDate>
  <CharactersWithSpaces>5825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2026-03-30T01:16:00Z</dcterms:created>
  <dc:creator>18924981193</dc:creator>
  <cp:lastModifiedBy>Lily</cp:lastModifiedBy>
  <cp:lastPrinted>2026-09-21T06:50:00Z</cp:lastPrinted>
  <dcterms:modified xsi:type="dcterms:W3CDTF">2026-09-21T07:41:13Z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D19DFEFFDBBA4926851723285BF8FE29_13</vt:lpwstr>
  </property>
  <property fmtid="{D5CDD505-2E9C-101B-9397-08002B2CF9AE}" pid="4" name="KSOTemplateDocerSaveRecord">
    <vt:lpwstr>eyJoZGlkIjoiZjMxODI1ZDk1NTM3ZThjZDIyMDM0N2Q4Njc3ODMwMjMiLCJ1c2VySWQiOiIyNjI5MDY5MzEifQ==</vt:lpwstr>
  </property>
</Properties>
</file>