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23DFADCC">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总则：</w:t>
      </w:r>
    </w:p>
    <w:p w14:paraId="58FD94F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4C65F3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3EB731D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若所投标的属于医疗器械，</w:t>
      </w:r>
      <w:r>
        <w:rPr>
          <w:rFonts w:hint="eastAsia" w:ascii="仿宋" w:hAnsi="仿宋" w:eastAsia="仿宋" w:cs="仿宋"/>
          <w:color w:val="000000" w:themeColor="text1"/>
          <w:sz w:val="24"/>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p w14:paraId="5991DCE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.本文的“质保期”是指中标标的物经约定的验收机构完成验收之日起算，截止中标人承诺的期限。</w:t>
      </w:r>
    </w:p>
    <w:p w14:paraId="2B9D2695">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11"/>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活细胞成像系统</w:t>
            </w:r>
          </w:p>
        </w:tc>
        <w:tc>
          <w:tcPr>
            <w:tcW w:w="2268" w:type="dxa"/>
          </w:tcPr>
          <w:p w14:paraId="29F1C94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科教科</w:t>
            </w:r>
          </w:p>
        </w:tc>
        <w:tc>
          <w:tcPr>
            <w:tcW w:w="2508" w:type="dxa"/>
          </w:tcPr>
          <w:p w14:paraId="5937043E">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r>
    </w:tbl>
    <w:p w14:paraId="247ACE54">
      <w:pPr>
        <w:spacing w:line="440" w:lineRule="exact"/>
        <w:rPr>
          <w:rFonts w:ascii="仿宋" w:hAnsi="仿宋" w:eastAsia="仿宋" w:cs="仿宋"/>
          <w:b/>
          <w:color w:val="000000" w:themeColor="text1"/>
          <w:sz w:val="24"/>
          <w14:textFill>
            <w14:solidFill>
              <w14:schemeClr w14:val="tx1"/>
            </w14:solidFill>
          </w14:textFill>
        </w:rPr>
      </w:pPr>
    </w:p>
    <w:p w14:paraId="426AD8A4">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技术参数：</w:t>
      </w:r>
    </w:p>
    <w:tbl>
      <w:tblPr>
        <w:tblStyle w:val="10"/>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5"/>
        <w:gridCol w:w="7517"/>
      </w:tblGrid>
      <w:tr w14:paraId="6284D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D99A">
            <w:pPr>
              <w:keepNext/>
              <w:keepLines w:val="0"/>
              <w:widowControl/>
              <w:suppressLineNumbers w:val="0"/>
              <w:snapToGrid w:val="0"/>
              <w:ind w:left="0" w:leftChars="0" w:right="0" w:rightChars="0" w:firstLine="0" w:firstLineChars="0"/>
              <w:jc w:val="center"/>
              <w:textAlignment w:val="center"/>
              <w:rPr>
                <w:rFonts w:ascii="仿宋_GB2312" w:hAnsi="宋体" w:eastAsia="仿宋_GB2312" w:cs="仿宋_GB2312"/>
                <w:b/>
                <w:i w:val="0"/>
                <w:iCs w:val="0"/>
                <w:color w:val="000000"/>
                <w:sz w:val="28"/>
                <w:szCs w:val="28"/>
                <w:u w:val="none"/>
              </w:rPr>
            </w:pPr>
            <w:r>
              <w:rPr>
                <w:rFonts w:hint="eastAsia" w:ascii="仿宋_GB2312" w:hAnsi="宋体" w:eastAsia="仿宋_GB2312" w:cs="仿宋_GB2312"/>
                <w:b/>
                <w:i w:val="0"/>
                <w:iCs w:val="0"/>
                <w:color w:val="000000"/>
                <w:kern w:val="0"/>
                <w:sz w:val="28"/>
                <w:szCs w:val="28"/>
                <w:u w:val="none"/>
                <w:lang w:val="en-US" w:eastAsia="zh-CN" w:bidi="ar"/>
              </w:rPr>
              <w:t>序号</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518B">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8"/>
                <w:szCs w:val="28"/>
                <w:u w:val="none"/>
              </w:rPr>
            </w:pPr>
            <w:r>
              <w:rPr>
                <w:rFonts w:hint="eastAsia" w:ascii="仿宋_GB2312" w:hAnsi="宋体" w:eastAsia="仿宋_GB2312" w:cs="仿宋_GB2312"/>
                <w:b/>
                <w:i w:val="0"/>
                <w:iCs w:val="0"/>
                <w:color w:val="000000"/>
                <w:kern w:val="0"/>
                <w:sz w:val="28"/>
                <w:szCs w:val="28"/>
                <w:u w:val="none"/>
                <w:lang w:val="en-US" w:eastAsia="zh-CN" w:bidi="ar"/>
              </w:rPr>
              <w:t>活细胞成像系统（1套）</w:t>
            </w:r>
          </w:p>
        </w:tc>
      </w:tr>
      <w:tr w14:paraId="46F99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BCCD">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643E1">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整机同时具备活细胞实时动态成像和全自动细胞活率计数的两类功能；无需暗室，可直接开展荧光细胞检测实验</w:t>
            </w:r>
          </w:p>
        </w:tc>
      </w:tr>
      <w:tr w14:paraId="1610A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2E1CE">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5854">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研究级倒置荧光显微镜：配备平场复消色差物镜，放大倍数涵盖10×、20×、40×，满足不同观察需求；支持明场、相差、微分干涉（DIC）及荧光观察方式。</w:t>
            </w:r>
          </w:p>
        </w:tc>
      </w:tr>
      <w:tr w14:paraId="3F288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9A65">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3</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B16C">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相机：像素≥1000万，分辨率≥2048×2048，量子效率≥80%@500nm，动态范围≥16bit，确保弱荧光信号清晰捕捉。</w:t>
            </w:r>
          </w:p>
        </w:tc>
      </w:tr>
      <w:tr w14:paraId="4B6E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B3381">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4</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D1EF">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活细胞培养环境控制系统：温度控制范围包括32℃ - 42℃，精度±0.1℃；CO</w:t>
            </w:r>
            <w:r>
              <w:rPr>
                <w:rStyle w:val="21"/>
                <w:rFonts w:ascii="仿宋_GB2312" w:eastAsia="仿宋_GB2312"/>
                <w:sz w:val="28"/>
                <w:lang w:val="en-US" w:eastAsia="zh-CN" w:bidi="ar"/>
              </w:rPr>
              <w:t>₂</w:t>
            </w:r>
            <w:r>
              <w:rPr>
                <w:rStyle w:val="22"/>
                <w:rFonts w:ascii="仿宋_GB2312" w:hAnsi="宋体" w:eastAsia="仿宋_GB2312"/>
                <w:sz w:val="28"/>
                <w:lang w:val="en-US" w:eastAsia="zh-CN" w:bidi="ar"/>
              </w:rPr>
              <w:t>浓度控制范围包括0 - 20%，精度±0.1%；相对湿度≥95%，保证细胞长时间存活与正常生理状态。</w:t>
            </w:r>
          </w:p>
        </w:tc>
      </w:tr>
      <w:tr w14:paraId="3DA2B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3ED1">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5</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C922">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整机可完全放置于CO2培养箱内，无人值守自动监测，可使用96孔板实现全自动、全靶面的活细胞实时动态成像</w:t>
            </w:r>
          </w:p>
        </w:tc>
      </w:tr>
      <w:tr w14:paraId="5A807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DB2F">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6</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1CAE">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智能化软件系统：支持自动与手动对焦、单细胞追踪、多位点时间序列成像，成像速度≥10帧/秒；具备图像拼接、3D重构、荧光强度定量分析功能，可导出多种格式实验数据。</w:t>
            </w:r>
          </w:p>
        </w:tc>
      </w:tr>
      <w:tr w14:paraId="023D7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88E6">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7</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6FD3">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具有防雾、防潮湿、防锈功能</w:t>
            </w:r>
          </w:p>
        </w:tc>
      </w:tr>
      <w:tr w14:paraId="6F1C5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8DED">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8</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CB3A">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配置4套独立荧光模块，包括红蓝绿和深红色四种荧光模式</w:t>
            </w:r>
          </w:p>
        </w:tc>
      </w:tr>
      <w:tr w14:paraId="0577A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484C">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9</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320A">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支持与激光共聚焦显微镜、流式细胞仪等设备联动；适配多种细胞培养容器，包括培养皿、多孔板、载玻片等。</w:t>
            </w:r>
          </w:p>
        </w:tc>
      </w:tr>
      <w:tr w14:paraId="1C447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F4E9F">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10</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F723">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具备远程控制与数据共享功能，支持多终端实时查看实验进程。</w:t>
            </w:r>
          </w:p>
        </w:tc>
      </w:tr>
      <w:tr w14:paraId="16FC0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D215">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11</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BF1E">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活细胞实时动态成像分析功能：包含细胞汇合度分析、细胞生长曲线分析、细胞凋亡动态分析模块、细胞周期动态分析模块、划痕实验动态分析模块、类器官动态分析功能模块、转染率动态分析功能模块、细胞杀伤、病毒空斑实验、细胞毒性分析、单克隆分析等</w:t>
            </w:r>
          </w:p>
        </w:tc>
      </w:tr>
      <w:tr w14:paraId="6EEE7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9B20">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12</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7D5E1">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计数功能：类器官计数功能模块、细胞凋亡计数模块、细胞周期计数模块；计数功能：颗粒计数功能模块、台盼蓝染色细胞活率计数功能模块、双色荧光染色细胞活率计数功能模块、转染率计数功能模块、类器官计数功能模块、细胞凋亡计数模块、细胞周期计数模块等</w:t>
            </w:r>
          </w:p>
        </w:tc>
      </w:tr>
      <w:tr w14:paraId="091D8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A5F8">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13</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61F3">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动态成像及图像视频剪辑模块：视频合成，输出视频格式至少包括MP4格式</w:t>
            </w:r>
          </w:p>
        </w:tc>
      </w:tr>
      <w:tr w14:paraId="22C44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2D31">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14</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02D3">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★无专机专用耗材</w:t>
            </w:r>
          </w:p>
        </w:tc>
      </w:tr>
      <w:tr w14:paraId="4162D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3595">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15</w:t>
            </w:r>
          </w:p>
        </w:tc>
        <w:tc>
          <w:tcPr>
            <w:tcW w:w="75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1EEC0">
            <w:pPr>
              <w:keepNext/>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★配置：软件分析工作站1套、与该系统匹配的二氧化碳培养箱1套（无专用耗材）</w:t>
            </w:r>
          </w:p>
        </w:tc>
      </w:tr>
    </w:tbl>
    <w:p w14:paraId="16234854">
      <w:pPr>
        <w:numPr>
          <w:ilvl w:val="0"/>
          <w:numId w:val="0"/>
        </w:numPr>
        <w:spacing w:line="440" w:lineRule="exact"/>
        <w:rPr>
          <w:rFonts w:hint="eastAsia" w:ascii="仿宋" w:hAnsi="仿宋" w:eastAsia="仿宋" w:cs="仿宋"/>
          <w:b/>
          <w:color w:val="000000" w:themeColor="text1"/>
          <w:sz w:val="24"/>
          <w14:textFill>
            <w14:solidFill>
              <w14:schemeClr w14:val="tx1"/>
            </w14:solidFill>
          </w14:textFill>
        </w:rPr>
      </w:pPr>
    </w:p>
    <w:p w14:paraId="11AD96EA">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商务要求：</w:t>
      </w:r>
    </w:p>
    <w:p w14:paraId="751AF881">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1.交货及安装、验收要求</w:t>
      </w:r>
    </w:p>
    <w:p w14:paraId="775C65E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1.1交货地点：采购人指定地点。</w:t>
      </w:r>
    </w:p>
    <w:p w14:paraId="1C8A2698">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1.2交货期：中标供应商应当在中标通知书发出之日起30日内按</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及中标人</w:t>
      </w:r>
      <w:bookmarkStart w:id="0" w:name="_GoBack"/>
      <w:r>
        <w:rPr>
          <w:rFonts w:hint="eastAsia" w:ascii="仿宋" w:hAnsi="仿宋" w:eastAsia="仿宋" w:cs="仿宋"/>
          <w:color w:val="000000" w:themeColor="text1"/>
          <w:sz w:val="24"/>
          <w:highlight w:val="none"/>
          <w14:textFill>
            <w14:solidFill>
              <w14:schemeClr w14:val="tx1"/>
            </w14:solidFill>
          </w14:textFill>
        </w:rPr>
        <w:t>的投标文件确定的事项与采购人签订合同，签订合同后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30</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日内完成设备的安装调试。</w:t>
      </w:r>
    </w:p>
    <w:p w14:paraId="27D3BB04">
      <w:pPr>
        <w:spacing w:line="440" w:lineRule="exac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1.3中标供应商须保证中标后所提供的设备为原装、全新合格的产品</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且原装进口产品生产日期与交货日期差值≤6个月；国产产品生产日期与交货日期差值≤3个月。</w:t>
      </w:r>
    </w:p>
    <w:p w14:paraId="33B42858">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1.5验收方式：按《小榄镇</w:t>
      </w:r>
      <w:r>
        <w:rPr>
          <w:rFonts w:hint="eastAsia" w:ascii="仿宋" w:hAnsi="仿宋" w:eastAsia="仿宋" w:cs="仿宋"/>
          <w:color w:val="000000" w:themeColor="text1"/>
          <w:sz w:val="24"/>
          <w:highlight w:val="none"/>
          <w:lang w:eastAsia="zh-CN"/>
          <w14:textFill>
            <w14:solidFill>
              <w14:schemeClr w14:val="tx1"/>
            </w14:solidFill>
          </w14:textFill>
        </w:rPr>
        <w:t>公立</w:t>
      </w:r>
      <w:r>
        <w:rPr>
          <w:rFonts w:hint="eastAsia" w:ascii="仿宋" w:hAnsi="仿宋" w:eastAsia="仿宋" w:cs="仿宋"/>
          <w:color w:val="000000" w:themeColor="text1"/>
          <w:sz w:val="24"/>
          <w:highlight w:val="none"/>
          <w14:textFill>
            <w14:solidFill>
              <w14:schemeClr w14:val="tx1"/>
            </w14:solidFill>
          </w14:textFill>
        </w:rPr>
        <w:t>医院</w:t>
      </w:r>
      <w:r>
        <w:rPr>
          <w:rFonts w:hint="eastAsia" w:ascii="仿宋" w:hAnsi="仿宋" w:eastAsia="仿宋" w:cs="仿宋"/>
          <w:color w:val="000000" w:themeColor="text1"/>
          <w:sz w:val="24"/>
          <w:highlight w:val="none"/>
          <w:lang w:eastAsia="zh-CN"/>
          <w14:textFill>
            <w14:solidFill>
              <w14:schemeClr w14:val="tx1"/>
            </w14:solidFill>
          </w14:textFill>
        </w:rPr>
        <w:t>政府</w:t>
      </w:r>
      <w:r>
        <w:rPr>
          <w:rFonts w:hint="eastAsia" w:ascii="仿宋" w:hAnsi="仿宋" w:eastAsia="仿宋" w:cs="仿宋"/>
          <w:color w:val="000000" w:themeColor="text1"/>
          <w:sz w:val="24"/>
          <w:highlight w:val="none"/>
          <w14:textFill>
            <w14:solidFill>
              <w14:schemeClr w14:val="tx1"/>
            </w14:solidFill>
          </w14:textFill>
        </w:rPr>
        <w:t>采购和验收</w:t>
      </w:r>
      <w:r>
        <w:rPr>
          <w:rFonts w:hint="eastAsia" w:ascii="仿宋" w:hAnsi="仿宋" w:eastAsia="仿宋" w:cs="仿宋"/>
          <w:color w:val="000000" w:themeColor="text1"/>
          <w:sz w:val="24"/>
          <w:highlight w:val="none"/>
          <w:lang w:eastAsia="zh-CN"/>
          <w14:textFill>
            <w14:solidFill>
              <w14:schemeClr w14:val="tx1"/>
            </w14:solidFill>
          </w14:textFill>
        </w:rPr>
        <w:t>办法</w:t>
      </w:r>
      <w:r>
        <w:rPr>
          <w:rFonts w:hint="eastAsia" w:ascii="仿宋" w:hAnsi="仿宋" w:eastAsia="仿宋" w:cs="仿宋"/>
          <w:color w:val="000000" w:themeColor="text1"/>
          <w:sz w:val="24"/>
          <w:highlight w:val="none"/>
          <w14:textFill>
            <w14:solidFill>
              <w14:schemeClr w14:val="tx1"/>
            </w14:solidFill>
          </w14:textFill>
        </w:rPr>
        <w:t>》。</w:t>
      </w:r>
    </w:p>
    <w:p w14:paraId="37607C9E">
      <w:pPr>
        <w:spacing w:line="440" w:lineRule="exac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p w14:paraId="71BBED5E">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2.售后服务要求</w:t>
      </w:r>
    </w:p>
    <w:p w14:paraId="2B351F45">
      <w:pPr>
        <w:tabs>
          <w:tab w:val="left" w:pos="420"/>
        </w:tabs>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3</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p>
    <w:p w14:paraId="34C701EB">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2.3在售后期内，中标供应商在接到用户的维修通知，响应时间为半小时内，工程师到达现场时间为4小时内，排除故障时限为到达现场后8小时内。</w:t>
      </w:r>
    </w:p>
    <w:p w14:paraId="64958E8F">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p w14:paraId="5ED331B0">
      <w:pPr>
        <w:spacing w:line="440" w:lineRule="exact"/>
        <w:rPr>
          <w:rFonts w:ascii="仿宋" w:hAnsi="仿宋" w:eastAsia="仿宋" w:cs="仿宋"/>
          <w:b/>
          <w:color w:val="000000" w:themeColor="text1"/>
          <w:sz w:val="24"/>
          <w:highlight w:val="none"/>
          <w14:textFill>
            <w14:solidFill>
              <w14:schemeClr w14:val="tx1"/>
            </w14:solidFill>
          </w14:textFill>
        </w:rPr>
      </w:pPr>
    </w:p>
    <w:p w14:paraId="5BC1A48F">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3.付款方式</w:t>
      </w:r>
    </w:p>
    <w:p w14:paraId="2B3E1177">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（2）验收调试合格报告（加盖采购人公章）；</w:t>
      </w:r>
    </w:p>
    <w:p w14:paraId="1BE3E546">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（3）中标供应商开具的正式发票（加盖发票专用章）。</w:t>
      </w:r>
    </w:p>
    <w:p w14:paraId="4C1E8C7A">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5%；合同总金额的5%</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作为第二期款项，</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质保期满</w:t>
      </w:r>
      <w:r>
        <w:rPr>
          <w:rFonts w:hint="eastAsia" w:ascii="仿宋" w:hAnsi="仿宋" w:eastAsia="仿宋" w:cs="仿宋"/>
          <w:color w:val="000000" w:themeColor="text1"/>
          <w:sz w:val="24"/>
          <w:highlight w:val="none"/>
          <w14:textFill>
            <w14:solidFill>
              <w14:schemeClr w14:val="tx1"/>
            </w14:solidFill>
          </w14:textFill>
        </w:rPr>
        <w:t>后一次性无息</w:t>
      </w:r>
      <w:r>
        <w:rPr>
          <w:rFonts w:hint="eastAsia" w:ascii="仿宋" w:hAnsi="仿宋" w:eastAsia="仿宋" w:cs="仿宋"/>
          <w:color w:val="000000" w:themeColor="text1"/>
          <w:sz w:val="24"/>
          <w:highlight w:val="none"/>
          <w:lang w:val="en-US" w:eastAsia="zh-CN"/>
          <w14:textFill>
            <w14:solidFill>
              <w14:schemeClr w14:val="tx1"/>
            </w14:solidFill>
          </w14:textFill>
        </w:rPr>
        <w:t>支付</w:t>
      </w:r>
      <w:bookmarkEnd w:id="0"/>
      <w:r>
        <w:rPr>
          <w:rFonts w:hint="eastAsia" w:ascii="仿宋" w:hAnsi="仿宋" w:eastAsia="仿宋" w:cs="仿宋"/>
          <w:color w:val="000000" w:themeColor="text1"/>
          <w:sz w:val="24"/>
          <w14:textFill>
            <w14:solidFill>
              <w14:schemeClr w14:val="tx1"/>
            </w14:solidFill>
          </w14:textFill>
        </w:rPr>
        <w:t>。</w:t>
      </w:r>
    </w:p>
    <w:p w14:paraId="7EDF3ECE">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6D067A65">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0A92B183">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63987177">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1A0FC714">
      <w:pPr>
        <w:spacing w:line="440" w:lineRule="exact"/>
        <w:jc w:val="center"/>
        <w:rPr>
          <w:rFonts w:ascii="仿宋" w:hAnsi="仿宋" w:eastAsia="仿宋" w:cs="仿宋"/>
          <w:b/>
          <w:bCs/>
          <w:color w:val="000000" w:themeColor="text1"/>
          <w:sz w:val="24"/>
          <w14:textFill>
            <w14:solidFill>
              <w14:schemeClr w14:val="tx1"/>
            </w14:solidFill>
          </w14:textFill>
        </w:rPr>
      </w:pPr>
    </w:p>
    <w:p w14:paraId="0D6B98E2">
      <w:pPr>
        <w:spacing w:line="440" w:lineRule="exact"/>
        <w:jc w:val="center"/>
        <w:rPr>
          <w:rFonts w:ascii="仿宋" w:hAnsi="仿宋" w:eastAsia="仿宋" w:cs="仿宋"/>
          <w:b/>
          <w:bCs/>
          <w:color w:val="000000" w:themeColor="text1"/>
          <w:sz w:val="24"/>
          <w14:textFill>
            <w14:solidFill>
              <w14:schemeClr w14:val="tx1"/>
            </w14:solidFill>
          </w14:textFill>
        </w:rPr>
      </w:pPr>
    </w:p>
    <w:p w14:paraId="0D31FB7F">
      <w:pPr>
        <w:spacing w:line="440" w:lineRule="exact"/>
        <w:jc w:val="center"/>
        <w:rPr>
          <w:rFonts w:ascii="仿宋" w:hAnsi="仿宋" w:eastAsia="仿宋" w:cs="仿宋"/>
          <w:b/>
          <w:bCs/>
          <w:color w:val="000000" w:themeColor="text1"/>
          <w:sz w:val="24"/>
          <w14:textFill>
            <w14:solidFill>
              <w14:schemeClr w14:val="tx1"/>
            </w14:solidFill>
          </w14:textFill>
        </w:rPr>
      </w:pPr>
    </w:p>
    <w:p w14:paraId="6729E627">
      <w:pPr>
        <w:spacing w:line="440" w:lineRule="exact"/>
        <w:jc w:val="center"/>
        <w:rPr>
          <w:rFonts w:ascii="仿宋" w:hAnsi="仿宋" w:eastAsia="仿宋" w:cs="仿宋"/>
          <w:b/>
          <w:bCs/>
          <w:color w:val="000000" w:themeColor="text1"/>
          <w:sz w:val="24"/>
          <w14:textFill>
            <w14:solidFill>
              <w14:schemeClr w14:val="tx1"/>
            </w14:solidFill>
          </w14:textFill>
        </w:rPr>
      </w:pPr>
    </w:p>
    <w:p w14:paraId="79331301">
      <w:pPr>
        <w:spacing w:line="440" w:lineRule="exact"/>
        <w:jc w:val="center"/>
        <w:rPr>
          <w:rFonts w:hint="eastAsia" w:ascii="仿宋" w:hAnsi="仿宋" w:eastAsia="仿宋" w:cs="仿宋"/>
          <w:b/>
          <w:bCs/>
          <w:color w:val="000000" w:themeColor="text1"/>
          <w:sz w:val="24"/>
          <w14:textFill>
            <w14:solidFill>
              <w14:schemeClr w14:val="tx1"/>
            </w14:solidFill>
          </w14:textFill>
        </w:rPr>
      </w:pPr>
    </w:p>
    <w:p w14:paraId="05C0B4D3">
      <w:pPr>
        <w:spacing w:line="440" w:lineRule="exact"/>
        <w:jc w:val="center"/>
        <w:rPr>
          <w:rFonts w:ascii="仿宋" w:hAnsi="仿宋" w:eastAsia="仿宋" w:cs="仿宋"/>
          <w:b/>
          <w:bCs/>
          <w:color w:val="000000" w:themeColor="text1"/>
          <w:sz w:val="24"/>
          <w14:textFill>
            <w14:solidFill>
              <w14:schemeClr w14:val="tx1"/>
            </w14:solidFill>
          </w14:textFill>
        </w:rPr>
      </w:pPr>
    </w:p>
    <w:p w14:paraId="5C71D3A0">
      <w:pPr>
        <w:spacing w:line="440" w:lineRule="exact"/>
        <w:jc w:val="center"/>
        <w:rPr>
          <w:rFonts w:ascii="仿宋" w:hAnsi="仿宋" w:eastAsia="仿宋" w:cs="仿宋"/>
          <w:b/>
          <w:bCs/>
          <w:color w:val="000000" w:themeColor="text1"/>
          <w:sz w:val="24"/>
          <w14:textFill>
            <w14:solidFill>
              <w14:schemeClr w14:val="tx1"/>
            </w14:solidFill>
          </w14:textFill>
        </w:rPr>
      </w:pPr>
    </w:p>
    <w:p w14:paraId="430CD401">
      <w:pPr>
        <w:spacing w:line="440" w:lineRule="exact"/>
        <w:jc w:val="center"/>
        <w:rPr>
          <w:rFonts w:ascii="仿宋" w:hAnsi="仿宋" w:eastAsia="仿宋" w:cs="仿宋"/>
          <w:b/>
          <w:bCs/>
          <w:color w:val="000000" w:themeColor="text1"/>
          <w:sz w:val="24"/>
          <w14:textFill>
            <w14:solidFill>
              <w14:schemeClr w14:val="tx1"/>
            </w14:solidFill>
          </w14:textFill>
        </w:rPr>
      </w:pPr>
    </w:p>
    <w:p w14:paraId="77E8FF6E">
      <w:pPr>
        <w:rPr>
          <w:rFonts w:ascii="仿宋" w:hAnsi="仿宋" w:eastAsia="仿宋" w:cs="仿宋"/>
          <w:color w:val="000000" w:themeColor="text1"/>
          <w:sz w:val="24"/>
          <w:highlight w:val="cyan"/>
          <w:lang w:val="zh-CN"/>
          <w14:textFill>
            <w14:solidFill>
              <w14:schemeClr w14:val="tx1"/>
            </w14:solidFill>
          </w14:textFill>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6"/>
        </w:pPr>
        <w:r>
          <w:rPr>
            <w:rFonts w:hint="eastAsia"/>
            <w:lang w:val="en-US" w:eastAsia="zh-CN"/>
          </w:rPr>
          <w:t>需求科室</w:t>
        </w:r>
        <w:r>
          <w:rPr>
            <w:rFonts w:hint="eastAsia"/>
          </w:rPr>
          <w:t>：                                审核</w:t>
        </w:r>
        <w:r>
          <w:rPr>
            <w:rFonts w:hint="eastAsia"/>
            <w:lang w:val="en-US" w:eastAsia="zh-CN"/>
          </w:rPr>
          <w:t>科室</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6"/>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27725AF"/>
    <w:rsid w:val="126775F5"/>
    <w:rsid w:val="140524A5"/>
    <w:rsid w:val="17A84A31"/>
    <w:rsid w:val="18AC198D"/>
    <w:rsid w:val="1A362D0A"/>
    <w:rsid w:val="1A9A1AE2"/>
    <w:rsid w:val="1DB403E5"/>
    <w:rsid w:val="1E8B3C3C"/>
    <w:rsid w:val="1F0C2891"/>
    <w:rsid w:val="1FF004A0"/>
    <w:rsid w:val="21601D26"/>
    <w:rsid w:val="21F75571"/>
    <w:rsid w:val="26AC3567"/>
    <w:rsid w:val="27094723"/>
    <w:rsid w:val="28261D07"/>
    <w:rsid w:val="2A710EAE"/>
    <w:rsid w:val="2B9A59A4"/>
    <w:rsid w:val="2CAB1A01"/>
    <w:rsid w:val="2D887C39"/>
    <w:rsid w:val="2D993838"/>
    <w:rsid w:val="2E110DC4"/>
    <w:rsid w:val="33712CFE"/>
    <w:rsid w:val="33895773"/>
    <w:rsid w:val="361954A6"/>
    <w:rsid w:val="3C740147"/>
    <w:rsid w:val="3E9B4363"/>
    <w:rsid w:val="3EEE625E"/>
    <w:rsid w:val="443A5766"/>
    <w:rsid w:val="44746547"/>
    <w:rsid w:val="452E1AD6"/>
    <w:rsid w:val="4BF76F64"/>
    <w:rsid w:val="4EBD0A92"/>
    <w:rsid w:val="579F1125"/>
    <w:rsid w:val="580B6E52"/>
    <w:rsid w:val="58B3555A"/>
    <w:rsid w:val="5A3921D0"/>
    <w:rsid w:val="5DC71851"/>
    <w:rsid w:val="656A70AF"/>
    <w:rsid w:val="66AA15BF"/>
    <w:rsid w:val="69340CF8"/>
    <w:rsid w:val="6BD2675F"/>
    <w:rsid w:val="6C171CF3"/>
    <w:rsid w:val="6DDF526D"/>
    <w:rsid w:val="6F2A17D8"/>
    <w:rsid w:val="741675AD"/>
    <w:rsid w:val="744B3E55"/>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character" w:customStyle="1" w:styleId="21">
    <w:name w:val="font21"/>
    <w:basedOn w:val="12"/>
    <w:qFormat/>
    <w:uiPriority w:val="0"/>
    <w:rPr>
      <w:rFonts w:hint="default" w:ascii="Times New Roman" w:hAnsi="Times New Roman" w:cs="Times New Roman"/>
      <w:color w:val="000000"/>
      <w:sz w:val="28"/>
      <w:szCs w:val="28"/>
      <w:u w:val="none"/>
    </w:rPr>
  </w:style>
  <w:style w:type="character" w:customStyle="1" w:styleId="22">
    <w:name w:val="font11"/>
    <w:basedOn w:val="12"/>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1991</Words>
  <Characters>2080</Characters>
  <Lines>2</Lines>
  <Paragraphs>6</Paragraphs>
  <TotalTime>9</TotalTime>
  <ScaleCrop>false</ScaleCrop>
  <LinksUpToDate>false</LinksUpToDate>
  <CharactersWithSpaces>2093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维</cp:lastModifiedBy>
  <cp:lastPrinted>2021-08-11T08:36:00Z</cp:lastPrinted>
  <dcterms:modified xsi:type="dcterms:W3CDTF">2026-09-09T03:39:41Z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EDC6F47193E24A90AFDE28FD35400BAD_13</vt:lpwstr>
  </property>
  <property fmtid="{D5CDD505-2E9C-101B-9397-08002B2CF9AE}" pid="4" name="KSOTemplateDocerSaveRecord">
    <vt:lpwstr>eyJoZGlkIjoiZTIwMTMwYTA2NTI3OTgwOGYwYzA4NmFiZDYzYTU5NzEiLCJ1c2VySWQiOiI2NzkzNTU2NjEifQ==</vt:lpwstr>
  </property>
</Properties>
</file>