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CACF997">
      <w:pPr>
        <w:jc w:val="left"/>
        <w:rPr>
          <w:rFonts w:ascii="黑体" w:hAnsi="黑体" w:eastAsia="黑体"/>
          <w:color w:val="000000" w:themeColor="text1"/>
          <w:sz w:val="24"/>
        </w:rPr>
      </w:pPr>
      <w:r>
        <w:rPr>
          <w:rFonts w:hint="eastAsia" w:ascii="黑体" w:hAnsi="黑体" w:eastAsia="黑体"/>
          <w:color w:val="000000" w:themeColor="text1"/>
          <w:sz w:val="24"/>
        </w:rPr>
        <w:t>表1</w:t>
      </w:r>
    </w:p>
    <w:p w14:paraId="603468F1">
      <w:pPr>
        <w:jc w:val="center"/>
        <w:rPr>
          <w:rFonts w:ascii="黑体" w:hAnsi="黑体" w:eastAsia="黑体"/>
          <w:b/>
          <w:color w:val="000000" w:themeColor="text1"/>
          <w:kern w:val="28"/>
          <w:sz w:val="44"/>
          <w:szCs w:val="44"/>
        </w:rPr>
      </w:pPr>
      <w:r>
        <w:rPr>
          <w:rFonts w:hint="eastAsia" w:ascii="黑体" w:hAnsi="黑体" w:eastAsia="黑体"/>
          <w:color w:val="000000" w:themeColor="text1"/>
          <w:sz w:val="44"/>
          <w:szCs w:val="44"/>
        </w:rPr>
        <w:t>采购需求书</w:t>
      </w:r>
    </w:p>
    <w:p w14:paraId="2F170CE2">
      <w:pPr>
        <w:jc w:val="center"/>
        <w:rPr>
          <w:rFonts w:ascii="宋体" w:hAnsi="宋体"/>
          <w:b/>
          <w:color w:val="000000" w:themeColor="text1"/>
          <w:kern w:val="28"/>
          <w:sz w:val="44"/>
          <w:szCs w:val="36"/>
        </w:rPr>
      </w:pPr>
    </w:p>
    <w:tbl>
      <w:tblPr>
        <w:tblStyle w:val="9"/>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49"/>
        <w:gridCol w:w="4194"/>
        <w:gridCol w:w="4147"/>
      </w:tblGrid>
      <w:tr w14:paraId="0CF899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249" w:type="dxa"/>
            <w:vAlign w:val="center"/>
          </w:tcPr>
          <w:p w14:paraId="1C79DD27">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申请科室</w:t>
            </w:r>
          </w:p>
        </w:tc>
        <w:tc>
          <w:tcPr>
            <w:tcW w:w="8341" w:type="dxa"/>
            <w:gridSpan w:val="2"/>
            <w:vAlign w:val="center"/>
          </w:tcPr>
          <w:p w14:paraId="40BEDFDE">
            <w:pPr>
              <w:spacing w:line="440" w:lineRule="exact"/>
              <w:jc w:val="center"/>
              <w:rPr>
                <w:rFonts w:hint="eastAsia" w:ascii="宋体" w:hAnsi="宋体" w:eastAsiaTheme="minorEastAsia"/>
                <w:color w:val="000000" w:themeColor="text1"/>
                <w:sz w:val="24"/>
                <w:highlight w:val="none"/>
                <w:lang w:eastAsia="zh-CN"/>
              </w:rPr>
            </w:pPr>
            <w:r>
              <w:rPr>
                <w:rFonts w:hint="eastAsia" w:ascii="宋体" w:hAnsi="宋体"/>
                <w:color w:val="000000" w:themeColor="text1"/>
                <w:sz w:val="24"/>
                <w:highlight w:val="none"/>
                <w:lang w:val="en-US" w:eastAsia="zh-CN"/>
              </w:rPr>
              <w:t>总务科</w:t>
            </w:r>
          </w:p>
        </w:tc>
      </w:tr>
      <w:tr w14:paraId="39B6EB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1249" w:type="dxa"/>
            <w:vAlign w:val="center"/>
          </w:tcPr>
          <w:p w14:paraId="5ABFF15F">
            <w:pPr>
              <w:spacing w:line="440" w:lineRule="exact"/>
              <w:jc w:val="center"/>
              <w:rPr>
                <w:rFonts w:hint="default" w:ascii="宋体" w:hAnsi="宋体" w:eastAsia="宋体"/>
                <w:b/>
                <w:color w:val="000000" w:themeColor="text1"/>
                <w:sz w:val="24"/>
                <w:highlight w:val="none"/>
                <w:lang w:val="en-US" w:eastAsia="zh-CN"/>
              </w:rPr>
            </w:pPr>
            <w:r>
              <w:rPr>
                <w:rFonts w:hint="eastAsia" w:ascii="宋体" w:hAnsi="宋体" w:eastAsia="宋体"/>
                <w:b/>
                <w:color w:val="000000" w:themeColor="text1"/>
                <w:sz w:val="24"/>
                <w:highlight w:val="none"/>
                <w:lang w:val="en-US" w:eastAsia="zh-CN"/>
              </w:rPr>
              <w:t>归口科室</w:t>
            </w:r>
          </w:p>
        </w:tc>
        <w:tc>
          <w:tcPr>
            <w:tcW w:w="8341" w:type="dxa"/>
            <w:gridSpan w:val="2"/>
            <w:vAlign w:val="center"/>
          </w:tcPr>
          <w:p w14:paraId="18338837">
            <w:pPr>
              <w:spacing w:line="440" w:lineRule="exact"/>
              <w:jc w:val="center"/>
              <w:rPr>
                <w:rFonts w:hint="default" w:ascii="宋体" w:hAnsi="宋体"/>
                <w:color w:val="000000" w:themeColor="text1"/>
                <w:sz w:val="24"/>
                <w:highlight w:val="none"/>
                <w:lang w:val="en-US" w:eastAsia="zh-CN"/>
              </w:rPr>
            </w:pPr>
            <w:r>
              <w:rPr>
                <w:rFonts w:hint="eastAsia" w:ascii="宋体" w:hAnsi="宋体"/>
                <w:color w:val="000000" w:themeColor="text1"/>
                <w:sz w:val="24"/>
                <w:highlight w:val="none"/>
                <w:lang w:val="en-US" w:eastAsia="zh-CN"/>
              </w:rPr>
              <w:t>总务科</w:t>
            </w:r>
          </w:p>
        </w:tc>
      </w:tr>
      <w:tr w14:paraId="3B78B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050F7B88">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项目名称</w:t>
            </w:r>
          </w:p>
        </w:tc>
        <w:tc>
          <w:tcPr>
            <w:tcW w:w="8341" w:type="dxa"/>
            <w:gridSpan w:val="2"/>
            <w:vAlign w:val="center"/>
          </w:tcPr>
          <w:p w14:paraId="0CA7501D">
            <w:pPr>
              <w:spacing w:line="440" w:lineRule="exact"/>
              <w:jc w:val="center"/>
              <w:rPr>
                <w:rFonts w:ascii="宋体" w:hAnsi="宋体"/>
                <w:color w:val="000000" w:themeColor="text1"/>
                <w:sz w:val="24"/>
                <w:highlight w:val="none"/>
              </w:rPr>
            </w:pPr>
            <w:r>
              <w:rPr>
                <w:rFonts w:hint="eastAsia" w:ascii="宋体" w:hAnsi="宋体"/>
                <w:color w:val="000000" w:themeColor="text1"/>
                <w:sz w:val="24"/>
                <w:highlight w:val="none"/>
                <w:lang w:val="en-US" w:eastAsia="zh-CN"/>
              </w:rPr>
              <w:t>妇幼楼洁净空调机房洁</w:t>
            </w:r>
            <w:bookmarkStart w:id="0" w:name="_GoBack"/>
            <w:bookmarkEnd w:id="0"/>
            <w:r>
              <w:rPr>
                <w:rFonts w:hint="eastAsia" w:ascii="宋体" w:hAnsi="宋体"/>
                <w:color w:val="000000" w:themeColor="text1"/>
                <w:sz w:val="24"/>
                <w:highlight w:val="none"/>
                <w:lang w:val="en-US" w:eastAsia="zh-CN"/>
              </w:rPr>
              <w:t>净风柜漏水维修</w:t>
            </w:r>
            <w:r>
              <w:rPr>
                <w:rFonts w:ascii="宋体" w:hAnsi="宋体"/>
                <w:color w:val="000000" w:themeColor="text1"/>
                <w:sz w:val="24"/>
                <w:highlight w:val="none"/>
              </w:rPr>
              <w:t>项目</w:t>
            </w:r>
          </w:p>
        </w:tc>
      </w:tr>
      <w:tr w14:paraId="709995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32048E91">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预算金额</w:t>
            </w:r>
          </w:p>
        </w:tc>
        <w:tc>
          <w:tcPr>
            <w:tcW w:w="8341" w:type="dxa"/>
            <w:gridSpan w:val="2"/>
            <w:vAlign w:val="center"/>
          </w:tcPr>
          <w:p w14:paraId="7AAAB265">
            <w:pPr>
              <w:spacing w:line="440" w:lineRule="exact"/>
              <w:jc w:val="center"/>
              <w:rPr>
                <w:rFonts w:ascii="宋体" w:hAnsi="宋体"/>
                <w:color w:val="000000" w:themeColor="text1"/>
                <w:sz w:val="24"/>
                <w:highlight w:val="none"/>
              </w:rPr>
            </w:pPr>
            <w:r>
              <w:rPr>
                <w:rFonts w:hint="eastAsia" w:ascii="宋体" w:hAnsi="宋体"/>
                <w:color w:val="000000" w:themeColor="text1"/>
                <w:sz w:val="24"/>
                <w:highlight w:val="none"/>
                <w:lang w:val="en-US" w:eastAsia="zh-CN"/>
              </w:rPr>
              <w:t>17842.70</w:t>
            </w:r>
            <w:r>
              <w:rPr>
                <w:rFonts w:hint="eastAsia" w:ascii="宋体" w:hAnsi="宋体"/>
                <w:color w:val="000000" w:themeColor="text1"/>
                <w:sz w:val="24"/>
                <w:highlight w:val="none"/>
              </w:rPr>
              <w:t>元</w:t>
            </w:r>
          </w:p>
        </w:tc>
      </w:tr>
      <w:tr w14:paraId="35C96B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0" w:hRule="atLeast"/>
          <w:jc w:val="center"/>
        </w:trPr>
        <w:tc>
          <w:tcPr>
            <w:tcW w:w="1249" w:type="dxa"/>
            <w:vAlign w:val="center"/>
          </w:tcPr>
          <w:p w14:paraId="46F67E2B">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数量</w:t>
            </w:r>
          </w:p>
        </w:tc>
        <w:tc>
          <w:tcPr>
            <w:tcW w:w="8341" w:type="dxa"/>
            <w:gridSpan w:val="2"/>
            <w:vAlign w:val="center"/>
          </w:tcPr>
          <w:p w14:paraId="57C5180B">
            <w:pPr>
              <w:spacing w:line="440" w:lineRule="exact"/>
              <w:jc w:val="center"/>
              <w:rPr>
                <w:rFonts w:ascii="宋体" w:hAnsi="宋体"/>
                <w:color w:val="000000" w:themeColor="text1"/>
                <w:sz w:val="24"/>
                <w:highlight w:val="none"/>
              </w:rPr>
            </w:pPr>
            <w:r>
              <w:rPr>
                <w:rFonts w:hint="eastAsia" w:ascii="宋体" w:hAnsi="宋体"/>
                <w:color w:val="000000" w:themeColor="text1"/>
                <w:sz w:val="24"/>
                <w:highlight w:val="none"/>
              </w:rPr>
              <w:t>1项</w:t>
            </w:r>
          </w:p>
        </w:tc>
      </w:tr>
      <w:tr w14:paraId="25D02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1249" w:type="dxa"/>
            <w:vAlign w:val="center"/>
          </w:tcPr>
          <w:p w14:paraId="4CEA3374">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采购要求</w:t>
            </w:r>
          </w:p>
        </w:tc>
        <w:tc>
          <w:tcPr>
            <w:tcW w:w="8341" w:type="dxa"/>
            <w:gridSpan w:val="2"/>
          </w:tcPr>
          <w:p w14:paraId="5B93C228">
            <w:pPr>
              <w:spacing w:line="440" w:lineRule="exact"/>
              <w:rPr>
                <w:rFonts w:ascii="宋体" w:hAnsi="宋体"/>
                <w:b/>
                <w:bCs/>
                <w:color w:val="000000" w:themeColor="text1"/>
                <w:szCs w:val="21"/>
                <w:highlight w:val="none"/>
              </w:rPr>
            </w:pPr>
            <w:r>
              <w:rPr>
                <w:rFonts w:ascii="宋体" w:hAnsi="宋体"/>
                <w:b/>
                <w:bCs/>
                <w:color w:val="000000" w:themeColor="text1"/>
                <w:szCs w:val="21"/>
                <w:highlight w:val="none"/>
              </w:rPr>
              <w:t>一、项目内容</w:t>
            </w:r>
          </w:p>
          <w:p w14:paraId="7F05D7BB">
            <w:pPr>
              <w:spacing w:line="440" w:lineRule="exact"/>
              <w:ind w:firstLine="420" w:firstLineChars="200"/>
              <w:rPr>
                <w:rFonts w:hint="default" w:ascii="宋体" w:hAnsi="宋体" w:eastAsiaTheme="minorEastAsia"/>
                <w:color w:val="000000" w:themeColor="text1"/>
                <w:szCs w:val="21"/>
                <w:highlight w:val="none"/>
                <w:lang w:val="en-US" w:eastAsia="zh-CN"/>
              </w:rPr>
            </w:pPr>
            <w:r>
              <w:rPr>
                <w:rFonts w:hint="eastAsia" w:ascii="宋体" w:hAnsi="宋体"/>
                <w:color w:val="000000" w:themeColor="text1"/>
                <w:szCs w:val="21"/>
                <w:highlight w:val="none"/>
                <w:lang w:val="en-US" w:eastAsia="zh-CN"/>
              </w:rPr>
              <w:t>对我院妇幼楼洁净空调机房洁净风柜进行漏水维修</w:t>
            </w:r>
            <w:r>
              <w:rPr>
                <w:rFonts w:hint="eastAsia" w:ascii="宋体" w:hAnsi="宋体"/>
                <w:color w:val="000000" w:themeColor="text1"/>
                <w:szCs w:val="21"/>
                <w:highlight w:val="none"/>
              </w:rPr>
              <w:t>（详</w:t>
            </w:r>
            <w:r>
              <w:rPr>
                <w:rFonts w:hint="eastAsia" w:ascii="宋体" w:hAnsi="宋体"/>
                <w:color w:val="auto"/>
                <w:szCs w:val="21"/>
                <w:highlight w:val="none"/>
              </w:rPr>
              <w:t>见</w:t>
            </w:r>
            <w:r>
              <w:rPr>
                <w:rFonts w:hint="eastAsia" w:ascii="宋体" w:hAnsi="宋体"/>
                <w:color w:val="auto"/>
                <w:szCs w:val="21"/>
                <w:highlight w:val="none"/>
                <w:lang w:val="en-US" w:eastAsia="zh-CN"/>
              </w:rPr>
              <w:t>项目</w:t>
            </w:r>
            <w:r>
              <w:rPr>
                <w:rFonts w:hint="eastAsia" w:ascii="宋体" w:hAnsi="宋体"/>
                <w:color w:val="auto"/>
                <w:szCs w:val="21"/>
                <w:highlight w:val="none"/>
              </w:rPr>
              <w:t>清</w:t>
            </w:r>
            <w:r>
              <w:rPr>
                <w:rFonts w:hint="eastAsia" w:ascii="宋体" w:hAnsi="宋体"/>
                <w:color w:val="000000" w:themeColor="text1"/>
                <w:szCs w:val="21"/>
                <w:highlight w:val="none"/>
              </w:rPr>
              <w:t>单）</w:t>
            </w:r>
            <w:r>
              <w:rPr>
                <w:rFonts w:hint="eastAsia" w:ascii="宋体" w:hAnsi="宋体"/>
                <w:color w:val="000000" w:themeColor="text1"/>
                <w:szCs w:val="21"/>
                <w:highlight w:val="none"/>
                <w:lang w:eastAsia="zh-CN"/>
              </w:rPr>
              <w:t>，</w:t>
            </w:r>
            <w:r>
              <w:rPr>
                <w:rFonts w:hint="eastAsia" w:ascii="宋体" w:hAnsi="宋体"/>
                <w:color w:val="000000" w:themeColor="text1"/>
                <w:szCs w:val="21"/>
                <w:highlight w:val="none"/>
                <w:lang w:val="en-US" w:eastAsia="zh-CN"/>
              </w:rPr>
              <w:t>故障为蒸发器连接铁管严重锈蚀穿孔漏水</w:t>
            </w:r>
            <w:r>
              <w:rPr>
                <w:rFonts w:hint="eastAsia" w:ascii="宋体" w:hAnsi="宋体"/>
                <w:color w:val="000000" w:themeColor="text1"/>
                <w:szCs w:val="21"/>
                <w:highlight w:val="none"/>
              </w:rPr>
              <w:t>。</w:t>
            </w:r>
            <w:r>
              <w:rPr>
                <w:rFonts w:hint="eastAsia" w:ascii="宋体" w:hAnsi="宋体"/>
                <w:color w:val="000000" w:themeColor="text1"/>
                <w:szCs w:val="21"/>
                <w:highlight w:val="none"/>
                <w:lang w:val="en-US" w:eastAsia="zh-CN"/>
              </w:rPr>
              <w:t>项目不组织统一现场勘察，可以自行前往勘察。</w:t>
            </w:r>
          </w:p>
          <w:p w14:paraId="1144C148">
            <w:pPr>
              <w:spacing w:line="440" w:lineRule="exact"/>
              <w:rPr>
                <w:rFonts w:ascii="宋体" w:hAnsi="宋体"/>
                <w:color w:val="000000" w:themeColor="text1"/>
                <w:szCs w:val="21"/>
                <w:highlight w:val="none"/>
              </w:rPr>
            </w:pPr>
            <w:r>
              <w:rPr>
                <w:rFonts w:hint="eastAsia" w:ascii="宋体" w:hAnsi="宋体"/>
                <w:color w:val="000000" w:themeColor="text1"/>
                <w:szCs w:val="21"/>
                <w:highlight w:val="none"/>
                <w:lang w:val="en-US" w:eastAsia="zh-CN"/>
              </w:rPr>
              <w:t>项目</w:t>
            </w:r>
            <w:r>
              <w:rPr>
                <w:rFonts w:hint="eastAsia" w:ascii="宋体" w:hAnsi="宋体"/>
                <w:color w:val="000000" w:themeColor="text1"/>
                <w:szCs w:val="21"/>
                <w:highlight w:val="none"/>
              </w:rPr>
              <w:t>清单：</w:t>
            </w:r>
          </w:p>
          <w:tbl>
            <w:tblPr>
              <w:tblStyle w:val="9"/>
              <w:tblW w:w="76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17"/>
              <w:gridCol w:w="1896"/>
              <w:gridCol w:w="2641"/>
              <w:gridCol w:w="750"/>
              <w:gridCol w:w="720"/>
              <w:gridCol w:w="883"/>
            </w:tblGrid>
            <w:tr w14:paraId="099C15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vAlign w:val="center"/>
                </w:tcPr>
                <w:p w14:paraId="45FF6EFE">
                  <w:pPr>
                    <w:spacing w:line="440" w:lineRule="exact"/>
                    <w:jc w:val="center"/>
                    <w:rPr>
                      <w:rFonts w:ascii="宋体" w:hAnsi="宋体"/>
                      <w:color w:val="000000" w:themeColor="text1"/>
                      <w:sz w:val="21"/>
                      <w:szCs w:val="21"/>
                      <w:highlight w:val="none"/>
                    </w:rPr>
                  </w:pPr>
                  <w:r>
                    <w:rPr>
                      <w:rFonts w:ascii="宋体" w:hAnsi="宋体"/>
                      <w:color w:val="000000" w:themeColor="text1"/>
                      <w:sz w:val="21"/>
                      <w:szCs w:val="21"/>
                      <w:highlight w:val="none"/>
                    </w:rPr>
                    <w:t>序号</w:t>
                  </w:r>
                </w:p>
              </w:tc>
              <w:tc>
                <w:tcPr>
                  <w:tcW w:w="1896" w:type="dxa"/>
                  <w:vAlign w:val="center"/>
                </w:tcPr>
                <w:p w14:paraId="6E75C439">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auto"/>
                      <w:sz w:val="21"/>
                      <w:szCs w:val="21"/>
                      <w:highlight w:val="none"/>
                      <w:lang w:val="en-US" w:eastAsia="zh-CN"/>
                    </w:rPr>
                    <w:t>项目内容</w:t>
                  </w:r>
                </w:p>
              </w:tc>
              <w:tc>
                <w:tcPr>
                  <w:tcW w:w="2641" w:type="dxa"/>
                  <w:vAlign w:val="center"/>
                </w:tcPr>
                <w:p w14:paraId="2F9EB1A1">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规格要求</w:t>
                  </w:r>
                </w:p>
              </w:tc>
              <w:tc>
                <w:tcPr>
                  <w:tcW w:w="750" w:type="dxa"/>
                  <w:vAlign w:val="center"/>
                </w:tcPr>
                <w:p w14:paraId="4B4C1D32">
                  <w:pPr>
                    <w:spacing w:line="440" w:lineRule="exact"/>
                    <w:jc w:val="center"/>
                    <w:rPr>
                      <w:rFonts w:ascii="宋体" w:hAnsi="宋体"/>
                      <w:color w:val="000000" w:themeColor="text1"/>
                      <w:sz w:val="21"/>
                      <w:szCs w:val="21"/>
                      <w:highlight w:val="none"/>
                    </w:rPr>
                  </w:pPr>
                  <w:r>
                    <w:rPr>
                      <w:rFonts w:ascii="宋体" w:hAnsi="宋体"/>
                      <w:color w:val="000000" w:themeColor="text1"/>
                      <w:sz w:val="21"/>
                      <w:szCs w:val="21"/>
                      <w:highlight w:val="none"/>
                    </w:rPr>
                    <w:t>数量</w:t>
                  </w:r>
                </w:p>
              </w:tc>
              <w:tc>
                <w:tcPr>
                  <w:tcW w:w="720" w:type="dxa"/>
                  <w:vAlign w:val="center"/>
                </w:tcPr>
                <w:p w14:paraId="0DB9B7A3">
                  <w:pPr>
                    <w:spacing w:line="440" w:lineRule="exact"/>
                    <w:jc w:val="center"/>
                    <w:rPr>
                      <w:rFonts w:ascii="宋体" w:hAnsi="宋体"/>
                      <w:color w:val="000000" w:themeColor="text1"/>
                      <w:sz w:val="21"/>
                      <w:szCs w:val="21"/>
                      <w:highlight w:val="none"/>
                    </w:rPr>
                  </w:pPr>
                  <w:r>
                    <w:rPr>
                      <w:rFonts w:ascii="宋体" w:hAnsi="宋体"/>
                      <w:color w:val="000000" w:themeColor="text1"/>
                      <w:sz w:val="21"/>
                      <w:szCs w:val="21"/>
                      <w:highlight w:val="none"/>
                    </w:rPr>
                    <w:t>单位</w:t>
                  </w:r>
                </w:p>
              </w:tc>
              <w:tc>
                <w:tcPr>
                  <w:tcW w:w="883" w:type="dxa"/>
                  <w:vAlign w:val="center"/>
                </w:tcPr>
                <w:p w14:paraId="1CA58272">
                  <w:pPr>
                    <w:spacing w:line="440" w:lineRule="exact"/>
                    <w:jc w:val="center"/>
                    <w:rPr>
                      <w:rFonts w:ascii="宋体" w:hAnsi="宋体"/>
                      <w:color w:val="000000" w:themeColor="text1"/>
                      <w:sz w:val="21"/>
                      <w:szCs w:val="21"/>
                      <w:highlight w:val="none"/>
                    </w:rPr>
                  </w:pPr>
                  <w:r>
                    <w:rPr>
                      <w:rFonts w:ascii="宋体" w:hAnsi="宋体"/>
                      <w:color w:val="000000" w:themeColor="text1"/>
                      <w:sz w:val="21"/>
                      <w:szCs w:val="21"/>
                      <w:highlight w:val="none"/>
                    </w:rPr>
                    <w:t>备注</w:t>
                  </w:r>
                </w:p>
              </w:tc>
            </w:tr>
            <w:tr w14:paraId="071D8E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 w:hRule="atLeast"/>
                <w:jc w:val="center"/>
              </w:trPr>
              <w:tc>
                <w:tcPr>
                  <w:tcW w:w="717" w:type="dxa"/>
                  <w:vAlign w:val="center"/>
                </w:tcPr>
                <w:p w14:paraId="1301E6E4">
                  <w:pPr>
                    <w:spacing w:line="440" w:lineRule="exact"/>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1</w:t>
                  </w:r>
                </w:p>
              </w:tc>
              <w:tc>
                <w:tcPr>
                  <w:tcW w:w="1896" w:type="dxa"/>
                  <w:vAlign w:val="center"/>
                </w:tcPr>
                <w:p w14:paraId="7D06CACC">
                  <w:pPr>
                    <w:spacing w:line="440" w:lineRule="exact"/>
                    <w:jc w:val="center"/>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新风柜表冷器</w:t>
                  </w:r>
                </w:p>
              </w:tc>
              <w:tc>
                <w:tcPr>
                  <w:tcW w:w="2641" w:type="dxa"/>
                  <w:vAlign w:val="center"/>
                </w:tcPr>
                <w:p w14:paraId="2EE03AE3">
                  <w:pPr>
                    <w:numPr>
                      <w:ilvl w:val="0"/>
                      <w:numId w:val="0"/>
                    </w:numPr>
                    <w:spacing w:line="440" w:lineRule="exact"/>
                    <w:jc w:val="center"/>
                    <w:rPr>
                      <w:rFonts w:hint="eastAsia" w:ascii="宋体" w:hAnsi="宋体"/>
                      <w:color w:val="000000" w:themeColor="text1"/>
                      <w:sz w:val="21"/>
                      <w:szCs w:val="21"/>
                      <w:highlight w:val="none"/>
                      <w:lang w:val="en-US" w:eastAsia="zh-CN"/>
                    </w:rPr>
                  </w:pPr>
                  <w:r>
                    <w:rPr>
                      <w:rFonts w:hint="eastAsia" w:ascii="宋体" w:hAnsi="宋体" w:eastAsiaTheme="minorEastAsia" w:cstheme="minorBidi"/>
                      <w:color w:val="000000" w:themeColor="text1"/>
                      <w:kern w:val="2"/>
                      <w:sz w:val="21"/>
                      <w:szCs w:val="21"/>
                      <w:highlight w:val="none"/>
                      <w:lang w:val="en-US" w:eastAsia="zh-CN" w:bidi="ar-SA"/>
                    </w:rPr>
                    <w:t>1、</w:t>
                  </w:r>
                  <w:r>
                    <w:rPr>
                      <w:rFonts w:hint="eastAsia" w:ascii="宋体" w:hAnsi="宋体"/>
                      <w:color w:val="000000" w:themeColor="text1"/>
                      <w:sz w:val="21"/>
                      <w:szCs w:val="21"/>
                      <w:highlight w:val="none"/>
                      <w:lang w:val="en-US" w:eastAsia="zh-CN"/>
                    </w:rPr>
                    <w:t>适配原来新风柜（型号：</w:t>
                  </w:r>
                  <w:r>
                    <w:rPr>
                      <w:rFonts w:hint="eastAsia" w:ascii="仿宋_GB2312" w:hAnsi="仿宋_GB2312" w:eastAsia="仿宋_GB2312" w:cs="仿宋_GB2312"/>
                      <w:b w:val="0"/>
                      <w:i w:val="0"/>
                      <w:strike w:val="0"/>
                      <w:color w:val="auto"/>
                      <w:kern w:val="2"/>
                      <w:sz w:val="24"/>
                      <w:szCs w:val="24"/>
                      <w:highlight w:val="none"/>
                      <w:u w:val="none"/>
                      <w:lang w:val="en-US" w:eastAsia="zh-CN" w:bidi="ar-SA"/>
                    </w:rPr>
                    <w:t>AHU3-6/XF3-4</w:t>
                  </w:r>
                  <w:r>
                    <w:rPr>
                      <w:rFonts w:hint="eastAsia" w:ascii="宋体" w:hAnsi="宋体"/>
                      <w:color w:val="000000" w:themeColor="text1"/>
                      <w:sz w:val="21"/>
                      <w:szCs w:val="21"/>
                      <w:highlight w:val="none"/>
                      <w:lang w:val="en-US" w:eastAsia="zh-CN"/>
                    </w:rPr>
                    <w:t>），须与原系统管路、电气接口兼容</w:t>
                  </w:r>
                </w:p>
                <w:p w14:paraId="1586C011">
                  <w:pPr>
                    <w:numPr>
                      <w:ilvl w:val="0"/>
                      <w:numId w:val="0"/>
                    </w:numPr>
                    <w:spacing w:line="440" w:lineRule="exact"/>
                    <w:jc w:val="center"/>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2、洁净等级：十万级</w:t>
                  </w:r>
                </w:p>
              </w:tc>
              <w:tc>
                <w:tcPr>
                  <w:tcW w:w="750" w:type="dxa"/>
                  <w:vAlign w:val="center"/>
                </w:tcPr>
                <w:p w14:paraId="2D273FC1">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w:t>
                  </w:r>
                </w:p>
              </w:tc>
              <w:tc>
                <w:tcPr>
                  <w:tcW w:w="720" w:type="dxa"/>
                  <w:vAlign w:val="center"/>
                </w:tcPr>
                <w:p w14:paraId="09B88D95">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台</w:t>
                  </w:r>
                </w:p>
              </w:tc>
              <w:tc>
                <w:tcPr>
                  <w:tcW w:w="883" w:type="dxa"/>
                  <w:vAlign w:val="center"/>
                </w:tcPr>
                <w:p w14:paraId="1CDBFCD1">
                  <w:pPr>
                    <w:spacing w:line="440" w:lineRule="exact"/>
                    <w:jc w:val="center"/>
                    <w:rPr>
                      <w:rFonts w:ascii="宋体" w:hAnsi="宋体"/>
                      <w:color w:val="000000" w:themeColor="text1"/>
                      <w:sz w:val="21"/>
                      <w:szCs w:val="21"/>
                      <w:highlight w:val="none"/>
                    </w:rPr>
                  </w:pPr>
                </w:p>
              </w:tc>
            </w:tr>
            <w:tr w14:paraId="1080D0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vAlign w:val="center"/>
                </w:tcPr>
                <w:p w14:paraId="630A017F">
                  <w:pPr>
                    <w:spacing w:line="440" w:lineRule="exact"/>
                    <w:jc w:val="center"/>
                    <w:rPr>
                      <w:rFonts w:ascii="宋体" w:hAnsi="宋体"/>
                      <w:color w:val="000000" w:themeColor="text1"/>
                      <w:sz w:val="21"/>
                      <w:szCs w:val="21"/>
                      <w:highlight w:val="none"/>
                    </w:rPr>
                  </w:pPr>
                  <w:r>
                    <w:rPr>
                      <w:rFonts w:hint="eastAsia" w:ascii="宋体" w:hAnsi="宋体"/>
                      <w:color w:val="000000" w:themeColor="text1"/>
                      <w:sz w:val="21"/>
                      <w:szCs w:val="21"/>
                      <w:highlight w:val="none"/>
                    </w:rPr>
                    <w:t>2</w:t>
                  </w:r>
                </w:p>
              </w:tc>
              <w:tc>
                <w:tcPr>
                  <w:tcW w:w="1896" w:type="dxa"/>
                  <w:vAlign w:val="center"/>
                </w:tcPr>
                <w:p w14:paraId="2F7E0919">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安装辅材</w:t>
                  </w:r>
                </w:p>
              </w:tc>
              <w:tc>
                <w:tcPr>
                  <w:tcW w:w="2641" w:type="dxa"/>
                  <w:vAlign w:val="center"/>
                </w:tcPr>
                <w:p w14:paraId="62CC3921">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螺丝、螺母、垫片等</w:t>
                  </w:r>
                </w:p>
              </w:tc>
              <w:tc>
                <w:tcPr>
                  <w:tcW w:w="750" w:type="dxa"/>
                  <w:vAlign w:val="center"/>
                </w:tcPr>
                <w:p w14:paraId="6FBE7D02">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w:t>
                  </w:r>
                </w:p>
              </w:tc>
              <w:tc>
                <w:tcPr>
                  <w:tcW w:w="720" w:type="dxa"/>
                  <w:vAlign w:val="center"/>
                </w:tcPr>
                <w:p w14:paraId="24BE45DC">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项</w:t>
                  </w:r>
                </w:p>
              </w:tc>
              <w:tc>
                <w:tcPr>
                  <w:tcW w:w="883" w:type="dxa"/>
                  <w:vAlign w:val="center"/>
                </w:tcPr>
                <w:p w14:paraId="24D77068">
                  <w:pPr>
                    <w:spacing w:line="440" w:lineRule="exact"/>
                    <w:jc w:val="center"/>
                    <w:rPr>
                      <w:rFonts w:ascii="宋体" w:hAnsi="宋体"/>
                      <w:color w:val="000000" w:themeColor="text1"/>
                      <w:sz w:val="21"/>
                      <w:szCs w:val="21"/>
                      <w:highlight w:val="none"/>
                    </w:rPr>
                  </w:pPr>
                </w:p>
              </w:tc>
            </w:tr>
            <w:tr w14:paraId="6BAE7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17" w:type="dxa"/>
                  <w:vAlign w:val="center"/>
                </w:tcPr>
                <w:p w14:paraId="05A7D39D">
                  <w:pPr>
                    <w:spacing w:line="440" w:lineRule="exact"/>
                    <w:jc w:val="center"/>
                    <w:rPr>
                      <w:rFonts w:hint="eastAsia" w:ascii="宋体" w:hAnsi="宋体" w:eastAsiaTheme="minorEastAsia"/>
                      <w:color w:val="000000" w:themeColor="text1"/>
                      <w:sz w:val="21"/>
                      <w:szCs w:val="21"/>
                      <w:highlight w:val="none"/>
                      <w:lang w:eastAsia="zh-CN"/>
                    </w:rPr>
                  </w:pPr>
                  <w:r>
                    <w:rPr>
                      <w:rFonts w:hint="eastAsia" w:ascii="宋体" w:hAnsi="宋体"/>
                      <w:color w:val="000000" w:themeColor="text1"/>
                      <w:sz w:val="21"/>
                      <w:szCs w:val="21"/>
                      <w:highlight w:val="none"/>
                      <w:lang w:val="en-US" w:eastAsia="zh-CN"/>
                    </w:rPr>
                    <w:t>3</w:t>
                  </w:r>
                </w:p>
              </w:tc>
              <w:tc>
                <w:tcPr>
                  <w:tcW w:w="1896" w:type="dxa"/>
                  <w:vAlign w:val="center"/>
                </w:tcPr>
                <w:p w14:paraId="3B403451">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人工费</w:t>
                  </w:r>
                </w:p>
              </w:tc>
              <w:tc>
                <w:tcPr>
                  <w:tcW w:w="2641" w:type="dxa"/>
                  <w:vAlign w:val="center"/>
                </w:tcPr>
                <w:p w14:paraId="26EC78E7">
                  <w:pPr>
                    <w:jc w:val="center"/>
                    <w:rPr>
                      <w:rFonts w:hint="default" w:eastAsiaTheme="minorEastAsia"/>
                      <w:sz w:val="21"/>
                      <w:szCs w:val="21"/>
                      <w:highlight w:val="none"/>
                      <w:lang w:val="en-US" w:eastAsia="zh-CN"/>
                    </w:rPr>
                  </w:pPr>
                  <w:r>
                    <w:rPr>
                      <w:rFonts w:hint="eastAsia"/>
                      <w:sz w:val="21"/>
                      <w:szCs w:val="21"/>
                      <w:highlight w:val="none"/>
                      <w:lang w:val="en-US" w:eastAsia="zh-CN"/>
                    </w:rPr>
                    <w:t>/</w:t>
                  </w:r>
                </w:p>
              </w:tc>
              <w:tc>
                <w:tcPr>
                  <w:tcW w:w="750" w:type="dxa"/>
                  <w:vAlign w:val="center"/>
                </w:tcPr>
                <w:p w14:paraId="1CF0D321">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w:t>
                  </w:r>
                </w:p>
              </w:tc>
              <w:tc>
                <w:tcPr>
                  <w:tcW w:w="720" w:type="dxa"/>
                  <w:vAlign w:val="center"/>
                </w:tcPr>
                <w:p w14:paraId="57755E36">
                  <w:pPr>
                    <w:spacing w:line="440" w:lineRule="exact"/>
                    <w:jc w:val="center"/>
                    <w:rPr>
                      <w:rFonts w:hint="default" w:ascii="宋体" w:hAnsi="宋体" w:eastAsiaTheme="minorEastAsia"/>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项</w:t>
                  </w:r>
                </w:p>
              </w:tc>
              <w:tc>
                <w:tcPr>
                  <w:tcW w:w="883" w:type="dxa"/>
                  <w:vAlign w:val="center"/>
                </w:tcPr>
                <w:p w14:paraId="4DDD6471">
                  <w:pPr>
                    <w:spacing w:line="440" w:lineRule="exact"/>
                    <w:jc w:val="center"/>
                    <w:rPr>
                      <w:rFonts w:ascii="宋体" w:hAnsi="宋体"/>
                      <w:color w:val="000000" w:themeColor="text1"/>
                      <w:sz w:val="21"/>
                      <w:szCs w:val="21"/>
                      <w:highlight w:val="none"/>
                    </w:rPr>
                  </w:pPr>
                </w:p>
              </w:tc>
            </w:tr>
          </w:tbl>
          <w:p w14:paraId="56CACBB9">
            <w:pPr>
              <w:spacing w:line="440" w:lineRule="exact"/>
              <w:rPr>
                <w:rFonts w:hint="eastAsia" w:ascii="宋体" w:hAnsi="宋体"/>
                <w:color w:val="0000FF"/>
                <w:szCs w:val="21"/>
                <w:highlight w:val="none"/>
              </w:rPr>
            </w:pPr>
            <w:r>
              <w:rPr>
                <w:rFonts w:hint="eastAsia" w:ascii="宋体" w:hAnsi="宋体"/>
                <w:color w:val="000000" w:themeColor="text1"/>
                <w:szCs w:val="21"/>
                <w:highlight w:val="none"/>
              </w:rPr>
              <w:t>注：</w:t>
            </w:r>
            <w:r>
              <w:rPr>
                <w:rFonts w:hint="eastAsia" w:ascii="宋体" w:hAnsi="宋体"/>
                <w:color w:val="000000" w:themeColor="text1"/>
                <w:szCs w:val="21"/>
                <w:highlight w:val="none"/>
                <w:lang w:val="en-US" w:eastAsia="zh-CN"/>
              </w:rPr>
              <w:t>项目</w:t>
            </w:r>
            <w:r>
              <w:rPr>
                <w:rFonts w:hint="eastAsia" w:ascii="宋体" w:hAnsi="宋体"/>
                <w:color w:val="000000" w:themeColor="text1"/>
                <w:szCs w:val="21"/>
                <w:highlight w:val="none"/>
              </w:rPr>
              <w:t>清单中的内容，由成交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w:t>
            </w:r>
            <w:r>
              <w:rPr>
                <w:rFonts w:hint="eastAsia" w:ascii="宋体" w:hAnsi="宋体"/>
                <w:color w:val="auto"/>
                <w:szCs w:val="21"/>
                <w:highlight w:val="none"/>
                <w:lang w:val="en-US" w:eastAsia="zh-CN"/>
              </w:rPr>
              <w:t>负责实施，包括</w:t>
            </w:r>
            <w:r>
              <w:rPr>
                <w:rFonts w:hint="eastAsia" w:ascii="宋体" w:hAnsi="宋体"/>
                <w:color w:val="auto"/>
                <w:szCs w:val="21"/>
                <w:highlight w:val="none"/>
              </w:rPr>
              <w:t>更换</w:t>
            </w:r>
            <w:r>
              <w:rPr>
                <w:rFonts w:hint="eastAsia" w:ascii="宋体" w:hAnsi="宋体"/>
                <w:color w:val="auto"/>
                <w:szCs w:val="21"/>
                <w:highlight w:val="none"/>
                <w:lang w:eastAsia="zh-CN"/>
              </w:rPr>
              <w:t>、</w:t>
            </w:r>
            <w:r>
              <w:rPr>
                <w:rFonts w:hint="eastAsia" w:ascii="宋体" w:hAnsi="宋体"/>
                <w:color w:val="auto"/>
                <w:szCs w:val="21"/>
                <w:highlight w:val="none"/>
              </w:rPr>
              <w:t>安装</w:t>
            </w:r>
            <w:r>
              <w:rPr>
                <w:rFonts w:hint="eastAsia" w:ascii="宋体" w:hAnsi="宋体"/>
                <w:color w:val="auto"/>
                <w:szCs w:val="21"/>
                <w:highlight w:val="none"/>
                <w:lang w:eastAsia="zh-CN"/>
              </w:rPr>
              <w:t>、</w:t>
            </w:r>
            <w:r>
              <w:rPr>
                <w:rFonts w:hint="eastAsia" w:ascii="宋体" w:hAnsi="宋体"/>
                <w:color w:val="auto"/>
                <w:szCs w:val="21"/>
                <w:highlight w:val="none"/>
              </w:rPr>
              <w:t>维修</w:t>
            </w:r>
            <w:r>
              <w:rPr>
                <w:rFonts w:hint="eastAsia" w:ascii="宋体" w:hAnsi="宋体"/>
                <w:color w:val="auto"/>
                <w:szCs w:val="21"/>
                <w:highlight w:val="none"/>
                <w:lang w:val="en-US" w:eastAsia="zh-CN"/>
              </w:rPr>
              <w:t>等</w:t>
            </w:r>
            <w:r>
              <w:rPr>
                <w:rFonts w:hint="eastAsia" w:ascii="宋体" w:hAnsi="宋体"/>
                <w:color w:val="auto"/>
                <w:szCs w:val="21"/>
                <w:highlight w:val="none"/>
              </w:rPr>
              <w:t>。</w:t>
            </w:r>
          </w:p>
          <w:p w14:paraId="23EBDB20">
            <w:pPr>
              <w:spacing w:line="44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二、投标报价要求</w:t>
            </w:r>
          </w:p>
          <w:p w14:paraId="395ECB4B">
            <w:pPr>
              <w:spacing w:line="440" w:lineRule="exact"/>
              <w:ind w:firstLine="420" w:firstLineChars="200"/>
              <w:rPr>
                <w:rFonts w:ascii="宋体" w:hAnsi="宋体"/>
                <w:color w:val="000000" w:themeColor="text1"/>
                <w:szCs w:val="21"/>
                <w:highlight w:val="none"/>
              </w:rPr>
            </w:pPr>
            <w:r>
              <w:rPr>
                <w:rFonts w:hint="eastAsia" w:ascii="宋体" w:hAnsi="宋体"/>
                <w:color w:val="000000" w:themeColor="text1"/>
                <w:szCs w:val="21"/>
                <w:highlight w:val="none"/>
              </w:rPr>
              <w:t>1、预算金额为：</w:t>
            </w:r>
            <w:r>
              <w:rPr>
                <w:rFonts w:hint="eastAsia" w:ascii="宋体" w:hAnsi="宋体"/>
                <w:color w:val="000000" w:themeColor="text1"/>
                <w:szCs w:val="21"/>
                <w:highlight w:val="none"/>
                <w:lang w:val="en-US" w:eastAsia="zh-CN"/>
              </w:rPr>
              <w:t>17842.70</w:t>
            </w:r>
            <w:r>
              <w:rPr>
                <w:rFonts w:hint="eastAsia" w:ascii="宋体" w:hAnsi="宋体"/>
                <w:color w:val="000000" w:themeColor="text1"/>
                <w:szCs w:val="21"/>
                <w:highlight w:val="none"/>
              </w:rPr>
              <w:t>元，低于（含等于）预算金额的为有效报价，否则为无效报价。</w:t>
            </w:r>
          </w:p>
          <w:p w14:paraId="282811CD">
            <w:pPr>
              <w:widowControl/>
              <w:spacing w:line="360" w:lineRule="auto"/>
              <w:ind w:firstLine="420" w:firstLineChars="200"/>
              <w:jc w:val="left"/>
              <w:rPr>
                <w:rFonts w:ascii="宋体" w:hAnsi="宋体"/>
                <w:color w:val="000000" w:themeColor="text1"/>
                <w:szCs w:val="21"/>
                <w:highlight w:val="none"/>
              </w:rPr>
            </w:pPr>
            <w:r>
              <w:rPr>
                <w:rFonts w:hint="eastAsia" w:ascii="宋体" w:hAnsi="宋体"/>
                <w:color w:val="000000" w:themeColor="text1"/>
                <w:szCs w:val="21"/>
                <w:highlight w:val="none"/>
              </w:rPr>
              <w:t>2、本次响应报价应为人民币含税全包价，包括</w:t>
            </w:r>
            <w:r>
              <w:rPr>
                <w:rFonts w:hint="eastAsia" w:ascii="宋体" w:hAnsi="宋体"/>
                <w:color w:val="000000" w:themeColor="text1"/>
                <w:szCs w:val="21"/>
                <w:highlight w:val="none"/>
                <w:lang w:val="en-US" w:eastAsia="zh-CN"/>
              </w:rPr>
              <w:t>材料</w:t>
            </w:r>
            <w:r>
              <w:rPr>
                <w:rFonts w:hint="eastAsia" w:ascii="宋体" w:hAnsi="宋体"/>
                <w:color w:val="000000" w:themeColor="text1"/>
                <w:szCs w:val="21"/>
                <w:highlight w:val="none"/>
              </w:rPr>
              <w:t>价格、包装费、运杂费、保险费、卸车费、安装</w:t>
            </w:r>
            <w:r>
              <w:rPr>
                <w:rFonts w:hint="eastAsia" w:ascii="宋体" w:hAnsi="宋体"/>
                <w:color w:val="000000" w:themeColor="text1"/>
                <w:szCs w:val="21"/>
                <w:highlight w:val="none"/>
                <w:lang w:val="en-US" w:eastAsia="zh-CN"/>
              </w:rPr>
              <w:t>调试</w:t>
            </w:r>
            <w:r>
              <w:rPr>
                <w:rFonts w:hint="eastAsia" w:ascii="宋体" w:hAnsi="宋体"/>
                <w:color w:val="000000" w:themeColor="text1"/>
                <w:szCs w:val="21"/>
                <w:highlight w:val="none"/>
              </w:rPr>
              <w:t>费、人工费、税金及响应</w:t>
            </w:r>
            <w:r>
              <w:rPr>
                <w:rFonts w:hint="eastAsia" w:ascii="宋体" w:hAnsi="宋体"/>
                <w:color w:val="auto"/>
                <w:szCs w:val="21"/>
                <w:highlight w:val="none"/>
                <w:lang w:val="en-US" w:eastAsia="zh-CN"/>
              </w:rPr>
              <w:t>供应</w:t>
            </w:r>
            <w:r>
              <w:rPr>
                <w:rFonts w:hint="eastAsia" w:ascii="宋体" w:hAnsi="宋体"/>
                <w:color w:val="000000" w:themeColor="text1"/>
                <w:szCs w:val="21"/>
                <w:highlight w:val="none"/>
              </w:rPr>
              <w:t>商认为需要的其他费用等。</w:t>
            </w:r>
          </w:p>
          <w:p w14:paraId="318A12C9">
            <w:pPr>
              <w:widowControl/>
              <w:spacing w:line="360" w:lineRule="auto"/>
              <w:ind w:firstLine="420" w:firstLineChars="200"/>
              <w:jc w:val="left"/>
              <w:rPr>
                <w:rFonts w:hint="eastAsia" w:ascii="宋体" w:hAnsi="宋体"/>
                <w:color w:val="000000" w:themeColor="text1"/>
                <w:szCs w:val="21"/>
                <w:highlight w:val="none"/>
              </w:rPr>
            </w:pPr>
            <w:r>
              <w:rPr>
                <w:rFonts w:hint="eastAsia" w:ascii="宋体" w:hAnsi="宋体"/>
                <w:color w:val="000000" w:themeColor="text1"/>
                <w:szCs w:val="21"/>
                <w:highlight w:val="none"/>
              </w:rPr>
              <w:t>3、供应商单价报价中漏项、少报的费用，视为此项费用已隐含在投标报价中，成交供应商不得再向采购人收取任何费用。</w:t>
            </w:r>
          </w:p>
          <w:p w14:paraId="4AA83758">
            <w:pPr>
              <w:spacing w:line="440" w:lineRule="exact"/>
              <w:rPr>
                <w:rFonts w:ascii="宋体" w:hAnsi="宋体"/>
                <w:b/>
                <w:bCs/>
                <w:color w:val="000000" w:themeColor="text1"/>
                <w:szCs w:val="21"/>
                <w:highlight w:val="none"/>
              </w:rPr>
            </w:pPr>
            <w:r>
              <w:rPr>
                <w:rFonts w:hint="eastAsia" w:ascii="宋体" w:hAnsi="宋体"/>
                <w:b/>
                <w:bCs/>
                <w:color w:val="000000" w:themeColor="text1"/>
                <w:szCs w:val="21"/>
                <w:highlight w:val="none"/>
              </w:rPr>
              <w:t>三、资质要求</w:t>
            </w:r>
          </w:p>
          <w:p w14:paraId="2A312490">
            <w:pPr>
              <w:widowControl/>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rPr>
              <w:t>1、响应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商必须是具有独立承担民事责任能力的在中华人民共和国境内注册的企业法人或其他组织。</w:t>
            </w:r>
          </w:p>
          <w:p w14:paraId="1D0C2B30">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rPr>
              <w:t>2、响应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商务须具有有效的且具备</w:t>
            </w:r>
            <w:r>
              <w:rPr>
                <w:rFonts w:hint="eastAsia" w:ascii="宋体" w:hAnsi="宋体"/>
                <w:color w:val="auto"/>
                <w:szCs w:val="21"/>
                <w:highlight w:val="none"/>
                <w:lang w:val="en-US" w:eastAsia="zh-CN"/>
              </w:rPr>
              <w:t>电气设备修理、机电产品、冷冻设备的维修、保养等</w:t>
            </w:r>
            <w:r>
              <w:rPr>
                <w:rFonts w:hint="eastAsia" w:ascii="宋体" w:hAnsi="宋体"/>
                <w:color w:val="auto"/>
                <w:szCs w:val="21"/>
                <w:highlight w:val="none"/>
              </w:rPr>
              <w:t>相关经营范围的营业执照。</w:t>
            </w:r>
          </w:p>
          <w:p w14:paraId="4E85F29B">
            <w:pPr>
              <w:widowControl/>
              <w:spacing w:line="360" w:lineRule="auto"/>
              <w:ind w:firstLine="420" w:firstLineChars="200"/>
              <w:jc w:val="left"/>
              <w:rPr>
                <w:rFonts w:ascii="宋体" w:hAnsi="宋体"/>
                <w:color w:val="auto"/>
                <w:szCs w:val="21"/>
                <w:highlight w:val="none"/>
              </w:rPr>
            </w:pPr>
            <w:r>
              <w:rPr>
                <w:rFonts w:hint="eastAsia" w:ascii="宋体" w:hAnsi="宋体"/>
                <w:color w:val="auto"/>
                <w:szCs w:val="21"/>
                <w:highlight w:val="none"/>
                <w:lang w:val="en-US" w:eastAsia="zh-CN"/>
              </w:rPr>
              <w:t>3</w:t>
            </w:r>
            <w:r>
              <w:rPr>
                <w:rFonts w:hint="eastAsia" w:ascii="宋体" w:hAnsi="宋体"/>
                <w:color w:val="auto"/>
                <w:szCs w:val="21"/>
                <w:highlight w:val="none"/>
              </w:rPr>
              <w:t>、响应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商应具有项目的承接能力、合同的履约能力、售后服务能力和良好的信誉。</w:t>
            </w:r>
          </w:p>
          <w:p w14:paraId="62EC55A5">
            <w:pPr>
              <w:widowControl/>
              <w:numPr>
                <w:ilvl w:val="0"/>
                <w:numId w:val="0"/>
              </w:numPr>
              <w:shd w:val="clear" w:color="auto" w:fill="FFFFFF"/>
              <w:spacing w:after="0" w:line="360" w:lineRule="auto"/>
              <w:ind w:firstLine="420" w:firstLineChars="200"/>
              <w:jc w:val="left"/>
              <w:rPr>
                <w:rFonts w:hint="eastAsia" w:ascii="宋体" w:hAnsi="宋体" w:eastAsia="宋体" w:cs="宋体"/>
                <w:i w:val="0"/>
                <w:iCs w:val="0"/>
                <w:caps w:val="0"/>
                <w:color w:val="auto"/>
                <w:spacing w:val="0"/>
                <w:kern w:val="2"/>
                <w:sz w:val="21"/>
                <w:szCs w:val="21"/>
                <w:highlight w:val="none"/>
                <w:shd w:val="clear"/>
                <w:lang w:val="en-US" w:eastAsia="zh-CN" w:bidi="ar"/>
              </w:rPr>
            </w:pPr>
            <w:r>
              <w:rPr>
                <w:rFonts w:hint="eastAsia" w:ascii="宋体" w:hAnsi="宋体"/>
                <w:color w:val="auto"/>
                <w:szCs w:val="21"/>
                <w:highlight w:val="none"/>
                <w:lang w:val="en-US" w:eastAsia="zh-CN"/>
              </w:rPr>
              <w:t>4</w:t>
            </w:r>
            <w:r>
              <w:rPr>
                <w:rFonts w:hint="eastAsia" w:ascii="宋体" w:hAnsi="宋体"/>
                <w:color w:val="auto"/>
                <w:szCs w:val="21"/>
                <w:highlight w:val="none"/>
              </w:rPr>
              <w:t>、响应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w:t>
            </w:r>
            <w:r>
              <w:rPr>
                <w:rFonts w:hint="eastAsia" w:ascii="宋体" w:hAnsi="宋体" w:eastAsia="宋体" w:cs="宋体"/>
                <w:i w:val="0"/>
                <w:iCs w:val="0"/>
                <w:caps w:val="0"/>
                <w:color w:val="auto"/>
                <w:spacing w:val="0"/>
                <w:kern w:val="2"/>
                <w:sz w:val="21"/>
                <w:szCs w:val="21"/>
                <w:highlight w:val="none"/>
                <w:shd w:val="clear"/>
                <w:lang w:val="en-US" w:eastAsia="zh-CN" w:bidi="ar"/>
              </w:rPr>
              <w:t>未被列入“信用中国”网站(www.creditchina.gov.cn)“记录失信被执行人或重大税收违法案件当事人名单或政府采购严重违法失信行为”记录名单；不处于中国政府采购网(www.ccgp.gov.cn)“政府采购严重违法失信行为信息记录”中的禁止参加政府采购活动期间。</w:t>
            </w:r>
          </w:p>
          <w:p w14:paraId="6ED82614">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、单位负责人为同一人或者存在直接控股、管理关系的不同</w:t>
            </w:r>
            <w:r>
              <w:rPr>
                <w:rFonts w:hint="eastAsia" w:ascii="宋体" w:hAnsi="宋体"/>
                <w:color w:val="auto"/>
                <w:szCs w:val="21"/>
                <w:highlight w:val="none"/>
                <w:lang w:val="en-US" w:eastAsia="zh-CN"/>
              </w:rPr>
              <w:t>供应</w:t>
            </w:r>
            <w:r>
              <w:rPr>
                <w:rFonts w:hint="eastAsia" w:ascii="宋体" w:hAnsi="宋体"/>
                <w:color w:val="auto"/>
                <w:szCs w:val="21"/>
                <w:highlight w:val="none"/>
              </w:rPr>
              <w:t>商，不得参加同一合同项下的采购活动；响应</w:t>
            </w:r>
            <w:r>
              <w:rPr>
                <w:rFonts w:hint="eastAsia" w:ascii="宋体" w:hAnsi="宋体"/>
                <w:color w:val="auto"/>
                <w:szCs w:val="21"/>
                <w:highlight w:val="none"/>
                <w:lang w:val="en-US" w:eastAsia="zh-CN"/>
              </w:rPr>
              <w:t>供应</w:t>
            </w:r>
            <w:r>
              <w:rPr>
                <w:rFonts w:hint="eastAsia" w:ascii="宋体" w:hAnsi="宋体"/>
                <w:color w:val="auto"/>
                <w:szCs w:val="21"/>
                <w:highlight w:val="none"/>
              </w:rPr>
              <w:t>商须无围标、串标行为。</w:t>
            </w:r>
          </w:p>
          <w:p w14:paraId="712F7BC5">
            <w:pPr>
              <w:widowControl/>
              <w:spacing w:line="360" w:lineRule="auto"/>
              <w:jc w:val="left"/>
              <w:rPr>
                <w:rFonts w:ascii="宋体" w:hAnsi="宋体"/>
                <w:b/>
                <w:bCs/>
                <w:color w:val="000000" w:themeColor="text1"/>
                <w:szCs w:val="21"/>
                <w:highlight w:val="none"/>
              </w:rPr>
            </w:pPr>
            <w:r>
              <w:rPr>
                <w:rFonts w:hint="eastAsia" w:ascii="宋体" w:hAnsi="宋体"/>
                <w:b/>
                <w:bCs/>
                <w:color w:val="000000" w:themeColor="text1"/>
                <w:szCs w:val="21"/>
                <w:highlight w:val="none"/>
              </w:rPr>
              <w:t>四、</w:t>
            </w:r>
            <w:r>
              <w:rPr>
                <w:rFonts w:hint="eastAsia" w:ascii="宋体" w:hAnsi="宋体"/>
                <w:b/>
                <w:bCs/>
                <w:color w:val="auto"/>
                <w:szCs w:val="21"/>
                <w:highlight w:val="none"/>
                <w:lang w:val="en-US" w:eastAsia="zh-CN"/>
              </w:rPr>
              <w:t>项目工期</w:t>
            </w:r>
            <w:r>
              <w:rPr>
                <w:rFonts w:hint="eastAsia" w:ascii="宋体" w:hAnsi="宋体"/>
                <w:b/>
                <w:bCs/>
                <w:color w:val="000000" w:themeColor="text1"/>
                <w:szCs w:val="21"/>
                <w:highlight w:val="none"/>
              </w:rPr>
              <w:t>要求</w:t>
            </w:r>
          </w:p>
          <w:p w14:paraId="73022FFE">
            <w:pPr>
              <w:widowControl/>
              <w:spacing w:line="360" w:lineRule="auto"/>
              <w:ind w:firstLine="420" w:firstLineChars="200"/>
              <w:jc w:val="left"/>
              <w:rPr>
                <w:rFonts w:hint="eastAsia" w:ascii="宋体" w:hAnsi="宋体"/>
                <w:color w:val="auto"/>
                <w:szCs w:val="21"/>
                <w:highlight w:val="none"/>
              </w:rPr>
            </w:pPr>
            <w:r>
              <w:rPr>
                <w:rFonts w:hint="eastAsia" w:ascii="宋体" w:hAnsi="宋体"/>
                <w:color w:val="000000" w:themeColor="text1"/>
                <w:szCs w:val="21"/>
                <w:highlight w:val="none"/>
                <w:lang w:val="en-US" w:eastAsia="zh-CN"/>
              </w:rPr>
              <w:t>1、</w:t>
            </w:r>
            <w:r>
              <w:rPr>
                <w:rFonts w:hint="eastAsia" w:ascii="宋体" w:hAnsi="宋体"/>
                <w:color w:val="000000" w:themeColor="text1"/>
                <w:szCs w:val="21"/>
                <w:highlight w:val="none"/>
              </w:rPr>
              <w:t>自合同签订</w:t>
            </w:r>
            <w:r>
              <w:rPr>
                <w:rFonts w:hint="eastAsia" w:ascii="宋体" w:hAnsi="宋体"/>
                <w:color w:val="auto"/>
                <w:szCs w:val="21"/>
                <w:highlight w:val="none"/>
              </w:rPr>
              <w:t>后30日内交</w:t>
            </w:r>
            <w:r>
              <w:rPr>
                <w:rFonts w:hint="eastAsia" w:ascii="宋体" w:hAnsi="宋体"/>
                <w:color w:val="auto"/>
                <w:szCs w:val="21"/>
                <w:highlight w:val="none"/>
                <w:lang w:val="en-US" w:eastAsia="zh-CN"/>
              </w:rPr>
              <w:t>完成设备维修、调试</w:t>
            </w:r>
            <w:r>
              <w:rPr>
                <w:rFonts w:hint="eastAsia" w:ascii="宋体" w:hAnsi="宋体"/>
                <w:color w:val="auto"/>
                <w:szCs w:val="21"/>
                <w:highlight w:val="none"/>
              </w:rPr>
              <w:t>，验收合格并交付使用。</w:t>
            </w:r>
          </w:p>
          <w:p w14:paraId="038D7E85">
            <w:pPr>
              <w:widowControl/>
              <w:spacing w:line="360" w:lineRule="auto"/>
              <w:ind w:firstLine="420" w:firstLineChars="200"/>
              <w:jc w:val="left"/>
              <w:rPr>
                <w:rFonts w:hint="default" w:ascii="宋体" w:hAnsi="宋体"/>
                <w:color w:val="auto"/>
                <w:szCs w:val="21"/>
                <w:highlight w:val="none"/>
                <w:lang w:val="en-US" w:eastAsia="zh-CN"/>
              </w:rPr>
            </w:pPr>
            <w:r>
              <w:rPr>
                <w:rFonts w:hint="eastAsia" w:ascii="宋体" w:hAnsi="宋体"/>
                <w:color w:val="auto"/>
                <w:szCs w:val="21"/>
                <w:highlight w:val="none"/>
                <w:lang w:val="en-US" w:eastAsia="zh-CN"/>
              </w:rPr>
              <w:t>2、除原设备无法停止使用配合维修更换，天气变化等原因一律不延长工期。</w:t>
            </w:r>
          </w:p>
          <w:p w14:paraId="583A3196">
            <w:pPr>
              <w:pStyle w:val="17"/>
              <w:keepNext w:val="0"/>
              <w:keepLines w:val="0"/>
              <w:pageBreakBefore w:val="0"/>
              <w:widowControl/>
              <w:kinsoku/>
              <w:wordWrap/>
              <w:overflowPunct/>
              <w:topLinePunct w:val="0"/>
              <w:autoSpaceDE/>
              <w:autoSpaceDN/>
              <w:bidi w:val="0"/>
              <w:spacing w:line="360" w:lineRule="auto"/>
              <w:ind w:leftChars="0" w:firstLine="400" w:firstLineChars="200"/>
              <w:jc w:val="left"/>
              <w:textAlignment w:val="auto"/>
              <w:rPr>
                <w:rFonts w:hint="eastAsia" w:cstheme="minorBidi"/>
                <w:color w:val="auto"/>
                <w:kern w:val="2"/>
                <w:sz w:val="21"/>
                <w:szCs w:val="21"/>
                <w:highlight w:val="none"/>
                <w:lang w:val="en-US" w:eastAsia="zh-CN" w:bidi="ar-SA"/>
              </w:rPr>
            </w:pPr>
            <w:r>
              <w:rPr>
                <w:rFonts w:hint="eastAsia" w:ascii="宋体" w:hAnsi="宋体"/>
                <w:color w:val="auto"/>
                <w:szCs w:val="21"/>
                <w:highlight w:val="none"/>
                <w:lang w:val="en-US" w:eastAsia="zh-CN"/>
              </w:rPr>
              <w:t>3、</w:t>
            </w:r>
            <w:r>
              <w:rPr>
                <w:rFonts w:hint="eastAsia" w:asciiTheme="minorHAnsi" w:hAnsiTheme="minorHAnsi" w:eastAsiaTheme="minorEastAsia" w:cstheme="minorBidi"/>
                <w:color w:val="auto"/>
                <w:kern w:val="2"/>
                <w:sz w:val="21"/>
                <w:szCs w:val="21"/>
                <w:highlight w:val="none"/>
                <w:lang w:val="en-US" w:eastAsia="zh-CN" w:bidi="ar-SA"/>
              </w:rPr>
              <w:t>完成</w:t>
            </w:r>
            <w:r>
              <w:rPr>
                <w:rFonts w:hint="eastAsia" w:cstheme="minorBidi"/>
                <w:color w:val="auto"/>
                <w:kern w:val="2"/>
                <w:sz w:val="21"/>
                <w:szCs w:val="21"/>
                <w:highlight w:val="none"/>
                <w:lang w:val="en-US" w:eastAsia="zh-CN" w:bidi="ar-SA"/>
              </w:rPr>
              <w:t>时间</w:t>
            </w:r>
            <w:r>
              <w:rPr>
                <w:rFonts w:hint="eastAsia" w:asciiTheme="minorHAnsi" w:hAnsiTheme="minorHAnsi" w:eastAsiaTheme="minorEastAsia" w:cstheme="minorBidi"/>
                <w:color w:val="auto"/>
                <w:kern w:val="2"/>
                <w:sz w:val="21"/>
                <w:szCs w:val="21"/>
                <w:highlight w:val="none"/>
                <w:lang w:val="en-US" w:eastAsia="zh-CN" w:bidi="ar-SA"/>
              </w:rPr>
              <w:t>以采购人签认的</w:t>
            </w:r>
            <w:r>
              <w:rPr>
                <w:rFonts w:hint="eastAsia" w:cstheme="minorBidi"/>
                <w:color w:val="auto"/>
                <w:kern w:val="2"/>
                <w:sz w:val="21"/>
                <w:szCs w:val="21"/>
                <w:highlight w:val="none"/>
                <w:lang w:val="en-US" w:eastAsia="zh-CN" w:bidi="ar-SA"/>
              </w:rPr>
              <w:t>验收</w:t>
            </w:r>
            <w:r>
              <w:rPr>
                <w:rFonts w:hint="eastAsia" w:asciiTheme="minorHAnsi" w:hAnsiTheme="minorHAnsi" w:eastAsiaTheme="minorEastAsia" w:cstheme="minorBidi"/>
                <w:color w:val="auto"/>
                <w:kern w:val="2"/>
                <w:sz w:val="21"/>
                <w:szCs w:val="21"/>
                <w:highlight w:val="none"/>
                <w:lang w:val="en-US" w:eastAsia="zh-CN" w:bidi="ar-SA"/>
              </w:rPr>
              <w:t>时间为准。</w:t>
            </w:r>
            <w:r>
              <w:rPr>
                <w:rFonts w:hint="eastAsia" w:cstheme="minorBidi"/>
                <w:color w:val="auto"/>
                <w:kern w:val="2"/>
                <w:sz w:val="21"/>
                <w:szCs w:val="21"/>
                <w:highlight w:val="none"/>
                <w:lang w:val="en-US" w:eastAsia="zh-CN" w:bidi="ar-SA"/>
              </w:rPr>
              <w:t>项目</w:t>
            </w:r>
            <w:r>
              <w:rPr>
                <w:rFonts w:hint="eastAsia" w:asciiTheme="minorHAnsi" w:hAnsiTheme="minorHAnsi" w:eastAsiaTheme="minorEastAsia" w:cstheme="minorBidi"/>
                <w:color w:val="auto"/>
                <w:kern w:val="2"/>
                <w:sz w:val="21"/>
                <w:szCs w:val="21"/>
                <w:highlight w:val="none"/>
                <w:lang w:val="en-US" w:eastAsia="zh-CN" w:bidi="ar-SA"/>
              </w:rPr>
              <w:t>实施过程中，出现下列情形，经采购人确认，</w:t>
            </w:r>
            <w:r>
              <w:rPr>
                <w:rFonts w:hint="eastAsia" w:cstheme="minorBidi"/>
                <w:color w:val="auto"/>
                <w:kern w:val="2"/>
                <w:sz w:val="21"/>
                <w:szCs w:val="21"/>
                <w:highlight w:val="none"/>
                <w:lang w:val="en-US" w:eastAsia="zh-CN" w:bidi="ar-SA"/>
              </w:rPr>
              <w:t>工期</w:t>
            </w:r>
            <w:r>
              <w:rPr>
                <w:rFonts w:hint="eastAsia" w:asciiTheme="minorHAnsi" w:hAnsiTheme="minorHAnsi" w:eastAsiaTheme="minorEastAsia" w:cstheme="minorBidi"/>
                <w:color w:val="auto"/>
                <w:kern w:val="2"/>
                <w:sz w:val="21"/>
                <w:szCs w:val="21"/>
                <w:highlight w:val="none"/>
                <w:lang w:val="en-US" w:eastAsia="zh-CN" w:bidi="ar-SA"/>
              </w:rPr>
              <w:t>予以顺延</w:t>
            </w:r>
            <w:r>
              <w:rPr>
                <w:rFonts w:hint="eastAsia" w:cstheme="minorBidi"/>
                <w:color w:val="auto"/>
                <w:kern w:val="2"/>
                <w:sz w:val="21"/>
                <w:szCs w:val="21"/>
                <w:highlight w:val="none"/>
                <w:lang w:val="en-US" w:eastAsia="zh-CN" w:bidi="ar-SA"/>
              </w:rPr>
              <w:t>：</w:t>
            </w:r>
          </w:p>
          <w:p w14:paraId="04EC8BF4">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Theme="minorHAnsi" w:hAnsiTheme="minorHAnsi" w:eastAsiaTheme="minorEastAsia" w:cstheme="minorBidi"/>
                <w:kern w:val="2"/>
                <w:sz w:val="21"/>
                <w:szCs w:val="21"/>
                <w:highlight w:val="none"/>
                <w:lang w:val="en-US" w:eastAsia="zh-CN" w:bidi="ar-SA"/>
              </w:rPr>
            </w:pPr>
            <w:r>
              <w:rPr>
                <w:rFonts w:hint="default" w:asciiTheme="minorHAnsi" w:hAnsiTheme="minorHAnsi" w:eastAsiaTheme="minorEastAsia" w:cstheme="minorBidi"/>
                <w:kern w:val="2"/>
                <w:sz w:val="21"/>
                <w:szCs w:val="21"/>
                <w:highlight w:val="none"/>
                <w:lang w:val="en-US" w:eastAsia="zh-CN" w:bidi="ar-SA"/>
              </w:rPr>
              <w:t>①</w:t>
            </w:r>
            <w:r>
              <w:rPr>
                <w:rFonts w:hint="eastAsia" w:asciiTheme="minorHAnsi" w:hAnsiTheme="minorHAnsi" w:eastAsiaTheme="minorEastAsia" w:cstheme="minorBidi"/>
                <w:kern w:val="2"/>
                <w:sz w:val="21"/>
                <w:szCs w:val="21"/>
                <w:highlight w:val="none"/>
                <w:lang w:val="en-US" w:eastAsia="zh-CN" w:bidi="ar-SA"/>
              </w:rPr>
              <w:t>不可</w:t>
            </w:r>
            <w:r>
              <w:rPr>
                <w:rFonts w:hint="eastAsia" w:cstheme="minorBidi"/>
                <w:kern w:val="2"/>
                <w:sz w:val="21"/>
                <w:szCs w:val="21"/>
                <w:highlight w:val="none"/>
                <w:lang w:val="en-US" w:eastAsia="zh-CN" w:bidi="ar-SA"/>
              </w:rPr>
              <w:t>抗力</w:t>
            </w:r>
            <w:r>
              <w:rPr>
                <w:rFonts w:hint="eastAsia" w:asciiTheme="minorHAnsi" w:hAnsiTheme="minorHAnsi" w:eastAsiaTheme="minorEastAsia" w:cstheme="minorBidi"/>
                <w:kern w:val="2"/>
                <w:sz w:val="21"/>
                <w:szCs w:val="21"/>
                <w:highlight w:val="none"/>
                <w:lang w:val="en-US" w:eastAsia="zh-CN" w:bidi="ar-SA"/>
              </w:rPr>
              <w:t>因素；</w:t>
            </w:r>
          </w:p>
          <w:p w14:paraId="5F9D03E4">
            <w:pPr>
              <w:widowControl/>
              <w:spacing w:line="360" w:lineRule="auto"/>
              <w:ind w:firstLine="420" w:firstLineChars="200"/>
              <w:jc w:val="left"/>
              <w:rPr>
                <w:rFonts w:hint="eastAsia" w:asciiTheme="minorHAnsi" w:hAnsiTheme="minorHAnsi" w:eastAsiaTheme="minorEastAsia" w:cstheme="minorBidi"/>
                <w:kern w:val="2"/>
                <w:sz w:val="21"/>
                <w:szCs w:val="21"/>
                <w:highlight w:val="none"/>
                <w:lang w:val="en-US" w:eastAsia="zh-CN" w:bidi="ar-SA"/>
              </w:rPr>
            </w:pPr>
            <w:r>
              <w:rPr>
                <w:rFonts w:hint="default" w:asciiTheme="minorHAnsi" w:hAnsiTheme="minorHAnsi" w:eastAsiaTheme="minorEastAsia" w:cstheme="minorBidi"/>
                <w:kern w:val="2"/>
                <w:sz w:val="21"/>
                <w:szCs w:val="21"/>
                <w:highlight w:val="none"/>
                <w:lang w:val="en-US" w:eastAsia="zh-CN" w:bidi="ar-SA"/>
              </w:rPr>
              <w:t>②</w:t>
            </w:r>
            <w:r>
              <w:rPr>
                <w:rFonts w:hint="eastAsia" w:asciiTheme="minorHAnsi" w:hAnsiTheme="minorHAnsi" w:eastAsiaTheme="minorEastAsia" w:cstheme="minorBidi"/>
                <w:kern w:val="2"/>
                <w:sz w:val="21"/>
                <w:szCs w:val="21"/>
                <w:highlight w:val="none"/>
                <w:lang w:val="en-US" w:eastAsia="zh-CN" w:bidi="ar-SA"/>
              </w:rPr>
              <w:t>由于</w:t>
            </w:r>
            <w:r>
              <w:rPr>
                <w:rFonts w:hint="eastAsia" w:ascii="宋体" w:hAnsi="宋体"/>
                <w:color w:val="000000" w:themeColor="text1"/>
                <w:szCs w:val="21"/>
                <w:highlight w:val="none"/>
                <w:lang w:val="en-US" w:eastAsia="zh-CN"/>
              </w:rPr>
              <w:t>原设备无法停止使用配合维修更换</w:t>
            </w:r>
            <w:r>
              <w:rPr>
                <w:rFonts w:hint="eastAsia" w:asciiTheme="minorHAnsi" w:hAnsiTheme="minorHAnsi" w:eastAsiaTheme="minorEastAsia" w:cstheme="minorBidi"/>
                <w:kern w:val="2"/>
                <w:sz w:val="21"/>
                <w:szCs w:val="21"/>
                <w:highlight w:val="none"/>
                <w:lang w:val="en-US" w:eastAsia="zh-CN" w:bidi="ar-SA"/>
              </w:rPr>
              <w:t>，致使</w:t>
            </w:r>
            <w:r>
              <w:rPr>
                <w:rFonts w:hint="eastAsia" w:cstheme="minorBidi"/>
                <w:kern w:val="2"/>
                <w:sz w:val="21"/>
                <w:szCs w:val="21"/>
                <w:highlight w:val="none"/>
                <w:lang w:val="en-US" w:eastAsia="zh-CN" w:bidi="ar-SA"/>
              </w:rPr>
              <w:t>延期</w:t>
            </w:r>
            <w:r>
              <w:rPr>
                <w:rFonts w:hint="eastAsia" w:asciiTheme="minorHAnsi" w:hAnsiTheme="minorHAnsi" w:eastAsiaTheme="minorEastAsia" w:cstheme="minorBidi"/>
                <w:kern w:val="2"/>
                <w:sz w:val="21"/>
                <w:szCs w:val="21"/>
                <w:highlight w:val="none"/>
                <w:lang w:val="en-US" w:eastAsia="zh-CN" w:bidi="ar-SA"/>
              </w:rPr>
              <w:t>。</w:t>
            </w:r>
          </w:p>
          <w:p w14:paraId="7BAEC5E8">
            <w:pPr>
              <w:keepNext w:val="0"/>
              <w:keepLines w:val="0"/>
              <w:pageBreakBefore w:val="0"/>
              <w:widowControl/>
              <w:kinsoku/>
              <w:wordWrap/>
              <w:overflowPunct/>
              <w:topLinePunct w:val="0"/>
              <w:autoSpaceDE/>
              <w:autoSpaceDN/>
              <w:bidi w:val="0"/>
              <w:adjustRightInd/>
              <w:snapToGrid/>
              <w:spacing w:line="360" w:lineRule="auto"/>
              <w:ind w:firstLine="0" w:firstLineChars="0"/>
              <w:jc w:val="left"/>
              <w:textAlignment w:val="auto"/>
              <w:rPr>
                <w:rFonts w:hint="eastAsia" w:ascii="宋体" w:hAnsi="宋体"/>
                <w:b/>
                <w:bCs/>
                <w:color w:val="000000" w:themeColor="text1"/>
                <w:szCs w:val="21"/>
                <w:highlight w:val="none"/>
                <w:lang w:val="en-US" w:eastAsia="zh-CN"/>
              </w:rPr>
            </w:pPr>
            <w:r>
              <w:rPr>
                <w:rFonts w:hint="eastAsia" w:ascii="宋体" w:hAnsi="宋体"/>
                <w:b/>
                <w:bCs/>
                <w:color w:val="000000" w:themeColor="text1"/>
                <w:szCs w:val="21"/>
                <w:highlight w:val="none"/>
                <w:lang w:val="en-US" w:eastAsia="zh-CN"/>
              </w:rPr>
              <w:t>五、设备技术需求</w:t>
            </w:r>
          </w:p>
          <w:p w14:paraId="5B3CA22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（一）设备基本要求</w:t>
            </w:r>
          </w:p>
          <w:p w14:paraId="071959EB">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1、适用性：新风柜表冷器与原系统管路、电气接口兼容，需</w:t>
            </w:r>
            <w:r>
              <w:rPr>
                <w:rFonts w:hint="eastAsia" w:ascii="宋体" w:hAnsi="宋体"/>
                <w:color w:val="000000" w:themeColor="text1"/>
                <w:sz w:val="21"/>
                <w:szCs w:val="21"/>
                <w:highlight w:val="none"/>
                <w:lang w:val="en-US" w:eastAsia="zh-CN"/>
              </w:rPr>
              <w:t>满足现场安装条件；</w:t>
            </w:r>
          </w:p>
          <w:p w14:paraId="19016A5E">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2、洁净等级：十万级洁净度标准，符合《医院洁净手术部建筑技术规范》（GB50333-2013）要求，提供设备的检测报告；</w:t>
            </w:r>
          </w:p>
          <w:p w14:paraId="5D957B14">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3、风量要求：满足清洁走廊及手术室新风供应需求，需等同于或优于原设备风量参数（300-400m³/h）；</w:t>
            </w:r>
          </w:p>
          <w:p w14:paraId="64E2FA56">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4、材质要求：蒸发器连接管件须采用耐腐蚀材质（如：铜管或不锈钢管），提供材质报告；</w:t>
            </w:r>
          </w:p>
          <w:p w14:paraId="5B5307F1">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（二）设备功能要求</w:t>
            </w:r>
          </w:p>
          <w:p w14:paraId="058AFAE8">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1、功能模块：具备降温、除湿、配合控制等功能；</w:t>
            </w:r>
          </w:p>
          <w:p w14:paraId="6DC2261D">
            <w:pPr>
              <w:pStyle w:val="17"/>
              <w:keepNext w:val="0"/>
              <w:keepLines w:val="0"/>
              <w:pageBreakBefore w:val="0"/>
              <w:widowControl/>
              <w:numPr>
                <w:ilvl w:val="0"/>
                <w:numId w:val="0"/>
              </w:numPr>
              <w:kinsoku/>
              <w:wordWrap/>
              <w:overflowPunct/>
              <w:topLinePunct w:val="0"/>
              <w:autoSpaceDE/>
              <w:autoSpaceDN/>
              <w:bidi w:val="0"/>
              <w:spacing w:line="360" w:lineRule="auto"/>
              <w:ind w:left="0" w:leftChars="0" w:firstLine="420" w:firstLineChars="200"/>
              <w:jc w:val="left"/>
              <w:textAlignment w:val="auto"/>
              <w:rPr>
                <w:rFonts w:hint="eastAsia" w:ascii="宋体" w:hAnsi="宋体"/>
                <w:color w:val="000000" w:themeColor="text1"/>
                <w:sz w:val="21"/>
                <w:szCs w:val="21"/>
                <w:highlight w:val="none"/>
                <w:lang w:val="en-US" w:eastAsia="zh-CN"/>
              </w:rPr>
            </w:pPr>
            <w:r>
              <w:rPr>
                <w:rFonts w:hint="eastAsia" w:ascii="宋体" w:hAnsi="宋体" w:eastAsiaTheme="minorEastAsia" w:cstheme="minorBidi"/>
                <w:color w:val="000000" w:themeColor="text1"/>
                <w:sz w:val="21"/>
                <w:szCs w:val="21"/>
                <w:highlight w:val="none"/>
                <w:lang w:val="en-US" w:eastAsia="zh-CN"/>
              </w:rPr>
              <w:t>2、</w:t>
            </w:r>
            <w:r>
              <w:rPr>
                <w:rFonts w:hint="eastAsia" w:ascii="宋体" w:hAnsi="宋体"/>
                <w:color w:val="000000" w:themeColor="text1"/>
                <w:sz w:val="21"/>
                <w:szCs w:val="21"/>
                <w:highlight w:val="none"/>
                <w:lang w:val="en-US" w:eastAsia="zh-CN"/>
              </w:rPr>
              <w:t>送风系统：稳定送风，风量可调，满足十万级洁净度要求；</w:t>
            </w:r>
          </w:p>
          <w:p w14:paraId="2BD795CB">
            <w:pPr>
              <w:pStyle w:val="17"/>
              <w:keepNext w:val="0"/>
              <w:keepLines w:val="0"/>
              <w:pageBreakBefore w:val="0"/>
              <w:widowControl/>
              <w:numPr>
                <w:ilvl w:val="0"/>
                <w:numId w:val="0"/>
              </w:numPr>
              <w:kinsoku/>
              <w:wordWrap/>
              <w:overflowPunct/>
              <w:topLinePunct w:val="0"/>
              <w:autoSpaceDE/>
              <w:autoSpaceDN/>
              <w:bidi w:val="0"/>
              <w:spacing w:line="360" w:lineRule="auto"/>
              <w:ind w:left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3、表冷器：具有高效换热功能，使用耐腐蚀材质，便于维护清洗；</w:t>
            </w:r>
          </w:p>
          <w:p w14:paraId="49BDC470">
            <w:pPr>
              <w:pStyle w:val="17"/>
              <w:keepNext w:val="0"/>
              <w:keepLines w:val="0"/>
              <w:pageBreakBefore w:val="0"/>
              <w:widowControl/>
              <w:numPr>
                <w:ilvl w:val="0"/>
                <w:numId w:val="0"/>
              </w:numPr>
              <w:kinsoku/>
              <w:wordWrap/>
              <w:overflowPunct/>
              <w:topLinePunct w:val="0"/>
              <w:autoSpaceDE/>
              <w:autoSpaceDN/>
              <w:bidi w:val="0"/>
              <w:spacing w:line="360" w:lineRule="auto"/>
              <w:ind w:left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4、过滤系统：配置初效、中效过滤器，满足洁净送风需求；</w:t>
            </w:r>
          </w:p>
          <w:p w14:paraId="1C72D543">
            <w:pPr>
              <w:pStyle w:val="17"/>
              <w:keepNext w:val="0"/>
              <w:keepLines w:val="0"/>
              <w:pageBreakBefore w:val="0"/>
              <w:widowControl/>
              <w:numPr>
                <w:ilvl w:val="0"/>
                <w:numId w:val="0"/>
              </w:numPr>
              <w:kinsoku/>
              <w:wordWrap/>
              <w:overflowPunct/>
              <w:topLinePunct w:val="0"/>
              <w:autoSpaceDE/>
              <w:autoSpaceDN/>
              <w:bidi w:val="0"/>
              <w:spacing w:line="360" w:lineRule="auto"/>
              <w:ind w:left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5、控制系统：具备基本运行监控及故障报警功能；</w:t>
            </w:r>
          </w:p>
          <w:p w14:paraId="5C4628D5">
            <w:pPr>
              <w:pStyle w:val="17"/>
              <w:keepNext w:val="0"/>
              <w:keepLines w:val="0"/>
              <w:pageBreakBefore w:val="0"/>
              <w:widowControl/>
              <w:numPr>
                <w:ilvl w:val="0"/>
                <w:numId w:val="0"/>
              </w:numPr>
              <w:kinsoku/>
              <w:wordWrap/>
              <w:overflowPunct/>
              <w:topLinePunct w:val="0"/>
              <w:autoSpaceDE/>
              <w:autoSpaceDN/>
              <w:bidi w:val="0"/>
              <w:spacing w:line="360" w:lineRule="auto"/>
              <w:ind w:left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6、结构要求：框架结构牢固，保温性能良好，漏风率符合规范。</w:t>
            </w:r>
          </w:p>
          <w:p w14:paraId="7E4EA4E1">
            <w:pPr>
              <w:pStyle w:val="17"/>
              <w:keepNext w:val="0"/>
              <w:keepLines w:val="0"/>
              <w:pageBreakBefore w:val="0"/>
              <w:widowControl/>
              <w:numPr>
                <w:ilvl w:val="0"/>
                <w:numId w:val="0"/>
              </w:numPr>
              <w:kinsoku/>
              <w:wordWrap/>
              <w:overflowPunct/>
              <w:topLinePunct w:val="0"/>
              <w:autoSpaceDE/>
              <w:autoSpaceDN/>
              <w:bidi w:val="0"/>
              <w:spacing w:line="360" w:lineRule="auto"/>
              <w:jc w:val="left"/>
              <w:textAlignment w:val="auto"/>
              <w:rPr>
                <w:rFonts w:hint="eastAsia" w:ascii="宋体" w:hAnsi="宋体"/>
                <w:b/>
                <w:bCs/>
                <w:color w:val="000000" w:themeColor="text1"/>
                <w:sz w:val="21"/>
                <w:szCs w:val="21"/>
                <w:highlight w:val="none"/>
                <w:lang w:val="en-US" w:eastAsia="zh-CN"/>
              </w:rPr>
            </w:pPr>
            <w:r>
              <w:rPr>
                <w:rFonts w:hint="eastAsia" w:ascii="宋体" w:hAnsi="宋体"/>
                <w:b/>
                <w:bCs/>
                <w:color w:val="000000" w:themeColor="text1"/>
                <w:sz w:val="21"/>
                <w:szCs w:val="21"/>
                <w:highlight w:val="none"/>
                <w:lang w:val="en-US" w:eastAsia="zh-CN"/>
              </w:rPr>
              <w:t>六、安装要求</w:t>
            </w:r>
          </w:p>
          <w:p w14:paraId="0E820044">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1、成交供应商负责旧设备的拆卸、新设备安装调试，拆卸的旧设备移至采购人指定位置存放；</w:t>
            </w:r>
          </w:p>
          <w:p w14:paraId="3071BB31">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2、安装过程须确保手术室洁净区域不受污染，必要时采取保障措施；</w:t>
            </w:r>
          </w:p>
          <w:p w14:paraId="0F831D11">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eastAsia"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3、安装过程，不得影响医院的正常运行，保障医院科室正常运行为优先条件；</w:t>
            </w:r>
          </w:p>
          <w:p w14:paraId="227F11E8">
            <w:pPr>
              <w:pStyle w:val="17"/>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firstLine="420" w:firstLineChars="200"/>
              <w:jc w:val="left"/>
              <w:textAlignment w:val="auto"/>
              <w:rPr>
                <w:rFonts w:hint="default" w:ascii="宋体" w:hAnsi="宋体"/>
                <w:color w:val="000000" w:themeColor="text1"/>
                <w:sz w:val="21"/>
                <w:szCs w:val="21"/>
                <w:highlight w:val="none"/>
                <w:lang w:val="en-US" w:eastAsia="zh-CN"/>
              </w:rPr>
            </w:pPr>
            <w:r>
              <w:rPr>
                <w:rFonts w:hint="eastAsia" w:ascii="宋体" w:hAnsi="宋体"/>
                <w:color w:val="000000" w:themeColor="text1"/>
                <w:sz w:val="21"/>
                <w:szCs w:val="21"/>
                <w:highlight w:val="none"/>
                <w:lang w:val="en-US" w:eastAsia="zh-CN"/>
              </w:rPr>
              <w:t>4、安装完成后，需要对设备新风供应区域的洁净度进行检测并出具报告，提交调试记录。</w:t>
            </w:r>
          </w:p>
          <w:p w14:paraId="70524DC5">
            <w:pPr>
              <w:spacing w:line="44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en-US" w:eastAsia="zh-CN"/>
              </w:rPr>
              <w:t>七</w:t>
            </w:r>
            <w:r>
              <w:rPr>
                <w:rFonts w:hint="eastAsia" w:ascii="宋体" w:hAnsi="宋体"/>
                <w:b/>
                <w:bCs/>
                <w:color w:val="000000" w:themeColor="text1"/>
                <w:szCs w:val="21"/>
                <w:highlight w:val="none"/>
              </w:rPr>
              <w:t>、</w:t>
            </w:r>
            <w:r>
              <w:rPr>
                <w:rFonts w:hint="eastAsia" w:ascii="宋体" w:hAnsi="宋体"/>
                <w:b/>
                <w:bCs/>
                <w:color w:val="000000" w:themeColor="text1"/>
                <w:szCs w:val="21"/>
                <w:highlight w:val="none"/>
                <w:lang w:val="en-US" w:eastAsia="zh-CN"/>
              </w:rPr>
              <w:t>项目</w:t>
            </w:r>
            <w:r>
              <w:rPr>
                <w:rFonts w:hint="eastAsia" w:ascii="宋体" w:hAnsi="宋体"/>
                <w:b/>
                <w:bCs/>
                <w:color w:val="000000" w:themeColor="text1"/>
                <w:szCs w:val="21"/>
                <w:highlight w:val="none"/>
              </w:rPr>
              <w:t>要求</w:t>
            </w:r>
          </w:p>
          <w:p w14:paraId="78ABC9CD">
            <w:pPr>
              <w:spacing w:line="440" w:lineRule="exact"/>
              <w:ind w:firstLine="420" w:firstLineChars="200"/>
              <w:rPr>
                <w:rFonts w:hint="eastAsia" w:ascii="宋体" w:hAnsi="宋体"/>
                <w:b w:val="0"/>
                <w:bCs w:val="0"/>
                <w:sz w:val="21"/>
                <w:szCs w:val="21"/>
                <w:highlight w:val="none"/>
                <w:lang w:val="en-US" w:eastAsia="zh-CN"/>
              </w:rPr>
            </w:pPr>
            <w:r>
              <w:rPr>
                <w:rFonts w:hint="eastAsia" w:ascii="宋体" w:hAnsi="宋体"/>
                <w:color w:val="000000" w:themeColor="text1"/>
                <w:szCs w:val="21"/>
                <w:highlight w:val="none"/>
              </w:rPr>
              <w:t>1、</w:t>
            </w:r>
            <w:r>
              <w:rPr>
                <w:rFonts w:hint="eastAsia" w:ascii="宋体" w:hAnsi="宋体"/>
                <w:b w:val="0"/>
                <w:bCs w:val="0"/>
                <w:sz w:val="21"/>
                <w:szCs w:val="21"/>
                <w:highlight w:val="none"/>
                <w:lang w:val="en-US" w:eastAsia="zh-CN"/>
              </w:rPr>
              <w:t>本</w:t>
            </w:r>
            <w:r>
              <w:rPr>
                <w:rFonts w:hint="eastAsia" w:ascii="宋体" w:hAnsi="宋体"/>
                <w:b w:val="0"/>
                <w:bCs w:val="0"/>
                <w:color w:val="auto"/>
                <w:sz w:val="21"/>
                <w:szCs w:val="21"/>
                <w:highlight w:val="none"/>
                <w:lang w:val="en-US" w:eastAsia="zh-CN"/>
              </w:rPr>
              <w:t>项目实施前，需根据我院的情况制定维修方案与计划，经由管理部门审核确认后，方可进行维修安装。</w:t>
            </w:r>
          </w:p>
          <w:p w14:paraId="6D1BE829">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20" w:firstLineChars="200"/>
              <w:textAlignment w:val="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2、成交供应商需委派一名项目负责人，项目负责人需具备两年以上行业经验，并持有相关上岗证件（如：暖通、制冷、机电等）。项目负责人在本项目服务期内现场组织、指挥、管理、协调等工作，确保在限期内完成。项目完成后规定的保修期内，根据项目实际保修工作需随时到场负责指挥，安排应做的保修工作。维修期间应确保项目负责人不缺位，如出现因项目负责人缺位而严重影响本项目的情况，采购人有权提出更换项目负责人，同时由此造成的损失由</w:t>
            </w:r>
            <w:r>
              <w:rPr>
                <w:rFonts w:hint="eastAsia" w:ascii="宋体" w:hAnsi="宋体"/>
                <w:b w:val="0"/>
                <w:bCs w:val="0"/>
                <w:color w:val="auto"/>
                <w:sz w:val="21"/>
                <w:szCs w:val="21"/>
                <w:highlight w:val="none"/>
                <w:lang w:val="en-US" w:eastAsia="zh-CN"/>
              </w:rPr>
              <w:t>成交供应商承担</w:t>
            </w:r>
            <w:r>
              <w:rPr>
                <w:rFonts w:hint="eastAsia" w:ascii="宋体" w:hAnsi="宋体"/>
                <w:b w:val="0"/>
                <w:bCs w:val="0"/>
                <w:sz w:val="21"/>
                <w:szCs w:val="21"/>
                <w:highlight w:val="none"/>
                <w:lang w:val="en-US" w:eastAsia="zh-CN"/>
              </w:rPr>
              <w:t>。【响应供应商需提供投入的项目负责人的项目经验资料及上岗证件，包括但不限于：从业时长、项目规模、现场图片、项目实施过程中等可公开的资料】</w:t>
            </w:r>
          </w:p>
          <w:p w14:paraId="0136C1F0">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20" w:firstLineChars="200"/>
              <w:textAlignment w:val="auto"/>
              <w:rPr>
                <w:rFonts w:hint="eastAsia" w:ascii="宋体" w:hAnsi="宋体"/>
                <w:b w:val="0"/>
                <w:bCs w:val="0"/>
                <w:sz w:val="21"/>
                <w:szCs w:val="21"/>
                <w:highlight w:val="none"/>
                <w:lang w:val="en-US" w:eastAsia="zh-CN"/>
              </w:rPr>
            </w:pPr>
            <w:r>
              <w:rPr>
                <w:rFonts w:hint="eastAsia" w:ascii="宋体" w:hAnsi="宋体"/>
                <w:b w:val="0"/>
                <w:bCs w:val="0"/>
                <w:sz w:val="21"/>
                <w:szCs w:val="21"/>
                <w:highlight w:val="none"/>
                <w:lang w:val="en-US" w:eastAsia="zh-CN"/>
              </w:rPr>
              <w:t>3、对于本项目涉及的持证上岗的人员，包含但不限于：电工作业操作、制冷设备维修、焊工等，并向采购人报备。</w:t>
            </w:r>
          </w:p>
          <w:p w14:paraId="08956B4E">
            <w:pPr>
              <w:keepNext w:val="0"/>
              <w:keepLines w:val="0"/>
              <w:pageBreakBefore w:val="0"/>
              <w:widowControl/>
              <w:numPr>
                <w:ilvl w:val="0"/>
                <w:numId w:val="0"/>
              </w:numPr>
              <w:kinsoku/>
              <w:wordWrap/>
              <w:overflowPunct/>
              <w:topLinePunct w:val="0"/>
              <w:autoSpaceDE/>
              <w:autoSpaceDN/>
              <w:bidi w:val="0"/>
              <w:adjustRightInd w:val="0"/>
              <w:snapToGrid w:val="0"/>
              <w:spacing w:line="360" w:lineRule="auto"/>
              <w:ind w:leftChars="0" w:firstLine="420" w:firstLineChars="200"/>
              <w:textAlignment w:val="auto"/>
              <w:rPr>
                <w:rFonts w:ascii="宋体" w:hAnsi="宋体"/>
                <w:color w:val="auto"/>
                <w:szCs w:val="21"/>
                <w:highlight w:val="none"/>
              </w:rPr>
            </w:pPr>
            <w:r>
              <w:rPr>
                <w:rFonts w:hint="eastAsia" w:ascii="宋体" w:hAnsi="宋体"/>
                <w:b w:val="0"/>
                <w:bCs w:val="0"/>
                <w:sz w:val="21"/>
                <w:szCs w:val="21"/>
                <w:highlight w:val="none"/>
                <w:lang w:val="en-US" w:eastAsia="zh-CN"/>
              </w:rPr>
              <w:t>4、</w:t>
            </w:r>
            <w:r>
              <w:rPr>
                <w:rFonts w:hint="eastAsia" w:ascii="宋体" w:hAnsi="宋体"/>
                <w:color w:val="000000" w:themeColor="text1"/>
                <w:szCs w:val="21"/>
                <w:highlight w:val="none"/>
              </w:rPr>
              <w:t>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w:t>
            </w:r>
            <w:r>
              <w:rPr>
                <w:rFonts w:hint="eastAsia" w:ascii="宋体" w:hAnsi="宋体"/>
                <w:color w:val="000000" w:themeColor="text1"/>
                <w:szCs w:val="21"/>
                <w:highlight w:val="none"/>
              </w:rPr>
              <w:t>应按</w:t>
            </w:r>
            <w:r>
              <w:rPr>
                <w:rFonts w:hint="eastAsia" w:ascii="宋体" w:hAnsi="宋体"/>
                <w:color w:val="000000" w:themeColor="text1"/>
                <w:szCs w:val="21"/>
                <w:highlight w:val="none"/>
                <w:lang w:val="en-US" w:eastAsia="zh-CN"/>
              </w:rPr>
              <w:t>相关设备维修操作</w:t>
            </w:r>
            <w:r>
              <w:rPr>
                <w:rFonts w:hint="eastAsia" w:ascii="宋体" w:hAnsi="宋体"/>
                <w:color w:val="000000" w:themeColor="text1"/>
                <w:szCs w:val="21"/>
                <w:highlight w:val="none"/>
              </w:rPr>
              <w:t>的要求，遵守一切医院的规章制度，不得影响医院正常运行，采取严格科学的安全措施，确保施工安全和第三者的安全，承担由于自身安全</w:t>
            </w:r>
            <w:r>
              <w:rPr>
                <w:rFonts w:hint="eastAsia" w:ascii="宋体" w:hAnsi="宋体"/>
                <w:color w:val="auto"/>
                <w:szCs w:val="21"/>
                <w:highlight w:val="none"/>
              </w:rPr>
              <w:t>不力造成事故责任和发生的费用。</w:t>
            </w:r>
          </w:p>
          <w:p w14:paraId="2EF53DD2">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5</w:t>
            </w:r>
            <w:r>
              <w:rPr>
                <w:rFonts w:hint="eastAsia" w:ascii="宋体" w:hAnsi="宋体"/>
                <w:color w:val="auto"/>
                <w:szCs w:val="21"/>
                <w:highlight w:val="none"/>
              </w:rPr>
              <w:t>、成交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商须按照国家现行的相关安全管理及标准，做好现场施工的安全措施，文明施工。</w:t>
            </w:r>
          </w:p>
          <w:p w14:paraId="6D491430">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6</w:t>
            </w:r>
            <w:r>
              <w:rPr>
                <w:rFonts w:hint="eastAsia" w:ascii="宋体" w:hAnsi="宋体"/>
                <w:color w:val="auto"/>
                <w:szCs w:val="21"/>
                <w:highlight w:val="none"/>
              </w:rPr>
              <w:t>、成交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商在</w:t>
            </w:r>
            <w:r>
              <w:rPr>
                <w:rFonts w:hint="eastAsia" w:ascii="宋体" w:hAnsi="宋体"/>
                <w:color w:val="auto"/>
                <w:szCs w:val="21"/>
                <w:highlight w:val="none"/>
                <w:lang w:val="en-US" w:eastAsia="zh-CN"/>
              </w:rPr>
              <w:t>项目实施</w:t>
            </w:r>
            <w:r>
              <w:rPr>
                <w:rFonts w:hint="eastAsia" w:ascii="宋体" w:hAnsi="宋体"/>
                <w:color w:val="auto"/>
                <w:szCs w:val="21"/>
                <w:highlight w:val="none"/>
              </w:rPr>
              <w:t>过程中，如遇到需与外部相关的单位协调的问题时，应自行解决，采购人只负责协助。</w:t>
            </w:r>
          </w:p>
          <w:p w14:paraId="27FC6AF5">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7</w:t>
            </w:r>
            <w:r>
              <w:rPr>
                <w:rFonts w:hint="eastAsia" w:ascii="宋体" w:hAnsi="宋体"/>
                <w:color w:val="auto"/>
                <w:szCs w:val="21"/>
                <w:highlight w:val="none"/>
              </w:rPr>
              <w:t>、成交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商在</w:t>
            </w:r>
            <w:r>
              <w:rPr>
                <w:rFonts w:hint="eastAsia" w:ascii="宋体" w:hAnsi="宋体"/>
                <w:color w:val="auto"/>
                <w:szCs w:val="21"/>
                <w:highlight w:val="none"/>
                <w:lang w:val="en-US" w:eastAsia="zh-CN"/>
              </w:rPr>
              <w:t>项目实施过程中</w:t>
            </w:r>
            <w:r>
              <w:rPr>
                <w:rFonts w:hint="eastAsia" w:ascii="宋体" w:hAnsi="宋体"/>
                <w:color w:val="auto"/>
                <w:szCs w:val="21"/>
                <w:highlight w:val="none"/>
              </w:rPr>
              <w:t>，必须确保施工现场</w:t>
            </w:r>
            <w:r>
              <w:rPr>
                <w:rFonts w:hint="eastAsia" w:ascii="宋体" w:hAnsi="宋体"/>
                <w:color w:val="auto"/>
                <w:szCs w:val="21"/>
                <w:highlight w:val="none"/>
                <w:lang w:val="en-US" w:eastAsia="zh-CN"/>
              </w:rPr>
              <w:t>管理规范（</w:t>
            </w:r>
            <w:r>
              <w:rPr>
                <w:rFonts w:hint="eastAsia" w:ascii="宋体" w:hAnsi="宋体"/>
                <w:b w:val="0"/>
                <w:bCs w:val="0"/>
                <w:color w:val="auto"/>
                <w:sz w:val="21"/>
                <w:szCs w:val="21"/>
                <w:highlight w:val="none"/>
                <w:lang w:val="en-US" w:eastAsia="zh-CN"/>
              </w:rPr>
              <w:t>清洁、物品保护、施工文明等</w:t>
            </w:r>
            <w:r>
              <w:rPr>
                <w:rFonts w:hint="eastAsia" w:ascii="宋体" w:hAnsi="宋体"/>
                <w:color w:val="auto"/>
                <w:szCs w:val="21"/>
                <w:highlight w:val="none"/>
                <w:lang w:val="en-US" w:eastAsia="zh-CN"/>
              </w:rPr>
              <w:t>）</w:t>
            </w:r>
            <w:r>
              <w:rPr>
                <w:rFonts w:hint="eastAsia" w:ascii="宋体" w:hAnsi="宋体"/>
                <w:color w:val="auto"/>
                <w:szCs w:val="21"/>
                <w:highlight w:val="none"/>
              </w:rPr>
              <w:t>。</w:t>
            </w:r>
            <w:r>
              <w:rPr>
                <w:rFonts w:hint="eastAsia" w:ascii="宋体" w:hAnsi="宋体"/>
                <w:b w:val="0"/>
                <w:bCs w:val="0"/>
                <w:color w:val="auto"/>
                <w:sz w:val="21"/>
                <w:szCs w:val="21"/>
                <w:highlight w:val="none"/>
                <w:lang w:val="en-US" w:eastAsia="zh-CN"/>
              </w:rPr>
              <w:t>如有现场管理不当（清洁、物品保护、施工文明等），则该项项目的结算费用扣减5%。</w:t>
            </w:r>
          </w:p>
          <w:p w14:paraId="4E3E54F5">
            <w:pPr>
              <w:spacing w:line="440" w:lineRule="exact"/>
              <w:ind w:firstLine="420" w:firstLineChars="200"/>
              <w:rPr>
                <w:rFonts w:ascii="宋体" w:hAnsi="宋体"/>
                <w:color w:val="auto"/>
                <w:szCs w:val="21"/>
                <w:highlight w:val="none"/>
              </w:rPr>
            </w:pPr>
            <w:r>
              <w:rPr>
                <w:rFonts w:hint="eastAsia" w:ascii="宋体" w:hAnsi="宋体"/>
                <w:color w:val="auto"/>
                <w:szCs w:val="21"/>
                <w:highlight w:val="none"/>
                <w:lang w:val="en-US" w:eastAsia="zh-CN"/>
              </w:rPr>
              <w:t>8</w:t>
            </w:r>
            <w:r>
              <w:rPr>
                <w:rFonts w:hint="eastAsia" w:ascii="宋体" w:hAnsi="宋体"/>
                <w:color w:val="auto"/>
                <w:szCs w:val="21"/>
                <w:highlight w:val="none"/>
              </w:rPr>
              <w:t>、施工的临水、临电由采购人提供接驳口，接驳口以外的范围由成交</w:t>
            </w:r>
            <w:r>
              <w:rPr>
                <w:rFonts w:hint="eastAsia" w:ascii="宋体" w:hAnsi="宋体"/>
                <w:color w:val="auto"/>
                <w:szCs w:val="21"/>
                <w:highlight w:val="none"/>
                <w:lang w:val="en-US" w:eastAsia="zh-CN"/>
              </w:rPr>
              <w:t>供应</w:t>
            </w:r>
            <w:r>
              <w:rPr>
                <w:rFonts w:hint="eastAsia" w:ascii="宋体" w:hAnsi="宋体"/>
                <w:color w:val="auto"/>
                <w:szCs w:val="21"/>
                <w:highlight w:val="none"/>
              </w:rPr>
              <w:t>商负责，水电费由采购人负责。</w:t>
            </w:r>
          </w:p>
          <w:p w14:paraId="7DA17E78">
            <w:pPr>
              <w:spacing w:line="44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en-US" w:eastAsia="zh-CN"/>
              </w:rPr>
              <w:t>八</w:t>
            </w:r>
            <w:r>
              <w:rPr>
                <w:rFonts w:hint="eastAsia" w:ascii="宋体" w:hAnsi="宋体"/>
                <w:b/>
                <w:bCs/>
                <w:color w:val="000000" w:themeColor="text1"/>
                <w:szCs w:val="21"/>
                <w:highlight w:val="none"/>
              </w:rPr>
              <w:t>、验收</w:t>
            </w:r>
          </w:p>
          <w:p w14:paraId="789AAE0D">
            <w:pPr>
              <w:spacing w:line="440" w:lineRule="exact"/>
              <w:ind w:firstLine="420" w:firstLineChars="200"/>
              <w:rPr>
                <w:highlight w:val="none"/>
              </w:rPr>
            </w:pPr>
            <w:r>
              <w:rPr>
                <w:rFonts w:hint="eastAsia" w:ascii="宋体" w:hAnsi="宋体" w:eastAsia="宋体"/>
                <w:color w:val="000000" w:themeColor="text1"/>
                <w:szCs w:val="21"/>
                <w:highlight w:val="none"/>
              </w:rPr>
              <w:t>★</w:t>
            </w:r>
            <w:r>
              <w:rPr>
                <w:rFonts w:hint="eastAsia" w:ascii="宋体" w:hAnsi="宋体"/>
                <w:color w:val="000000" w:themeColor="text1"/>
                <w:szCs w:val="21"/>
                <w:highlight w:val="none"/>
              </w:rPr>
              <w:t>1、项目实施过程中，</w:t>
            </w:r>
            <w:r>
              <w:rPr>
                <w:rFonts w:hint="eastAsia"/>
                <w:highlight w:val="none"/>
              </w:rPr>
              <w:t>成交</w:t>
            </w:r>
            <w:r>
              <w:rPr>
                <w:rFonts w:hint="eastAsia" w:ascii="宋体" w:hAnsi="宋体"/>
                <w:color w:val="auto"/>
                <w:szCs w:val="21"/>
                <w:highlight w:val="none"/>
                <w:lang w:val="en-US" w:eastAsia="zh-CN"/>
              </w:rPr>
              <w:t>供应</w:t>
            </w:r>
            <w:r>
              <w:rPr>
                <w:highlight w:val="none"/>
              </w:rPr>
              <w:t>商应保证</w:t>
            </w:r>
            <w:r>
              <w:rPr>
                <w:rFonts w:hint="eastAsia"/>
                <w:highlight w:val="none"/>
              </w:rPr>
              <w:t>提供或</w:t>
            </w:r>
            <w:r>
              <w:rPr>
                <w:rFonts w:hint="eastAsia"/>
                <w:highlight w:val="none"/>
                <w:lang w:val="en-US" w:eastAsia="zh-CN"/>
              </w:rPr>
              <w:t>维修</w:t>
            </w:r>
            <w:r>
              <w:rPr>
                <w:rFonts w:hint="eastAsia"/>
                <w:highlight w:val="none"/>
              </w:rPr>
              <w:t>更换的合同</w:t>
            </w:r>
            <w:r>
              <w:rPr>
                <w:highlight w:val="none"/>
              </w:rPr>
              <w:t>设备</w:t>
            </w:r>
            <w:r>
              <w:rPr>
                <w:rFonts w:hint="eastAsia"/>
                <w:highlight w:val="none"/>
              </w:rPr>
              <w:t>、配件</w:t>
            </w:r>
            <w:r>
              <w:rPr>
                <w:highlight w:val="none"/>
              </w:rPr>
              <w:t>是全新、未曾使用过的，其质量、规格及技术特征符合国家标准、规范及采购文件的要求。</w:t>
            </w:r>
          </w:p>
          <w:p w14:paraId="2647199E">
            <w:pPr>
              <w:spacing w:line="440" w:lineRule="exact"/>
              <w:ind w:firstLine="420" w:firstLineChars="200"/>
              <w:rPr>
                <w:rFonts w:hint="eastAsia" w:ascii="宋体" w:hAnsi="宋体" w:eastAsiaTheme="minorEastAsia"/>
                <w:color w:val="000000" w:themeColor="text1"/>
                <w:szCs w:val="21"/>
                <w:highlight w:val="none"/>
                <w:lang w:eastAsia="zh-CN"/>
              </w:rPr>
            </w:pPr>
            <w:r>
              <w:rPr>
                <w:rFonts w:hint="eastAsia" w:ascii="宋体" w:hAnsi="宋体" w:eastAsia="宋体"/>
                <w:color w:val="000000" w:themeColor="text1"/>
                <w:szCs w:val="21"/>
                <w:highlight w:val="none"/>
              </w:rPr>
              <w:t>★</w:t>
            </w:r>
            <w:r>
              <w:rPr>
                <w:rFonts w:hint="eastAsia" w:ascii="宋体" w:hAnsi="宋体"/>
                <w:color w:val="000000" w:themeColor="text1"/>
                <w:szCs w:val="21"/>
                <w:highlight w:val="none"/>
              </w:rPr>
              <w:t>2、</w:t>
            </w:r>
            <w:r>
              <w:rPr>
                <w:rFonts w:hint="eastAsia" w:ascii="宋体" w:hAnsi="宋体"/>
                <w:color w:val="000000" w:themeColor="text1"/>
                <w:szCs w:val="21"/>
                <w:highlight w:val="none"/>
                <w:lang w:val="en-US" w:eastAsia="zh-CN"/>
              </w:rPr>
              <w:t>维修</w:t>
            </w:r>
            <w:r>
              <w:rPr>
                <w:rFonts w:hint="eastAsia" w:ascii="宋体" w:hAnsi="宋体"/>
                <w:color w:val="000000" w:themeColor="text1"/>
                <w:szCs w:val="21"/>
                <w:highlight w:val="none"/>
              </w:rPr>
              <w:t>更换完成后，设备系统运行正常</w:t>
            </w:r>
            <w:r>
              <w:rPr>
                <w:rFonts w:hint="eastAsia" w:ascii="宋体" w:hAnsi="宋体"/>
                <w:color w:val="000000" w:themeColor="text1"/>
                <w:szCs w:val="21"/>
                <w:highlight w:val="none"/>
                <w:lang w:eastAsia="zh-CN"/>
              </w:rPr>
              <w:t>，</w:t>
            </w:r>
            <w:r>
              <w:rPr>
                <w:rFonts w:hint="eastAsia" w:ascii="宋体" w:hAnsi="宋体"/>
                <w:color w:val="000000" w:themeColor="text1"/>
                <w:szCs w:val="21"/>
                <w:highlight w:val="none"/>
                <w:lang w:val="en-US" w:eastAsia="zh-CN"/>
              </w:rPr>
              <w:t>新风洁净度符合</w:t>
            </w:r>
            <w:r>
              <w:rPr>
                <w:rFonts w:hint="eastAsia" w:ascii="宋体" w:hAnsi="宋体"/>
                <w:color w:val="000000" w:themeColor="text1"/>
                <w:sz w:val="21"/>
                <w:szCs w:val="21"/>
                <w:highlight w:val="none"/>
                <w:lang w:val="en-US" w:eastAsia="zh-CN"/>
              </w:rPr>
              <w:t>《医院洁净手术部建筑技术规范》（GB50333-2013）</w:t>
            </w:r>
            <w:r>
              <w:rPr>
                <w:rFonts w:hint="eastAsia" w:ascii="宋体" w:hAnsi="宋体"/>
                <w:color w:val="000000" w:themeColor="text1"/>
                <w:szCs w:val="21"/>
                <w:highlight w:val="none"/>
                <w:lang w:val="en-US" w:eastAsia="zh-CN"/>
              </w:rPr>
              <w:t>要求</w:t>
            </w:r>
            <w:r>
              <w:rPr>
                <w:rFonts w:hint="eastAsia" w:ascii="宋体" w:hAnsi="宋体"/>
                <w:color w:val="000000" w:themeColor="text1"/>
                <w:szCs w:val="21"/>
                <w:highlight w:val="none"/>
              </w:rPr>
              <w:t>。</w:t>
            </w:r>
            <w:r>
              <w:rPr>
                <w:rFonts w:hint="eastAsia" w:ascii="宋体" w:hAnsi="宋体"/>
                <w:color w:val="000000" w:themeColor="text1"/>
                <w:szCs w:val="21"/>
                <w:highlight w:val="none"/>
                <w:lang w:eastAsia="zh-CN"/>
              </w:rPr>
              <w:t>（</w:t>
            </w:r>
            <w:r>
              <w:rPr>
                <w:rFonts w:hint="eastAsia" w:ascii="宋体" w:hAnsi="宋体"/>
                <w:color w:val="000000" w:themeColor="text1"/>
                <w:szCs w:val="21"/>
                <w:highlight w:val="none"/>
                <w:lang w:val="en-US" w:eastAsia="zh-CN"/>
              </w:rPr>
              <w:t>相关检测记录留存备查</w:t>
            </w:r>
            <w:r>
              <w:rPr>
                <w:rFonts w:hint="eastAsia" w:ascii="宋体" w:hAnsi="宋体"/>
                <w:color w:val="000000" w:themeColor="text1"/>
                <w:szCs w:val="21"/>
                <w:highlight w:val="none"/>
                <w:lang w:eastAsia="zh-CN"/>
              </w:rPr>
              <w:t>）</w:t>
            </w:r>
          </w:p>
          <w:p w14:paraId="5B0598D5">
            <w:pPr>
              <w:numPr>
                <w:ilvl w:val="0"/>
                <w:numId w:val="0"/>
              </w:numPr>
              <w:spacing w:line="440" w:lineRule="exact"/>
              <w:ind w:firstLine="420" w:firstLineChars="200"/>
              <w:rPr>
                <w:rFonts w:hint="eastAsia" w:ascii="宋体" w:hAnsi="宋体"/>
                <w:color w:val="000000" w:themeColor="text1"/>
                <w:szCs w:val="21"/>
                <w:highlight w:val="none"/>
              </w:rPr>
            </w:pPr>
            <w:r>
              <w:rPr>
                <w:rFonts w:hint="eastAsia" w:ascii="宋体" w:hAnsi="宋体" w:eastAsiaTheme="minorEastAsia" w:cstheme="minorBidi"/>
                <w:color w:val="000000" w:themeColor="text1"/>
                <w:kern w:val="2"/>
                <w:sz w:val="21"/>
                <w:szCs w:val="21"/>
                <w:highlight w:val="none"/>
                <w:lang w:val="en-US" w:eastAsia="zh-CN" w:bidi="ar-SA"/>
              </w:rPr>
              <w:t>3、</w:t>
            </w:r>
            <w:r>
              <w:rPr>
                <w:rFonts w:hint="eastAsia" w:ascii="宋体" w:hAnsi="宋体"/>
                <w:color w:val="000000" w:themeColor="text1"/>
                <w:szCs w:val="21"/>
                <w:highlight w:val="none"/>
              </w:rPr>
              <w:t>项目施工及验收须满足采购人要求。</w:t>
            </w:r>
          </w:p>
          <w:p w14:paraId="05029441">
            <w:pPr>
              <w:keepNext w:val="0"/>
              <w:keepLines w:val="0"/>
              <w:pageBreakBefore w:val="0"/>
              <w:widowControl w:val="0"/>
              <w:numPr>
                <w:ilvl w:val="0"/>
                <w:numId w:val="0"/>
              </w:numPr>
              <w:kinsoku/>
              <w:wordWrap/>
              <w:overflowPunct/>
              <w:topLinePunct w:val="0"/>
              <w:autoSpaceDE/>
              <w:autoSpaceDN/>
              <w:bidi w:val="0"/>
              <w:adjustRightInd/>
              <w:snapToGrid/>
              <w:spacing w:line="440" w:lineRule="exact"/>
              <w:ind w:firstLine="420" w:firstLineChars="200"/>
              <w:textAlignment w:val="auto"/>
              <w:rPr>
                <w:rFonts w:hint="default" w:ascii="宋体" w:hAnsi="宋体" w:eastAsiaTheme="minorEastAsia"/>
                <w:color w:val="000000" w:themeColor="text1"/>
                <w:szCs w:val="21"/>
                <w:highlight w:val="none"/>
                <w:lang w:val="en-US" w:eastAsia="zh-CN"/>
              </w:rPr>
            </w:pPr>
            <w:r>
              <w:rPr>
                <w:rFonts w:hint="eastAsia" w:ascii="宋体" w:hAnsi="宋体"/>
                <w:color w:val="000000" w:themeColor="text1"/>
                <w:szCs w:val="21"/>
                <w:highlight w:val="none"/>
                <w:lang w:val="en-US" w:eastAsia="zh-CN"/>
              </w:rPr>
              <w:t>4、设备资料（合格证/检测报告、说明书等）齐全。</w:t>
            </w:r>
          </w:p>
          <w:p w14:paraId="43CED3B9">
            <w:pPr>
              <w:spacing w:line="440" w:lineRule="exact"/>
              <w:rPr>
                <w:rFonts w:ascii="宋体" w:hAnsi="宋体"/>
                <w:b/>
                <w:bCs/>
                <w:color w:val="000000" w:themeColor="text1"/>
                <w:szCs w:val="21"/>
                <w:highlight w:val="none"/>
              </w:rPr>
            </w:pPr>
            <w:r>
              <w:rPr>
                <w:rFonts w:hint="eastAsia" w:ascii="宋体" w:hAnsi="宋体"/>
                <w:b/>
                <w:bCs/>
                <w:color w:val="000000" w:themeColor="text1"/>
                <w:szCs w:val="21"/>
                <w:highlight w:val="none"/>
                <w:lang w:val="en-US" w:eastAsia="zh-CN"/>
              </w:rPr>
              <w:t>九</w:t>
            </w:r>
            <w:r>
              <w:rPr>
                <w:rFonts w:hint="eastAsia" w:ascii="宋体" w:hAnsi="宋体"/>
                <w:b/>
                <w:bCs/>
                <w:color w:val="000000" w:themeColor="text1"/>
                <w:szCs w:val="21"/>
                <w:highlight w:val="none"/>
              </w:rPr>
              <w:t>、质保及</w:t>
            </w:r>
            <w:r>
              <w:rPr>
                <w:rFonts w:hint="eastAsia" w:ascii="宋体" w:hAnsi="宋体"/>
                <w:b/>
                <w:bCs/>
                <w:color w:val="000000" w:themeColor="text1"/>
                <w:szCs w:val="21"/>
                <w:highlight w:val="none"/>
                <w:lang w:val="en-US" w:eastAsia="zh-CN"/>
              </w:rPr>
              <w:t>其他</w:t>
            </w:r>
            <w:r>
              <w:rPr>
                <w:rFonts w:hint="eastAsia" w:ascii="宋体" w:hAnsi="宋体"/>
                <w:b/>
                <w:bCs/>
                <w:color w:val="000000" w:themeColor="text1"/>
                <w:szCs w:val="21"/>
                <w:highlight w:val="none"/>
              </w:rPr>
              <w:t>要求</w:t>
            </w:r>
          </w:p>
          <w:p w14:paraId="03ED5577">
            <w:pPr>
              <w:spacing w:line="440" w:lineRule="exact"/>
              <w:ind w:firstLine="420" w:firstLineChars="200"/>
              <w:rPr>
                <w:rFonts w:ascii="宋体" w:hAnsi="宋体"/>
                <w:color w:val="000000" w:themeColor="text1"/>
                <w:szCs w:val="21"/>
                <w:highlight w:val="none"/>
              </w:rPr>
            </w:pPr>
            <w:r>
              <w:rPr>
                <w:rFonts w:hint="eastAsia" w:ascii="宋体" w:hAnsi="宋体"/>
                <w:color w:val="000000" w:themeColor="text1"/>
                <w:szCs w:val="21"/>
                <w:highlight w:val="none"/>
              </w:rPr>
              <w:t>1、质保期</w:t>
            </w:r>
            <w:r>
              <w:rPr>
                <w:rFonts w:hint="eastAsia" w:ascii="宋体" w:hAnsi="宋体"/>
                <w:color w:val="000000" w:themeColor="text1"/>
                <w:szCs w:val="21"/>
                <w:highlight w:val="none"/>
                <w:lang w:eastAsia="zh-CN"/>
              </w:rPr>
              <w:t>：</w:t>
            </w:r>
            <w:r>
              <w:rPr>
                <w:rFonts w:hint="eastAsia" w:ascii="宋体" w:hAnsi="宋体"/>
                <w:color w:val="000000" w:themeColor="text1"/>
                <w:szCs w:val="21"/>
                <w:highlight w:val="none"/>
                <w:lang w:val="en-US" w:eastAsia="zh-CN"/>
              </w:rPr>
              <w:t>不少于1</w:t>
            </w:r>
            <w:r>
              <w:rPr>
                <w:rFonts w:hint="eastAsia" w:ascii="宋体" w:hAnsi="宋体"/>
                <w:color w:val="000000" w:themeColor="text1"/>
                <w:szCs w:val="21"/>
                <w:highlight w:val="none"/>
              </w:rPr>
              <w:t>年，质保期自验收之日起计算。</w:t>
            </w:r>
          </w:p>
          <w:p w14:paraId="0FF3612D">
            <w:pPr>
              <w:spacing w:line="440" w:lineRule="exact"/>
              <w:ind w:firstLine="420" w:firstLineChars="200"/>
              <w:rPr>
                <w:rFonts w:ascii="宋体" w:hAnsi="宋体"/>
                <w:color w:val="000000" w:themeColor="text1"/>
                <w:szCs w:val="21"/>
                <w:highlight w:val="none"/>
              </w:rPr>
            </w:pPr>
            <w:r>
              <w:rPr>
                <w:rFonts w:hint="eastAsia" w:ascii="宋体" w:hAnsi="宋体"/>
                <w:color w:val="000000" w:themeColor="text1"/>
                <w:szCs w:val="21"/>
                <w:highlight w:val="none"/>
              </w:rPr>
              <w:t>2、</w:t>
            </w:r>
            <w:r>
              <w:rPr>
                <w:rFonts w:hint="eastAsia" w:ascii="宋体" w:hAnsi="宋体"/>
                <w:color w:val="000000"/>
                <w:sz w:val="21"/>
                <w:szCs w:val="21"/>
                <w:highlight w:val="none"/>
              </w:rPr>
              <w:t>质保期内因质量或工艺问题</w:t>
            </w:r>
            <w:r>
              <w:rPr>
                <w:rFonts w:hint="eastAsia"/>
                <w:color w:val="auto"/>
                <w:sz w:val="21"/>
                <w:szCs w:val="21"/>
                <w:highlight w:val="none"/>
              </w:rPr>
              <w:t>（人为损坏及自然灾害除外）</w:t>
            </w:r>
            <w:r>
              <w:rPr>
                <w:rFonts w:hint="eastAsia" w:ascii="宋体" w:hAnsi="宋体"/>
                <w:color w:val="000000"/>
                <w:sz w:val="21"/>
                <w:szCs w:val="21"/>
                <w:highlight w:val="none"/>
              </w:rPr>
              <w:t>，成交供应商应免费保修（包工包料）。</w:t>
            </w:r>
          </w:p>
          <w:p w14:paraId="787807F6">
            <w:pPr>
              <w:spacing w:line="440" w:lineRule="exact"/>
              <w:ind w:firstLine="420" w:firstLineChars="200"/>
              <w:rPr>
                <w:rFonts w:hint="eastAsia" w:ascii="宋体" w:hAnsi="宋体"/>
                <w:sz w:val="21"/>
                <w:szCs w:val="21"/>
                <w:highlight w:val="none"/>
                <w:lang w:val="en-US" w:eastAsia="zh-CN"/>
              </w:rPr>
            </w:pPr>
            <w:r>
              <w:rPr>
                <w:rFonts w:hint="eastAsia" w:ascii="宋体" w:hAnsi="宋体" w:eastAsia="宋体"/>
                <w:szCs w:val="21"/>
                <w:highlight w:val="none"/>
              </w:rPr>
              <w:t>★</w:t>
            </w:r>
            <w:r>
              <w:rPr>
                <w:rFonts w:hint="eastAsia" w:ascii="宋体" w:hAnsi="宋体"/>
                <w:szCs w:val="21"/>
                <w:highlight w:val="none"/>
              </w:rPr>
              <w:t>3、</w:t>
            </w:r>
            <w:r>
              <w:rPr>
                <w:rFonts w:hint="eastAsia" w:ascii="宋体" w:hAnsi="宋体"/>
                <w:sz w:val="21"/>
                <w:szCs w:val="21"/>
                <w:highlight w:val="none"/>
              </w:rPr>
              <w:t>质保期内，电话</w:t>
            </w:r>
            <w:r>
              <w:rPr>
                <w:rFonts w:ascii="宋体" w:hAnsi="宋体"/>
                <w:sz w:val="21"/>
                <w:szCs w:val="21"/>
                <w:highlight w:val="none"/>
              </w:rPr>
              <w:t>2</w:t>
            </w:r>
            <w:r>
              <w:rPr>
                <w:rFonts w:hint="eastAsia" w:ascii="宋体" w:hAnsi="宋体"/>
                <w:sz w:val="21"/>
                <w:szCs w:val="21"/>
                <w:highlight w:val="none"/>
                <w:lang w:val="en-US" w:eastAsia="zh-CN"/>
              </w:rPr>
              <w:t>4</w:t>
            </w:r>
            <w:r>
              <w:rPr>
                <w:rFonts w:hint="eastAsia" w:ascii="宋体" w:hAnsi="宋体"/>
                <w:sz w:val="21"/>
                <w:szCs w:val="21"/>
                <w:highlight w:val="none"/>
              </w:rPr>
              <w:t>小时</w:t>
            </w:r>
            <w:r>
              <w:rPr>
                <w:rFonts w:hint="eastAsia" w:ascii="宋体" w:hAnsi="宋体"/>
                <w:color w:val="auto"/>
                <w:sz w:val="21"/>
                <w:szCs w:val="21"/>
                <w:highlight w:val="none"/>
              </w:rPr>
              <w:t>响应，</w:t>
            </w:r>
            <w:r>
              <w:rPr>
                <w:rFonts w:hint="eastAsia" w:ascii="宋体" w:hAnsi="宋体"/>
                <w:color w:val="auto"/>
                <w:sz w:val="21"/>
                <w:szCs w:val="21"/>
                <w:highlight w:val="none"/>
                <w:lang w:val="en-US" w:eastAsia="zh-CN"/>
              </w:rPr>
              <w:t>1</w:t>
            </w:r>
            <w:r>
              <w:rPr>
                <w:rFonts w:hint="eastAsia" w:ascii="宋体" w:hAnsi="宋体"/>
                <w:color w:val="auto"/>
                <w:sz w:val="21"/>
                <w:szCs w:val="21"/>
                <w:highlight w:val="none"/>
              </w:rPr>
              <w:t>小时内到场</w:t>
            </w:r>
            <w:r>
              <w:rPr>
                <w:rFonts w:hint="eastAsia" w:ascii="宋体" w:hAnsi="宋体"/>
                <w:color w:val="auto"/>
                <w:sz w:val="21"/>
                <w:szCs w:val="21"/>
                <w:highlight w:val="none"/>
                <w:lang w:val="en-US" w:eastAsia="zh-CN"/>
              </w:rPr>
              <w:t>排查故障</w:t>
            </w:r>
            <w:r>
              <w:rPr>
                <w:rFonts w:hint="eastAsia" w:ascii="宋体" w:hAnsi="宋体"/>
                <w:color w:val="auto"/>
                <w:sz w:val="21"/>
                <w:szCs w:val="21"/>
                <w:highlight w:val="none"/>
              </w:rPr>
              <w:t>，</w:t>
            </w:r>
            <w:r>
              <w:rPr>
                <w:rFonts w:ascii="宋体" w:hAnsi="宋体"/>
                <w:color w:val="auto"/>
                <w:sz w:val="21"/>
                <w:szCs w:val="21"/>
                <w:highlight w:val="none"/>
              </w:rPr>
              <w:t>1</w:t>
            </w:r>
            <w:r>
              <w:rPr>
                <w:rFonts w:hint="eastAsia" w:ascii="宋体" w:hAnsi="宋体"/>
                <w:color w:val="auto"/>
                <w:sz w:val="21"/>
                <w:szCs w:val="21"/>
                <w:highlight w:val="none"/>
              </w:rPr>
              <w:t>天内完成修复处理。</w:t>
            </w:r>
            <w:r>
              <w:rPr>
                <w:rFonts w:hint="eastAsia"/>
                <w:color w:val="auto"/>
                <w:sz w:val="21"/>
                <w:szCs w:val="21"/>
                <w:highlight w:val="none"/>
              </w:rPr>
              <w:t>如成交供应商未按约定时间进行维修，采购人可另行安排人员维修，所产生的相关费用由成交供应商承担，在质量保证金中扣除。</w:t>
            </w:r>
            <w:r>
              <w:rPr>
                <w:rFonts w:hint="eastAsia" w:ascii="宋体" w:hAnsi="宋体"/>
                <w:sz w:val="21"/>
                <w:szCs w:val="21"/>
                <w:highlight w:val="none"/>
                <w:lang w:val="en-US" w:eastAsia="zh-CN"/>
              </w:rPr>
              <w:t>若在1天内未能完成修复的，成交供应商应无偿提供优于或同等的设备供采购人使用。</w:t>
            </w:r>
          </w:p>
          <w:p w14:paraId="522A09EA">
            <w:pPr>
              <w:spacing w:line="440" w:lineRule="exact"/>
              <w:ind w:firstLine="420" w:firstLineChars="200"/>
              <w:rPr>
                <w:rFonts w:hint="eastAsia" w:ascii="宋体" w:hAnsi="宋体"/>
                <w:szCs w:val="21"/>
                <w:highlight w:val="none"/>
                <w:lang w:val="en-US" w:eastAsia="zh-CN"/>
              </w:rPr>
            </w:pPr>
            <w:r>
              <w:rPr>
                <w:rFonts w:hint="eastAsia" w:ascii="宋体" w:hAnsi="宋体"/>
                <w:szCs w:val="21"/>
                <w:highlight w:val="none"/>
                <w:lang w:val="en-US" w:eastAsia="zh-CN"/>
              </w:rPr>
              <w:t>4、</w:t>
            </w:r>
            <w:r>
              <w:rPr>
                <w:rFonts w:hint="eastAsia"/>
                <w:color w:val="auto"/>
                <w:sz w:val="21"/>
                <w:szCs w:val="21"/>
                <w:highlight w:val="none"/>
              </w:rPr>
              <w:t>保修期及文件中未列明的其他项目的保修期按国家现行的质量保修办法的规定执行。</w:t>
            </w:r>
          </w:p>
          <w:p w14:paraId="3D4AEA6C">
            <w:pPr>
              <w:spacing w:line="440" w:lineRule="exact"/>
              <w:rPr>
                <w:rFonts w:ascii="宋体" w:hAnsi="宋体"/>
                <w:b/>
                <w:bCs/>
                <w:szCs w:val="21"/>
                <w:highlight w:val="none"/>
              </w:rPr>
            </w:pPr>
            <w:r>
              <w:rPr>
                <w:rFonts w:hint="eastAsia" w:ascii="宋体" w:hAnsi="宋体"/>
                <w:b/>
                <w:bCs/>
                <w:szCs w:val="21"/>
                <w:highlight w:val="none"/>
                <w:lang w:val="en-US" w:eastAsia="zh-CN"/>
              </w:rPr>
              <w:t>十</w:t>
            </w:r>
            <w:r>
              <w:rPr>
                <w:rFonts w:hint="eastAsia" w:ascii="宋体" w:hAnsi="宋体"/>
                <w:b/>
                <w:bCs/>
                <w:szCs w:val="21"/>
                <w:highlight w:val="none"/>
              </w:rPr>
              <w:t>、付款方式</w:t>
            </w:r>
          </w:p>
          <w:p w14:paraId="77EFECE9">
            <w:pPr>
              <w:spacing w:line="440" w:lineRule="exact"/>
              <w:ind w:firstLine="420" w:firstLineChars="200"/>
              <w:rPr>
                <w:rFonts w:hint="eastAsia" w:ascii="宋体" w:hAnsi="宋体"/>
                <w:color w:val="000000" w:themeColor="text1"/>
                <w:szCs w:val="21"/>
                <w:highlight w:val="none"/>
              </w:rPr>
            </w:pPr>
            <w:r>
              <w:rPr>
                <w:rFonts w:hint="eastAsia" w:ascii="宋体" w:hAnsi="宋体"/>
                <w:color w:val="000000" w:themeColor="text1"/>
                <w:szCs w:val="21"/>
                <w:highlight w:val="none"/>
              </w:rPr>
              <w:t>项目完成并验收合格后，由</w:t>
            </w:r>
            <w:r>
              <w:rPr>
                <w:rFonts w:hint="eastAsia" w:ascii="宋体" w:hAnsi="宋体"/>
                <w:color w:val="auto"/>
                <w:szCs w:val="21"/>
                <w:highlight w:val="none"/>
              </w:rPr>
              <w:t>成交</w:t>
            </w:r>
            <w:r>
              <w:rPr>
                <w:rFonts w:hint="eastAsia" w:ascii="宋体" w:hAnsi="宋体"/>
                <w:color w:val="auto"/>
                <w:szCs w:val="21"/>
                <w:highlight w:val="none"/>
                <w:lang w:val="en-US" w:eastAsia="zh-CN"/>
              </w:rPr>
              <w:t>供应</w:t>
            </w:r>
            <w:r>
              <w:rPr>
                <w:rFonts w:hint="eastAsia" w:ascii="宋体" w:hAnsi="宋体"/>
                <w:color w:val="000000" w:themeColor="text1"/>
                <w:szCs w:val="21"/>
                <w:highlight w:val="none"/>
              </w:rPr>
              <w:t>商开具项目结算全额发票，采购人确认无误后，一个月内支付项目结算金额的</w:t>
            </w:r>
            <w:r>
              <w:rPr>
                <w:rFonts w:hint="eastAsia" w:ascii="宋体" w:hAnsi="宋体"/>
                <w:color w:val="000000" w:themeColor="text1"/>
                <w:szCs w:val="21"/>
                <w:highlight w:val="none"/>
                <w:lang w:val="en-US" w:eastAsia="zh-CN"/>
              </w:rPr>
              <w:t>97</w:t>
            </w:r>
            <w:r>
              <w:rPr>
                <w:rFonts w:hint="eastAsia" w:ascii="宋体" w:hAnsi="宋体"/>
                <w:color w:val="000000" w:themeColor="text1"/>
                <w:szCs w:val="21"/>
                <w:highlight w:val="none"/>
              </w:rPr>
              <w:t>%；</w:t>
            </w:r>
            <w:r>
              <w:rPr>
                <w:rFonts w:hint="eastAsia" w:ascii="宋体" w:hAnsi="宋体"/>
                <w:color w:val="000000" w:themeColor="text1"/>
                <w:szCs w:val="21"/>
                <w:highlight w:val="none"/>
                <w:lang w:val="en-US" w:eastAsia="zh-CN"/>
              </w:rPr>
              <w:t>剩余3%作为质量保证金，质保期</w:t>
            </w:r>
            <w:r>
              <w:rPr>
                <w:rFonts w:hint="eastAsia" w:ascii="宋体" w:hAnsi="宋体"/>
                <w:color w:val="000000" w:themeColor="text1"/>
                <w:szCs w:val="21"/>
                <w:highlight w:val="none"/>
              </w:rPr>
              <w:t>满后一次性无息退还。</w:t>
            </w:r>
          </w:p>
          <w:p w14:paraId="550B0403">
            <w:pPr>
              <w:spacing w:line="440" w:lineRule="exact"/>
              <w:rPr>
                <w:rFonts w:hint="default" w:ascii="宋体" w:hAnsi="宋体" w:eastAsiaTheme="minorEastAsia"/>
                <w:b/>
                <w:bCs/>
                <w:color w:val="000000" w:themeColor="text1"/>
                <w:szCs w:val="21"/>
                <w:highlight w:val="none"/>
                <w:lang w:val="en-US" w:eastAsia="zh-CN"/>
              </w:rPr>
            </w:pPr>
            <w:r>
              <w:rPr>
                <w:rFonts w:hint="eastAsia" w:ascii="宋体" w:hAnsi="宋体"/>
                <w:b/>
                <w:bCs/>
                <w:color w:val="000000" w:themeColor="text1"/>
                <w:szCs w:val="21"/>
                <w:highlight w:val="none"/>
                <w:lang w:val="en-US" w:eastAsia="zh-CN"/>
              </w:rPr>
              <w:t>十一、违约责任</w:t>
            </w:r>
          </w:p>
          <w:p w14:paraId="44524F7D">
            <w:pPr>
              <w:pStyle w:val="3"/>
              <w:keepNext w:val="0"/>
              <w:keepLines w:val="0"/>
              <w:pageBreakBefore w:val="0"/>
              <w:widowControl w:val="0"/>
              <w:tabs>
                <w:tab w:val="left" w:pos="848"/>
              </w:tabs>
              <w:kinsoku/>
              <w:wordWrap/>
              <w:overflowPunct/>
              <w:topLinePunct/>
              <w:autoSpaceDE/>
              <w:autoSpaceDN/>
              <w:bidi w:val="0"/>
              <w:adjustRightInd w:val="0"/>
              <w:spacing w:line="360" w:lineRule="auto"/>
              <w:ind w:left="0" w:firstLine="420" w:firstLineChars="200"/>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1、如因成交供应商原因所导致的一切安全事故、责任和后果，由成交供应商承担一切责任，采购人保留追究成交供应商法律责任及赔偿的权利。</w:t>
            </w:r>
          </w:p>
          <w:p w14:paraId="0025384B">
            <w:pPr>
              <w:keepNext w:val="0"/>
              <w:keepLines w:val="0"/>
              <w:pageBreakBefore w:val="0"/>
              <w:widowControl w:val="0"/>
              <w:kinsoku/>
              <w:wordWrap/>
              <w:overflowPunct/>
              <w:autoSpaceDE/>
              <w:autoSpaceDN/>
              <w:bidi w:val="0"/>
              <w:snapToGrid w:val="0"/>
              <w:spacing w:line="360" w:lineRule="auto"/>
              <w:ind w:firstLine="420" w:firstLineChars="200"/>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2、成交供应商未按时完成项目，每延误一天按中标总额的5‰向采购人交付违约金，若延误超过30天，采购人有权终止合同，成交供应商应按照中标总金额的30%向采购人支付违约金，并由此引起的经济损失由成交供应商承担。</w:t>
            </w:r>
          </w:p>
          <w:p w14:paraId="564E7893">
            <w:pPr>
              <w:pStyle w:val="4"/>
              <w:keepNext w:val="0"/>
              <w:keepLines w:val="0"/>
              <w:pageBreakBefore w:val="0"/>
              <w:widowControl w:val="0"/>
              <w:tabs>
                <w:tab w:val="left" w:pos="540"/>
              </w:tabs>
              <w:kinsoku/>
              <w:wordWrap/>
              <w:overflowPunct/>
              <w:autoSpaceDE/>
              <w:autoSpaceDN/>
              <w:bidi w:val="0"/>
              <w:adjustRightInd w:val="0"/>
              <w:snapToGrid w:val="0"/>
              <w:spacing w:line="360" w:lineRule="auto"/>
              <w:ind w:firstLine="420" w:firstLineChars="200"/>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3、对成交供应商不按规定履行义务，在服务中弄虚作假或严重不负责任的，或转包、分包本服务项目的，采购人有权终止合同。</w:t>
            </w:r>
          </w:p>
          <w:p w14:paraId="619378A1">
            <w:pPr>
              <w:keepNext w:val="0"/>
              <w:keepLines w:val="0"/>
              <w:pageBreakBefore w:val="0"/>
              <w:widowControl w:val="0"/>
              <w:kinsoku/>
              <w:wordWrap/>
              <w:overflowPunct/>
              <w:autoSpaceDE/>
              <w:autoSpaceDN/>
              <w:bidi w:val="0"/>
              <w:spacing w:line="360" w:lineRule="auto"/>
              <w:ind w:firstLine="420" w:firstLineChars="200"/>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4、成交供应商无故放弃成交资格的，向采购人支付成交价的5%的违约金。</w:t>
            </w:r>
          </w:p>
          <w:p w14:paraId="3FD896F4">
            <w:pPr>
              <w:keepNext w:val="0"/>
              <w:keepLines w:val="0"/>
              <w:pageBreakBefore w:val="0"/>
              <w:widowControl w:val="0"/>
              <w:kinsoku/>
              <w:wordWrap/>
              <w:overflowPunct/>
              <w:autoSpaceDE/>
              <w:autoSpaceDN/>
              <w:bidi w:val="0"/>
              <w:spacing w:line="360" w:lineRule="auto"/>
              <w:ind w:firstLine="420" w:firstLineChars="200"/>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5、质保期内，若未在规定2小时内到达现场作出有效响应及处理的，每次扣减500元。</w:t>
            </w:r>
          </w:p>
          <w:p w14:paraId="1CEE837B">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6、若项目施工质量不符合要求的，必须在限期内进行整改，若不处理，采购人有权另外委托第三方公司处理，由此产生的所有费用由成交供应商负责，采购人有权向成交供应商追索费用，同时成交供应商还须向采购人支付该项项目结算费用的30%的违约金。</w:t>
            </w:r>
          </w:p>
          <w:p w14:paraId="338BEDC3">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7、若合同有效期内，发生严重单次安全事故导致人员重伤、死亡或严重财产损失，采购人有权解除合同，成交供应商须按照过错程度承担相关责任及赔偿并向采购人支付五万元的违约金。</w:t>
            </w:r>
          </w:p>
          <w:p w14:paraId="7BC31D48">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8、成交供应商使用的材料、工具、器械等应当符合国家安全标准，不得使用不合格产品，一经发现，采购人有权解除合同，成交供应商须承担相关责任及赔偿并向采购人支付五万元的违约金。</w:t>
            </w:r>
          </w:p>
          <w:p w14:paraId="16C69D99">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9、若成交供应商提供的服务存在其他严重不符合用户需求书以及响应文件规定的情形的，采购人有权解除合同，成交供应商须承担相关责任及赔偿并向采购人支付五万元的违约金。</w:t>
            </w:r>
          </w:p>
          <w:p w14:paraId="541EAF4A">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10、若因成交供应商服务不到位，收到科室投诉或被检查发现不达标每次扣减300元，严重情况加倍扣罚；维修质量不达标或屡次维修达不到使用要求每次扣减500元。</w:t>
            </w:r>
          </w:p>
          <w:p w14:paraId="39D9D22E">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hint="eastAsia" w:ascii="宋体" w:hAnsi="宋体" w:eastAsia="宋体" w:cs="Times New Roman"/>
                <w:b w:val="0"/>
                <w:bCs w:val="0"/>
                <w:kern w:val="2"/>
                <w:sz w:val="21"/>
                <w:szCs w:val="21"/>
                <w:highlight w:val="none"/>
                <w:lang w:val="en-US" w:eastAsia="zh-CN" w:bidi="ar-SA"/>
              </w:rPr>
            </w:pPr>
            <w:r>
              <w:rPr>
                <w:rFonts w:hint="eastAsia" w:ascii="宋体" w:hAnsi="宋体" w:eastAsia="宋体" w:cs="Times New Roman"/>
                <w:b w:val="0"/>
                <w:bCs w:val="0"/>
                <w:kern w:val="2"/>
                <w:sz w:val="21"/>
                <w:szCs w:val="21"/>
                <w:highlight w:val="none"/>
                <w:lang w:val="en-US" w:eastAsia="zh-CN" w:bidi="ar-SA"/>
              </w:rPr>
              <w:t>11、若因成交供应商服务，造成采购人遭受任何第三方主张赔偿、补偿或罚款及其他经济损失的，采购人为维权而产生律师费等维权支出的，采购人有权就赔偿、补偿或罚款及维权支出等费用全额向成交供应商服务追偿。</w:t>
            </w:r>
          </w:p>
          <w:p w14:paraId="1EA464C3">
            <w:pPr>
              <w:pStyle w:val="17"/>
              <w:keepNext w:val="0"/>
              <w:keepLines w:val="0"/>
              <w:pageBreakBefore w:val="0"/>
              <w:widowControl/>
              <w:kinsoku/>
              <w:wordWrap/>
              <w:overflowPunct/>
              <w:topLinePunct w:val="0"/>
              <w:autoSpaceDE/>
              <w:autoSpaceDN/>
              <w:bidi w:val="0"/>
              <w:spacing w:line="360" w:lineRule="auto"/>
              <w:ind w:leftChars="0" w:firstLine="420" w:firstLineChars="200"/>
              <w:jc w:val="left"/>
              <w:textAlignment w:val="auto"/>
              <w:rPr>
                <w:rFonts w:ascii="宋体" w:hAnsi="宋体"/>
                <w:color w:val="000000" w:themeColor="text1"/>
                <w:szCs w:val="21"/>
                <w:highlight w:val="none"/>
              </w:rPr>
            </w:pPr>
            <w:r>
              <w:rPr>
                <w:rFonts w:hint="eastAsia" w:ascii="宋体" w:hAnsi="宋体" w:eastAsia="宋体" w:cs="Times New Roman"/>
                <w:b w:val="0"/>
                <w:bCs w:val="0"/>
                <w:kern w:val="2"/>
                <w:sz w:val="21"/>
                <w:szCs w:val="21"/>
                <w:highlight w:val="none"/>
                <w:lang w:val="en-US" w:eastAsia="zh-CN" w:bidi="ar-SA"/>
              </w:rPr>
              <w:t>12、其它违约责任按《中华人民共和国民法典》处理。</w:t>
            </w:r>
          </w:p>
        </w:tc>
      </w:tr>
      <w:tr w14:paraId="07123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9590" w:type="dxa"/>
            <w:gridSpan w:val="3"/>
            <w:vAlign w:val="center"/>
          </w:tcPr>
          <w:p w14:paraId="5AC68926">
            <w:pPr>
              <w:spacing w:line="440" w:lineRule="exact"/>
              <w:rPr>
                <w:rFonts w:ascii="宋体" w:hAnsi="宋体" w:eastAsia="黑体"/>
                <w:color w:val="000000" w:themeColor="text1"/>
                <w:sz w:val="24"/>
                <w:highlight w:val="none"/>
              </w:rPr>
            </w:pPr>
            <w:r>
              <w:rPr>
                <w:rFonts w:hint="eastAsia" w:ascii="黑体" w:hAnsi="黑体" w:eastAsia="黑体"/>
                <w:sz w:val="32"/>
                <w:szCs w:val="32"/>
                <w:highlight w:val="none"/>
              </w:rPr>
              <w:t>产品/供应商信息</w:t>
            </w:r>
          </w:p>
        </w:tc>
      </w:tr>
      <w:tr w14:paraId="57E327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vAlign w:val="center"/>
          </w:tcPr>
          <w:p w14:paraId="72E8F93C">
            <w:pPr>
              <w:spacing w:line="440" w:lineRule="exact"/>
              <w:jc w:val="center"/>
              <w:rPr>
                <w:rFonts w:ascii="宋体" w:hAnsi="宋体" w:eastAsia="宋体"/>
                <w:b/>
                <w:color w:val="000000" w:themeColor="text1"/>
                <w:sz w:val="24"/>
                <w:highlight w:val="none"/>
              </w:rPr>
            </w:pPr>
            <w:r>
              <w:rPr>
                <w:rFonts w:hint="eastAsia" w:ascii="宋体" w:hAnsi="宋体" w:eastAsia="宋体"/>
                <w:color w:val="000000" w:themeColor="text1"/>
                <w:sz w:val="24"/>
                <w:highlight w:val="none"/>
              </w:rPr>
              <w:t>序号</w:t>
            </w:r>
          </w:p>
        </w:tc>
        <w:tc>
          <w:tcPr>
            <w:tcW w:w="4194" w:type="dxa"/>
            <w:vAlign w:val="center"/>
          </w:tcPr>
          <w:p w14:paraId="16B818CD">
            <w:pPr>
              <w:spacing w:line="440" w:lineRule="exact"/>
              <w:jc w:val="center"/>
              <w:rPr>
                <w:rFonts w:ascii="宋体" w:hAnsi="宋体"/>
                <w:color w:val="000000" w:themeColor="text1"/>
                <w:sz w:val="24"/>
                <w:highlight w:val="none"/>
              </w:rPr>
            </w:pPr>
            <w:r>
              <w:rPr>
                <w:rFonts w:hint="eastAsia" w:ascii="宋体" w:hAnsi="宋体" w:eastAsia="宋体"/>
                <w:color w:val="000000" w:themeColor="text1"/>
                <w:sz w:val="24"/>
                <w:highlight w:val="none"/>
              </w:rPr>
              <w:t>品牌、型号/内容</w:t>
            </w:r>
          </w:p>
        </w:tc>
        <w:tc>
          <w:tcPr>
            <w:tcW w:w="4147" w:type="dxa"/>
            <w:vAlign w:val="center"/>
          </w:tcPr>
          <w:p w14:paraId="3659F115">
            <w:pPr>
              <w:spacing w:line="440" w:lineRule="exact"/>
              <w:jc w:val="center"/>
              <w:rPr>
                <w:rFonts w:ascii="宋体" w:hAnsi="宋体"/>
                <w:color w:val="000000" w:themeColor="text1"/>
                <w:sz w:val="24"/>
                <w:highlight w:val="none"/>
              </w:rPr>
            </w:pPr>
            <w:r>
              <w:rPr>
                <w:rFonts w:hint="eastAsia" w:ascii="宋体" w:hAnsi="宋体" w:eastAsia="宋体"/>
                <w:color w:val="000000" w:themeColor="text1"/>
                <w:sz w:val="24"/>
                <w:highlight w:val="none"/>
              </w:rPr>
              <w:t>供应商联系方式</w:t>
            </w:r>
          </w:p>
        </w:tc>
      </w:tr>
      <w:tr w14:paraId="44C0FA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vAlign w:val="center"/>
          </w:tcPr>
          <w:p w14:paraId="4925D30E">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1</w:t>
            </w:r>
          </w:p>
        </w:tc>
        <w:tc>
          <w:tcPr>
            <w:tcW w:w="4194" w:type="dxa"/>
            <w:vAlign w:val="center"/>
          </w:tcPr>
          <w:p w14:paraId="13D590B4">
            <w:pPr>
              <w:spacing w:line="440" w:lineRule="exact"/>
              <w:rPr>
                <w:rFonts w:ascii="宋体" w:hAnsi="宋体"/>
                <w:color w:val="000000" w:themeColor="text1"/>
                <w:szCs w:val="21"/>
                <w:highlight w:val="none"/>
              </w:rPr>
            </w:pPr>
          </w:p>
        </w:tc>
        <w:tc>
          <w:tcPr>
            <w:tcW w:w="4147" w:type="dxa"/>
            <w:vAlign w:val="center"/>
          </w:tcPr>
          <w:p w14:paraId="53DC5F49">
            <w:pPr>
              <w:spacing w:line="440" w:lineRule="exact"/>
              <w:jc w:val="center"/>
              <w:rPr>
                <w:rFonts w:ascii="宋体" w:hAnsi="宋体"/>
                <w:color w:val="000000" w:themeColor="text1"/>
                <w:szCs w:val="21"/>
                <w:highlight w:val="none"/>
              </w:rPr>
            </w:pPr>
          </w:p>
        </w:tc>
      </w:tr>
      <w:tr w14:paraId="014E7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vAlign w:val="center"/>
          </w:tcPr>
          <w:p w14:paraId="787D35BB">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2</w:t>
            </w:r>
          </w:p>
        </w:tc>
        <w:tc>
          <w:tcPr>
            <w:tcW w:w="4194" w:type="dxa"/>
            <w:vAlign w:val="center"/>
          </w:tcPr>
          <w:p w14:paraId="19E18C8C">
            <w:pPr>
              <w:spacing w:line="440" w:lineRule="exact"/>
              <w:rPr>
                <w:rFonts w:ascii="宋体" w:hAnsi="宋体"/>
                <w:color w:val="000000" w:themeColor="text1"/>
                <w:szCs w:val="21"/>
                <w:highlight w:val="none"/>
              </w:rPr>
            </w:pPr>
          </w:p>
        </w:tc>
        <w:tc>
          <w:tcPr>
            <w:tcW w:w="4147" w:type="dxa"/>
            <w:vAlign w:val="center"/>
          </w:tcPr>
          <w:p w14:paraId="6FF5A0BE">
            <w:pPr>
              <w:spacing w:line="440" w:lineRule="exact"/>
              <w:jc w:val="center"/>
              <w:rPr>
                <w:rFonts w:ascii="宋体" w:hAnsi="宋体"/>
                <w:color w:val="000000" w:themeColor="text1"/>
                <w:szCs w:val="21"/>
                <w:highlight w:val="none"/>
              </w:rPr>
            </w:pPr>
          </w:p>
        </w:tc>
      </w:tr>
      <w:tr w14:paraId="2D2BF8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1249" w:type="dxa"/>
            <w:vAlign w:val="center"/>
          </w:tcPr>
          <w:p w14:paraId="02EF7EB1">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3</w:t>
            </w:r>
          </w:p>
        </w:tc>
        <w:tc>
          <w:tcPr>
            <w:tcW w:w="4194" w:type="dxa"/>
            <w:vAlign w:val="center"/>
          </w:tcPr>
          <w:p w14:paraId="285E268E">
            <w:pPr>
              <w:spacing w:line="440" w:lineRule="exact"/>
              <w:rPr>
                <w:rFonts w:ascii="宋体" w:hAnsi="宋体"/>
                <w:color w:val="000000" w:themeColor="text1"/>
                <w:szCs w:val="21"/>
                <w:highlight w:val="none"/>
              </w:rPr>
            </w:pPr>
          </w:p>
        </w:tc>
        <w:tc>
          <w:tcPr>
            <w:tcW w:w="4147" w:type="dxa"/>
            <w:vAlign w:val="center"/>
          </w:tcPr>
          <w:p w14:paraId="1179199D">
            <w:pPr>
              <w:spacing w:line="440" w:lineRule="exact"/>
              <w:jc w:val="center"/>
              <w:rPr>
                <w:rFonts w:ascii="宋体" w:hAnsi="宋体"/>
                <w:color w:val="000000" w:themeColor="text1"/>
                <w:szCs w:val="21"/>
                <w:highlight w:val="none"/>
              </w:rPr>
            </w:pPr>
          </w:p>
        </w:tc>
      </w:tr>
      <w:tr w14:paraId="065B6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jc w:val="center"/>
        </w:trPr>
        <w:tc>
          <w:tcPr>
            <w:tcW w:w="9590" w:type="dxa"/>
            <w:gridSpan w:val="3"/>
            <w:vAlign w:val="center"/>
          </w:tcPr>
          <w:p w14:paraId="21060190">
            <w:pPr>
              <w:spacing w:line="440" w:lineRule="exact"/>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制定人签字：                        </w:t>
            </w:r>
            <w:r>
              <w:rPr>
                <w:rFonts w:hint="eastAsia" w:ascii="宋体" w:hAnsi="宋体" w:eastAsia="宋体"/>
                <w:b/>
                <w:color w:val="000000" w:themeColor="text1"/>
                <w:sz w:val="24"/>
                <w:highlight w:val="none"/>
                <w:lang w:val="en-US" w:eastAsia="zh-CN"/>
              </w:rPr>
              <w:t xml:space="preserve">       归口</w:t>
            </w:r>
            <w:r>
              <w:rPr>
                <w:rFonts w:hint="eastAsia" w:ascii="宋体" w:hAnsi="宋体" w:eastAsia="宋体"/>
                <w:b/>
                <w:color w:val="000000" w:themeColor="text1"/>
                <w:sz w:val="24"/>
                <w:highlight w:val="none"/>
              </w:rPr>
              <w:t xml:space="preserve">负责人签字：                        </w:t>
            </w:r>
          </w:p>
          <w:p w14:paraId="1CC00017">
            <w:pPr>
              <w:spacing w:line="440" w:lineRule="exact"/>
              <w:jc w:val="center"/>
              <w:rPr>
                <w:rFonts w:ascii="宋体" w:hAnsi="宋体" w:eastAsia="宋体"/>
                <w:b/>
                <w:color w:val="000000" w:themeColor="text1"/>
                <w:sz w:val="24"/>
                <w:highlight w:val="none"/>
              </w:rPr>
            </w:pPr>
            <w:r>
              <w:rPr>
                <w:rFonts w:hint="eastAsia" w:ascii="宋体" w:hAnsi="宋体" w:eastAsia="宋体"/>
                <w:b/>
                <w:color w:val="000000" w:themeColor="text1"/>
                <w:sz w:val="24"/>
                <w:highlight w:val="none"/>
              </w:rPr>
              <w:t xml:space="preserve">        </w:t>
            </w:r>
            <w:r>
              <w:rPr>
                <w:rFonts w:hint="eastAsia" w:ascii="宋体" w:hAnsi="宋体" w:eastAsia="宋体"/>
                <w:b/>
                <w:color w:val="000000" w:themeColor="text1"/>
                <w:sz w:val="24"/>
                <w:highlight w:val="none"/>
                <w:lang w:val="en-US" w:eastAsia="zh-CN"/>
              </w:rPr>
              <w:t xml:space="preserve">      </w:t>
            </w:r>
            <w:r>
              <w:rPr>
                <w:rFonts w:hint="eastAsia" w:ascii="宋体" w:hAnsi="宋体" w:eastAsia="宋体"/>
                <w:b/>
                <w:color w:val="000000" w:themeColor="text1"/>
                <w:sz w:val="24"/>
                <w:highlight w:val="none"/>
              </w:rPr>
              <w:t>日期：</w:t>
            </w:r>
          </w:p>
        </w:tc>
      </w:tr>
    </w:tbl>
    <w:p w14:paraId="45F1BCA0">
      <w:pPr>
        <w:spacing w:line="440" w:lineRule="exact"/>
        <w:rPr>
          <w:rFonts w:ascii="宋体" w:hAnsi="宋体"/>
          <w:b/>
          <w:color w:val="000000" w:themeColor="text1"/>
          <w:sz w:val="28"/>
          <w:szCs w:val="28"/>
        </w:rPr>
      </w:pPr>
    </w:p>
    <w:p w14:paraId="7B37F5AD">
      <w:pPr>
        <w:spacing w:line="440" w:lineRule="exact"/>
        <w:rPr>
          <w:rFonts w:ascii="黑体" w:hAnsi="黑体" w:eastAsia="黑体"/>
          <w:b/>
          <w:color w:val="000000" w:themeColor="text1"/>
          <w:sz w:val="44"/>
          <w:szCs w:val="44"/>
        </w:rPr>
      </w:pPr>
    </w:p>
    <w:sectPr>
      <w:headerReference r:id="rId4" w:type="first"/>
      <w:headerReference r:id="rId3" w:type="default"/>
      <w:pgSz w:w="11906" w:h="16838"/>
      <w:pgMar w:top="1440" w:right="1797" w:bottom="873" w:left="1797"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00007A87" w:usb1="80000000" w:usb2="00000008"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00007A87" w:usb1="80000000" w:usb2="00000008"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00007A87" w:usb1="80000000" w:usb2="00000008"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A00002EF" w:usb1="4000207B" w:usb2="00000000" w:usb3="00000000" w:csb0="2000009F" w:csb1="00000000"/>
  </w:font>
  <w:font w:name="仿宋_GB2312">
    <w:panose1 w:val="02010609030101010101"/>
    <w:charset w:val="86"/>
    <w:family w:val="auto"/>
    <w:pitch w:val="default"/>
    <w:sig w:usb0="00000001" w:usb1="080E0000" w:usb2="00000000" w:usb3="00000000" w:csb0="0004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4B41D">
    <w:pPr>
      <w:pStyle w:val="7"/>
    </w:pPr>
    <w:r>
      <w:rPr>
        <w:rFonts w:hint="eastAsia" w:ascii="黑体" w:hAnsi="黑体" w:eastAsia="黑体"/>
        <w:sz w:val="28"/>
        <w:szCs w:val="28"/>
        <w:u w:val="single"/>
      </w:rPr>
      <w:t>小榄人民医院采购需求书《B类》</w:t>
    </w:r>
  </w:p>
  <w:p w14:paraId="1F972A0B">
    <w:pPr>
      <w:pStyle w:val="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083FF1">
    <w:pPr>
      <w:pStyle w:val="7"/>
    </w:pPr>
    <w:r>
      <w:rPr>
        <w:rFonts w:hint="eastAsia" w:ascii="黑体" w:hAnsi="黑体" w:eastAsia="黑体"/>
        <w:sz w:val="28"/>
        <w:szCs w:val="28"/>
        <w:u w:val="single"/>
      </w:rPr>
      <w:t>小榄人民医院采购需求书《B类》</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OGNhN2FjMTIzOWMwMmUyMDUxYTM5YTAwMTlhYjYyYWQifQ=="/>
  </w:docVars>
  <w:rsids>
    <w:rsidRoot w:val="62D20299"/>
    <w:rsid w:val="00001A90"/>
    <w:rsid w:val="00005147"/>
    <w:rsid w:val="0003142D"/>
    <w:rsid w:val="000354A4"/>
    <w:rsid w:val="000535B0"/>
    <w:rsid w:val="00056719"/>
    <w:rsid w:val="00075637"/>
    <w:rsid w:val="000A41EB"/>
    <w:rsid w:val="000D2B79"/>
    <w:rsid w:val="000D4F36"/>
    <w:rsid w:val="000E0752"/>
    <w:rsid w:val="000F5986"/>
    <w:rsid w:val="00100822"/>
    <w:rsid w:val="00103399"/>
    <w:rsid w:val="00104771"/>
    <w:rsid w:val="001213D3"/>
    <w:rsid w:val="001255D9"/>
    <w:rsid w:val="0012618A"/>
    <w:rsid w:val="00133DFB"/>
    <w:rsid w:val="001455FB"/>
    <w:rsid w:val="00146204"/>
    <w:rsid w:val="00171134"/>
    <w:rsid w:val="00176A69"/>
    <w:rsid w:val="00182319"/>
    <w:rsid w:val="001A72D2"/>
    <w:rsid w:val="001B0961"/>
    <w:rsid w:val="001B206E"/>
    <w:rsid w:val="001C5501"/>
    <w:rsid w:val="001F6F3C"/>
    <w:rsid w:val="00204F13"/>
    <w:rsid w:val="00242798"/>
    <w:rsid w:val="002605DF"/>
    <w:rsid w:val="00264928"/>
    <w:rsid w:val="00266142"/>
    <w:rsid w:val="00274E64"/>
    <w:rsid w:val="002943CF"/>
    <w:rsid w:val="002A74B3"/>
    <w:rsid w:val="002B0267"/>
    <w:rsid w:val="002C4BC7"/>
    <w:rsid w:val="002C5795"/>
    <w:rsid w:val="002D5E50"/>
    <w:rsid w:val="002D7EBD"/>
    <w:rsid w:val="002F14DA"/>
    <w:rsid w:val="002F1D8D"/>
    <w:rsid w:val="002F4E03"/>
    <w:rsid w:val="00302DEF"/>
    <w:rsid w:val="00311469"/>
    <w:rsid w:val="0033063E"/>
    <w:rsid w:val="00337B92"/>
    <w:rsid w:val="003559B8"/>
    <w:rsid w:val="00357792"/>
    <w:rsid w:val="003624E3"/>
    <w:rsid w:val="003777BF"/>
    <w:rsid w:val="0038337F"/>
    <w:rsid w:val="003864BF"/>
    <w:rsid w:val="00391D51"/>
    <w:rsid w:val="00395879"/>
    <w:rsid w:val="003A3C15"/>
    <w:rsid w:val="003D0982"/>
    <w:rsid w:val="003E3ABD"/>
    <w:rsid w:val="003E598C"/>
    <w:rsid w:val="003F7358"/>
    <w:rsid w:val="004029A7"/>
    <w:rsid w:val="00414DE8"/>
    <w:rsid w:val="00422ED9"/>
    <w:rsid w:val="00426B86"/>
    <w:rsid w:val="00443A82"/>
    <w:rsid w:val="0047073F"/>
    <w:rsid w:val="0047407A"/>
    <w:rsid w:val="004B623B"/>
    <w:rsid w:val="004C7C6F"/>
    <w:rsid w:val="004D1D03"/>
    <w:rsid w:val="004D6FEF"/>
    <w:rsid w:val="004F664B"/>
    <w:rsid w:val="00503D56"/>
    <w:rsid w:val="0051069D"/>
    <w:rsid w:val="00524354"/>
    <w:rsid w:val="00533EAC"/>
    <w:rsid w:val="00535A2D"/>
    <w:rsid w:val="0053611E"/>
    <w:rsid w:val="00565534"/>
    <w:rsid w:val="00592C28"/>
    <w:rsid w:val="005A109E"/>
    <w:rsid w:val="005F6E9B"/>
    <w:rsid w:val="00600E1A"/>
    <w:rsid w:val="00607ACC"/>
    <w:rsid w:val="00614258"/>
    <w:rsid w:val="006206E4"/>
    <w:rsid w:val="00620AD2"/>
    <w:rsid w:val="0063522D"/>
    <w:rsid w:val="006751AD"/>
    <w:rsid w:val="00676823"/>
    <w:rsid w:val="006A2AF3"/>
    <w:rsid w:val="006B3EAD"/>
    <w:rsid w:val="006B70A0"/>
    <w:rsid w:val="006B71C9"/>
    <w:rsid w:val="006C22FC"/>
    <w:rsid w:val="006C54AE"/>
    <w:rsid w:val="006D09DE"/>
    <w:rsid w:val="006E1F61"/>
    <w:rsid w:val="006E51F2"/>
    <w:rsid w:val="006E6203"/>
    <w:rsid w:val="0070539B"/>
    <w:rsid w:val="007070F7"/>
    <w:rsid w:val="0072215F"/>
    <w:rsid w:val="00727A71"/>
    <w:rsid w:val="00755FFB"/>
    <w:rsid w:val="00757FB1"/>
    <w:rsid w:val="0076196C"/>
    <w:rsid w:val="00765AA9"/>
    <w:rsid w:val="007667DA"/>
    <w:rsid w:val="007A1166"/>
    <w:rsid w:val="007B284D"/>
    <w:rsid w:val="007B2CB5"/>
    <w:rsid w:val="007C57D0"/>
    <w:rsid w:val="007D257A"/>
    <w:rsid w:val="007D6D63"/>
    <w:rsid w:val="007E085C"/>
    <w:rsid w:val="007E401A"/>
    <w:rsid w:val="007F4D4C"/>
    <w:rsid w:val="00807037"/>
    <w:rsid w:val="00810BA7"/>
    <w:rsid w:val="00813FB5"/>
    <w:rsid w:val="00824AEA"/>
    <w:rsid w:val="00830A31"/>
    <w:rsid w:val="00833CFC"/>
    <w:rsid w:val="00841F5E"/>
    <w:rsid w:val="00846C6B"/>
    <w:rsid w:val="00892A8D"/>
    <w:rsid w:val="008936CE"/>
    <w:rsid w:val="008C3806"/>
    <w:rsid w:val="008D08E7"/>
    <w:rsid w:val="008D5C9A"/>
    <w:rsid w:val="008D5F17"/>
    <w:rsid w:val="008E3BF6"/>
    <w:rsid w:val="008E448D"/>
    <w:rsid w:val="008F3A42"/>
    <w:rsid w:val="008F4D02"/>
    <w:rsid w:val="0091162F"/>
    <w:rsid w:val="0092222B"/>
    <w:rsid w:val="00924EFA"/>
    <w:rsid w:val="009531BB"/>
    <w:rsid w:val="00966A5F"/>
    <w:rsid w:val="00975F6E"/>
    <w:rsid w:val="009779A2"/>
    <w:rsid w:val="00985FD4"/>
    <w:rsid w:val="009874B9"/>
    <w:rsid w:val="0099140E"/>
    <w:rsid w:val="009A05FD"/>
    <w:rsid w:val="009C5154"/>
    <w:rsid w:val="009D272C"/>
    <w:rsid w:val="009D4EF1"/>
    <w:rsid w:val="009F0CE5"/>
    <w:rsid w:val="00A03EA7"/>
    <w:rsid w:val="00A3332B"/>
    <w:rsid w:val="00A409A9"/>
    <w:rsid w:val="00A44A57"/>
    <w:rsid w:val="00A61868"/>
    <w:rsid w:val="00A707A6"/>
    <w:rsid w:val="00A8361D"/>
    <w:rsid w:val="00A87A2A"/>
    <w:rsid w:val="00A9618A"/>
    <w:rsid w:val="00AA063F"/>
    <w:rsid w:val="00AD074A"/>
    <w:rsid w:val="00AD353B"/>
    <w:rsid w:val="00AE6A97"/>
    <w:rsid w:val="00B0651E"/>
    <w:rsid w:val="00B16008"/>
    <w:rsid w:val="00B16E08"/>
    <w:rsid w:val="00B375A3"/>
    <w:rsid w:val="00B42129"/>
    <w:rsid w:val="00B76642"/>
    <w:rsid w:val="00B77686"/>
    <w:rsid w:val="00C1058B"/>
    <w:rsid w:val="00C23789"/>
    <w:rsid w:val="00C261BE"/>
    <w:rsid w:val="00C6702D"/>
    <w:rsid w:val="00C96BF6"/>
    <w:rsid w:val="00CA0710"/>
    <w:rsid w:val="00CB39A0"/>
    <w:rsid w:val="00CE7038"/>
    <w:rsid w:val="00D10244"/>
    <w:rsid w:val="00D227FB"/>
    <w:rsid w:val="00D447B2"/>
    <w:rsid w:val="00D532AF"/>
    <w:rsid w:val="00D54E76"/>
    <w:rsid w:val="00D81E13"/>
    <w:rsid w:val="00DA503E"/>
    <w:rsid w:val="00DA7AF9"/>
    <w:rsid w:val="00DB54F1"/>
    <w:rsid w:val="00DE1DC0"/>
    <w:rsid w:val="00E013D8"/>
    <w:rsid w:val="00E10EE7"/>
    <w:rsid w:val="00E329DA"/>
    <w:rsid w:val="00E6355B"/>
    <w:rsid w:val="00E704AA"/>
    <w:rsid w:val="00E73602"/>
    <w:rsid w:val="00E73B5E"/>
    <w:rsid w:val="00E745AA"/>
    <w:rsid w:val="00E75171"/>
    <w:rsid w:val="00E832A1"/>
    <w:rsid w:val="00E9064E"/>
    <w:rsid w:val="00EA4E46"/>
    <w:rsid w:val="00EB417D"/>
    <w:rsid w:val="00EB55EB"/>
    <w:rsid w:val="00ED6DAA"/>
    <w:rsid w:val="00F05B5B"/>
    <w:rsid w:val="00F05D90"/>
    <w:rsid w:val="00F106EC"/>
    <w:rsid w:val="00F611D5"/>
    <w:rsid w:val="00F616A2"/>
    <w:rsid w:val="00F65A47"/>
    <w:rsid w:val="00F70BB0"/>
    <w:rsid w:val="00F7247F"/>
    <w:rsid w:val="00F7492E"/>
    <w:rsid w:val="00F83CFA"/>
    <w:rsid w:val="00F94FD1"/>
    <w:rsid w:val="00FD057F"/>
    <w:rsid w:val="00FF13D1"/>
    <w:rsid w:val="017B45B5"/>
    <w:rsid w:val="018149ED"/>
    <w:rsid w:val="022078D8"/>
    <w:rsid w:val="05263337"/>
    <w:rsid w:val="0A6A0709"/>
    <w:rsid w:val="0DE43052"/>
    <w:rsid w:val="1BAF6547"/>
    <w:rsid w:val="1C3273E1"/>
    <w:rsid w:val="212A5145"/>
    <w:rsid w:val="29EA3C4D"/>
    <w:rsid w:val="3071413F"/>
    <w:rsid w:val="3A7135F2"/>
    <w:rsid w:val="42E34584"/>
    <w:rsid w:val="43206755"/>
    <w:rsid w:val="44C35E6F"/>
    <w:rsid w:val="5A9771F4"/>
    <w:rsid w:val="62D20299"/>
    <w:rsid w:val="635D3F98"/>
    <w:rsid w:val="637A4B45"/>
    <w:rsid w:val="68635390"/>
    <w:rsid w:val="6CB17DF5"/>
    <w:rsid w:val="78DD6FB3"/>
    <w:rsid w:val="79BE0F4A"/>
    <w:rsid w:val="7A905722"/>
    <w:rsid w:val="7FBF6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name="annotation text"/>
    <w:lsdException w:qFormat="1" w:unhideWhenUsed="0" w:uiPriority="99" w:semiHidden="0" w:name="header"/>
    <w:lsdException w:qFormat="1" w:unhideWhenUsed="0" w:uiPriority="99"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semiHidden/>
    <w:unhideWhenUsed/>
    <w:qFormat/>
    <w:uiPriority w:val="0"/>
    <w:pPr>
      <w:jc w:val="left"/>
    </w:pPr>
  </w:style>
  <w:style w:type="paragraph" w:styleId="3">
    <w:name w:val="Body Text Indent"/>
    <w:basedOn w:val="1"/>
    <w:qFormat/>
    <w:uiPriority w:val="0"/>
    <w:pPr>
      <w:spacing w:line="560" w:lineRule="exact"/>
      <w:ind w:left="300"/>
    </w:pPr>
    <w:rPr>
      <w:rFonts w:ascii="Times New Roman" w:hAnsi="Times New Roman" w:eastAsia="宋体" w:cs="Times New Roman"/>
      <w:sz w:val="24"/>
    </w:rPr>
  </w:style>
  <w:style w:type="paragraph" w:styleId="4">
    <w:name w:val="Plain Text"/>
    <w:basedOn w:val="1"/>
    <w:qFormat/>
    <w:uiPriority w:val="0"/>
    <w:rPr>
      <w:rFonts w:ascii="宋体" w:hAnsi="Courier New" w:cs="Courier New"/>
      <w:kern w:val="0"/>
      <w:sz w:val="20"/>
      <w:szCs w:val="21"/>
    </w:rPr>
  </w:style>
  <w:style w:type="paragraph" w:styleId="5">
    <w:name w:val="Balloon Text"/>
    <w:basedOn w:val="1"/>
    <w:link w:val="14"/>
    <w:qFormat/>
    <w:uiPriority w:val="0"/>
    <w:rPr>
      <w:sz w:val="18"/>
      <w:szCs w:val="18"/>
    </w:rPr>
  </w:style>
  <w:style w:type="paragraph" w:styleId="6">
    <w:name w:val="footer"/>
    <w:basedOn w:val="1"/>
    <w:link w:val="13"/>
    <w:qFormat/>
    <w:uiPriority w:val="99"/>
    <w:pPr>
      <w:tabs>
        <w:tab w:val="center" w:pos="4153"/>
        <w:tab w:val="right" w:pos="8306"/>
      </w:tabs>
      <w:snapToGrid w:val="0"/>
      <w:jc w:val="left"/>
    </w:pPr>
    <w:rPr>
      <w:sz w:val="18"/>
    </w:rPr>
  </w:style>
  <w:style w:type="paragraph" w:styleId="7">
    <w:name w:val="header"/>
    <w:basedOn w:val="1"/>
    <w:link w:val="15"/>
    <w:qFormat/>
    <w:uiPriority w:val="99"/>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1">
    <w:name w:val="annotation reference"/>
    <w:basedOn w:val="10"/>
    <w:semiHidden/>
    <w:unhideWhenUsed/>
    <w:qFormat/>
    <w:uiPriority w:val="0"/>
    <w:rPr>
      <w:sz w:val="21"/>
      <w:szCs w:val="21"/>
    </w:rPr>
  </w:style>
  <w:style w:type="paragraph" w:customStyle="1" w:styleId="12">
    <w:name w:val="Body text|1"/>
    <w:basedOn w:val="1"/>
    <w:qFormat/>
    <w:uiPriority w:val="0"/>
    <w:pPr>
      <w:spacing w:line="422" w:lineRule="auto"/>
      <w:ind w:firstLine="360"/>
    </w:pPr>
    <w:rPr>
      <w:rFonts w:ascii="宋体" w:hAnsi="宋体" w:eastAsia="宋体" w:cs="宋体"/>
      <w:sz w:val="18"/>
      <w:szCs w:val="18"/>
      <w:lang w:val="zh-TW" w:eastAsia="zh-TW" w:bidi="zh-TW"/>
    </w:rPr>
  </w:style>
  <w:style w:type="character" w:customStyle="1" w:styleId="13">
    <w:name w:val="页脚 Char"/>
    <w:basedOn w:val="10"/>
    <w:link w:val="6"/>
    <w:qFormat/>
    <w:uiPriority w:val="99"/>
    <w:rPr>
      <w:kern w:val="2"/>
      <w:sz w:val="18"/>
      <w:szCs w:val="24"/>
    </w:rPr>
  </w:style>
  <w:style w:type="character" w:customStyle="1" w:styleId="14">
    <w:name w:val="批注框文本 Char"/>
    <w:basedOn w:val="10"/>
    <w:link w:val="5"/>
    <w:qFormat/>
    <w:uiPriority w:val="0"/>
    <w:rPr>
      <w:kern w:val="2"/>
      <w:sz w:val="18"/>
      <w:szCs w:val="18"/>
    </w:rPr>
  </w:style>
  <w:style w:type="character" w:customStyle="1" w:styleId="15">
    <w:name w:val="页眉 Char"/>
    <w:basedOn w:val="10"/>
    <w:link w:val="7"/>
    <w:qFormat/>
    <w:uiPriority w:val="99"/>
    <w:rPr>
      <w:kern w:val="2"/>
      <w:sz w:val="18"/>
      <w:szCs w:val="24"/>
    </w:rPr>
  </w:style>
  <w:style w:type="paragraph" w:styleId="16">
    <w:name w:val="List Paragraph"/>
    <w:basedOn w:val="1"/>
    <w:unhideWhenUsed/>
    <w:qFormat/>
    <w:uiPriority w:val="99"/>
    <w:pPr>
      <w:ind w:firstLine="420" w:firstLineChars="200"/>
    </w:pPr>
  </w:style>
  <w:style w:type="paragraph" w:customStyle="1" w:styleId="17">
    <w:name w:val="null3"/>
    <w:hidden/>
    <w:qFormat/>
    <w:uiPriority w:val="0"/>
    <w:rPr>
      <w:rFonts w:hint="eastAsia" w:asciiTheme="minorHAnsi" w:hAnsiTheme="minorHAnsi" w:eastAsiaTheme="minorEastAsia" w:cstheme="minorBidi"/>
      <w:lang w:val="en-US" w:eastAsia="zh-Hans"/>
    </w:rPr>
  </w:style>
  <w:style w:type="paragraph" w:customStyle="1" w:styleId="18">
    <w:name w:val="列出段落1"/>
    <w:basedOn w:val="1"/>
    <w:qFormat/>
    <w:uiPriority w:val="0"/>
    <w:pPr>
      <w:ind w:firstLine="420" w:firstLineChars="200"/>
    </w:pPr>
    <w:rPr>
      <w:rFonts w:ascii="Calibri" w:hAnsi="Calibri"/>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86A8898-B4E5-442D-8617-5ABBDAC39E0B}">
  <ds:schemaRefs/>
</ds:datastoreItem>
</file>

<file path=docProps/app.xml><?xml version="1.0" encoding="utf-8"?>
<Properties xmlns="http://schemas.openxmlformats.org/officeDocument/2006/extended-properties" xmlns:vt="http://schemas.openxmlformats.org/officeDocument/2006/docPropsVTypes">
  <Template>Normal.dotm</Template>
  <Company>P R C</Company>
  <Pages>5</Pages>
  <Words>3539</Words>
  <Characters>3656</Characters>
  <Lines>3</Lines>
  <Paragraphs>5</Paragraphs>
  <TotalTime>2</TotalTime>
  <ScaleCrop>false</ScaleCrop>
  <LinksUpToDate>false</LinksUpToDate>
  <CharactersWithSpaces>3725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2023-05-26T07:14:00Z</dcterms:created>
  <dc:creator>采购部</dc:creator>
  <cp:lastModifiedBy>Vennis-雯</cp:lastModifiedBy>
  <cp:lastPrinted>2023-05-26T07:23:00Z</cp:lastPrinted>
  <dcterms:modified xsi:type="dcterms:W3CDTF">2026-03-26T07:47:29Z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ECA9434FDCE041D4A166CB19441D41F2_13</vt:lpwstr>
  </property>
  <property fmtid="{D5CDD505-2E9C-101B-9397-08002B2CF9AE}" pid="4" name="KSOTemplateDocerSaveRecord">
    <vt:lpwstr>eyJoZGlkIjoiMGU0ZjcwNWI1YmYzYTFmZmQyMGIwMjA4NmE2OGRjNzgiLCJ1c2VySWQiOiIyNDQxODc3ODQifQ==</vt:lpwstr>
  </property>
</Properties>
</file>