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605021">
      <w:pPr>
        <w:widowControl/>
        <w:snapToGrid w:val="0"/>
        <w:spacing w:line="360" w:lineRule="auto"/>
        <w:jc w:val="center"/>
        <w:rPr>
          <w:rFonts w:hint="eastAsia" w:asciiTheme="minorEastAsia" w:hAnsiTheme="minorEastAsia" w:eastAsiaTheme="minorEastAsia" w:cstheme="minorEastAsia"/>
          <w:b/>
          <w:kern w:val="0"/>
          <w:sz w:val="32"/>
          <w:szCs w:val="32"/>
          <w:lang w:eastAsia="zh-CN"/>
        </w:rPr>
      </w:pPr>
      <w:r>
        <w:rPr>
          <w:rFonts w:hint="eastAsia" w:asciiTheme="minorEastAsia" w:hAnsiTheme="minorEastAsia" w:cstheme="minorEastAsia"/>
          <w:b/>
          <w:kern w:val="0"/>
          <w:sz w:val="32"/>
          <w:szCs w:val="32"/>
        </w:rPr>
        <w:t>用户需求书</w:t>
      </w:r>
      <w:r>
        <w:rPr>
          <w:rFonts w:hint="eastAsia" w:asciiTheme="minorEastAsia" w:hAnsiTheme="minorEastAsia" w:cstheme="minorEastAsia"/>
          <w:b/>
          <w:kern w:val="0"/>
          <w:sz w:val="32"/>
          <w:szCs w:val="32"/>
          <w:lang w:eastAsia="zh-CN"/>
        </w:rPr>
        <w:t>（暂定）</w:t>
      </w:r>
    </w:p>
    <w:p w14:paraId="0725C4EC">
      <w:pPr>
        <w:widowControl/>
        <w:spacing w:line="500" w:lineRule="exact"/>
        <w:jc w:val="left"/>
        <w:rPr>
          <w:rFonts w:asciiTheme="minorEastAsia" w:hAnsiTheme="minorEastAsia" w:cstheme="minorEastAsia"/>
          <w:b/>
          <w:bCs/>
          <w:kern w:val="0"/>
          <w:sz w:val="28"/>
          <w:szCs w:val="28"/>
        </w:rPr>
      </w:pPr>
      <w:r>
        <w:rPr>
          <w:rFonts w:hint="eastAsia" w:asciiTheme="minorEastAsia" w:hAnsiTheme="minorEastAsia" w:cstheme="minorEastAsia"/>
          <w:b/>
          <w:bCs/>
          <w:kern w:val="0"/>
          <w:sz w:val="28"/>
          <w:szCs w:val="28"/>
        </w:rPr>
        <w:t>一、项目概况</w:t>
      </w:r>
    </w:p>
    <w:tbl>
      <w:tblPr>
        <w:tblStyle w:val="10"/>
        <w:tblpPr w:leftFromText="180" w:rightFromText="180" w:vertAnchor="text" w:tblpX="11021" w:tblpY="38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tblGrid>
      <w:tr w14:paraId="20682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076" w:type="dxa"/>
          </w:tcPr>
          <w:p w14:paraId="4AF0D4D5">
            <w:pPr>
              <w:adjustRightInd w:val="0"/>
              <w:snapToGrid w:val="0"/>
              <w:spacing w:line="500" w:lineRule="exact"/>
              <w:rPr>
                <w:rFonts w:hint="eastAsia" w:ascii="宋体" w:hAnsi="宋体" w:cs="宋体"/>
                <w:color w:val="000000"/>
                <w:sz w:val="24"/>
                <w:szCs w:val="24"/>
                <w:vertAlign w:val="baseline"/>
              </w:rPr>
            </w:pPr>
          </w:p>
          <w:p w14:paraId="1957D123">
            <w:pPr>
              <w:adjustRightInd w:val="0"/>
              <w:snapToGrid w:val="0"/>
              <w:spacing w:line="500" w:lineRule="exact"/>
              <w:rPr>
                <w:rFonts w:hint="eastAsia" w:ascii="宋体" w:hAnsi="宋体" w:cs="宋体"/>
                <w:color w:val="000000"/>
                <w:sz w:val="24"/>
                <w:szCs w:val="24"/>
                <w:vertAlign w:val="baseline"/>
              </w:rPr>
            </w:pPr>
          </w:p>
          <w:p w14:paraId="78A732B0">
            <w:pPr>
              <w:adjustRightInd w:val="0"/>
              <w:snapToGrid w:val="0"/>
              <w:spacing w:line="500" w:lineRule="exact"/>
              <w:rPr>
                <w:rFonts w:hint="eastAsia" w:ascii="宋体" w:hAnsi="宋体" w:cs="宋体"/>
                <w:color w:val="000000"/>
                <w:sz w:val="24"/>
                <w:szCs w:val="24"/>
                <w:vertAlign w:val="baseline"/>
              </w:rPr>
            </w:pPr>
          </w:p>
        </w:tc>
      </w:tr>
    </w:tbl>
    <w:p w14:paraId="5A272DC9">
      <w:pPr>
        <w:adjustRightInd w:val="0"/>
        <w:snapToGrid w:val="0"/>
        <w:spacing w:line="500" w:lineRule="exact"/>
        <w:rPr>
          <w:rFonts w:ascii="宋体" w:hAnsi="宋体" w:cs="宋体"/>
          <w:color w:val="000000"/>
          <w:sz w:val="24"/>
          <w:szCs w:val="24"/>
        </w:rPr>
      </w:pPr>
      <w:r>
        <w:rPr>
          <w:rFonts w:hint="eastAsia" w:ascii="宋体" w:hAnsi="宋体" w:cs="宋体"/>
          <w:color w:val="000000"/>
          <w:sz w:val="24"/>
          <w:szCs w:val="24"/>
        </w:rPr>
        <w:t>1、项目名称：</w:t>
      </w:r>
      <w:r>
        <w:rPr>
          <w:rFonts w:hint="eastAsia" w:ascii="宋体" w:hAnsi="宋体" w:cs="宋体"/>
          <w:color w:val="000000"/>
          <w:sz w:val="24"/>
          <w:szCs w:val="24"/>
          <w:lang w:val="en-US" w:eastAsia="zh-CN"/>
        </w:rPr>
        <w:t>2027年度</w:t>
      </w:r>
      <w:r>
        <w:rPr>
          <w:rFonts w:hint="eastAsia" w:ascii="宋体" w:hAnsi="宋体" w:cs="宋体"/>
          <w:color w:val="000000"/>
          <w:sz w:val="24"/>
          <w:szCs w:val="24"/>
        </w:rPr>
        <w:t>中山市</w:t>
      </w:r>
      <w:r>
        <w:rPr>
          <w:rFonts w:hint="eastAsia" w:ascii="宋体" w:hAnsi="宋体" w:cs="宋体"/>
          <w:color w:val="000000"/>
          <w:sz w:val="24"/>
          <w:szCs w:val="24"/>
          <w:lang w:eastAsia="zh-CN"/>
        </w:rPr>
        <w:t>东升医院</w:t>
      </w:r>
      <w:r>
        <w:rPr>
          <w:rFonts w:hint="eastAsia" w:ascii="宋体" w:hAnsi="宋体" w:cs="宋体"/>
          <w:color w:val="000000"/>
          <w:sz w:val="24"/>
          <w:szCs w:val="24"/>
        </w:rPr>
        <w:t>医用气体配送服务项目</w:t>
      </w:r>
    </w:p>
    <w:p w14:paraId="2C94CD42">
      <w:pPr>
        <w:adjustRightInd w:val="0"/>
        <w:snapToGrid w:val="0"/>
        <w:spacing w:line="500" w:lineRule="exact"/>
        <w:rPr>
          <w:rFonts w:ascii="宋体" w:hAnsi="宋体" w:cs="宋体"/>
          <w:color w:val="000000"/>
          <w:sz w:val="24"/>
          <w:szCs w:val="24"/>
        </w:rPr>
      </w:pPr>
      <w:r>
        <w:rPr>
          <w:rFonts w:hint="eastAsia" w:ascii="宋体" w:hAnsi="宋体" w:cs="宋体"/>
          <w:color w:val="000000"/>
          <w:sz w:val="24"/>
          <w:szCs w:val="24"/>
        </w:rPr>
        <w:t>2、项目内容：为满足临床科室对氧气、氮气、二氧化碳等医用气体的使用需求，医院拟委托一家公司，进行医用气体的配送及售后服务。</w:t>
      </w:r>
    </w:p>
    <w:p w14:paraId="0D99E39F">
      <w:pPr>
        <w:adjustRightInd w:val="0"/>
        <w:snapToGrid w:val="0"/>
        <w:spacing w:line="500" w:lineRule="exact"/>
        <w:rPr>
          <w:rFonts w:ascii="宋体" w:hAnsi="宋体" w:cs="宋体"/>
          <w:color w:val="000000"/>
          <w:sz w:val="24"/>
          <w:szCs w:val="24"/>
        </w:rPr>
      </w:pPr>
      <w:r>
        <w:rPr>
          <w:rFonts w:hint="eastAsia" w:ascii="宋体" w:hAnsi="宋体" w:cs="宋体"/>
          <w:color w:val="000000"/>
          <w:sz w:val="24"/>
          <w:szCs w:val="24"/>
        </w:rPr>
        <w:t>3、项目预算金额：元</w:t>
      </w:r>
    </w:p>
    <w:p w14:paraId="690C1421">
      <w:pPr>
        <w:adjustRightInd w:val="0"/>
        <w:snapToGrid w:val="0"/>
        <w:spacing w:line="500" w:lineRule="exact"/>
        <w:rPr>
          <w:rFonts w:ascii="宋体" w:hAnsi="宋体" w:cs="宋体"/>
          <w:color w:val="000000"/>
          <w:sz w:val="24"/>
          <w:szCs w:val="24"/>
        </w:rPr>
      </w:pPr>
      <w:r>
        <w:rPr>
          <w:rFonts w:hint="eastAsia" w:ascii="宋体" w:hAnsi="宋体" w:cs="宋体"/>
          <w:color w:val="000000"/>
          <w:sz w:val="24"/>
          <w:szCs w:val="24"/>
        </w:rPr>
        <w:t>4、供货期限：</w:t>
      </w:r>
      <w:r>
        <w:rPr>
          <w:rFonts w:hint="eastAsia" w:ascii="宋体" w:hAnsi="宋体" w:cs="宋体"/>
          <w:color w:val="000000"/>
          <w:sz w:val="24"/>
          <w:szCs w:val="24"/>
          <w:lang w:eastAsia="zh-CN"/>
        </w:rPr>
        <w:t>一</w:t>
      </w:r>
      <w:r>
        <w:rPr>
          <w:rFonts w:hint="eastAsia" w:ascii="宋体" w:hAnsi="宋体" w:cs="宋体"/>
          <w:color w:val="000000"/>
          <w:sz w:val="24"/>
          <w:szCs w:val="24"/>
        </w:rPr>
        <w:t>年</w:t>
      </w:r>
    </w:p>
    <w:p w14:paraId="1CCF39E0">
      <w:pPr>
        <w:adjustRightInd w:val="0"/>
        <w:snapToGrid w:val="0"/>
        <w:spacing w:line="500" w:lineRule="exact"/>
        <w:rPr>
          <w:rFonts w:asciiTheme="minorEastAsia" w:hAnsiTheme="minorEastAsia" w:cstheme="minorEastAsia"/>
          <w:b/>
          <w:bCs/>
          <w:kern w:val="0"/>
          <w:sz w:val="28"/>
          <w:szCs w:val="28"/>
        </w:rPr>
      </w:pPr>
      <w:r>
        <w:rPr>
          <w:rFonts w:hint="eastAsia" w:ascii="宋体" w:hAnsi="宋体" w:cs="宋体"/>
          <w:color w:val="000000"/>
          <w:sz w:val="24"/>
          <w:szCs w:val="24"/>
        </w:rPr>
        <w:t>5、报价：报价包括但不限于货物配送、运输、</w:t>
      </w:r>
      <w:bookmarkStart w:id="0" w:name="_GoBack"/>
      <w:bookmarkEnd w:id="0"/>
      <w:r>
        <w:rPr>
          <w:rFonts w:hint="eastAsia" w:ascii="宋体" w:hAnsi="宋体" w:cs="宋体"/>
          <w:color w:val="000000"/>
          <w:sz w:val="24"/>
          <w:szCs w:val="24"/>
        </w:rPr>
        <w:t>验收、钢瓶检定</w:t>
      </w:r>
      <w:r>
        <w:rPr>
          <w:rFonts w:hint="eastAsia" w:ascii="宋体" w:hAnsi="宋体" w:cs="宋体"/>
          <w:color w:val="000000"/>
          <w:sz w:val="24"/>
          <w:szCs w:val="24"/>
          <w:lang w:eastAsia="zh-CN"/>
        </w:rPr>
        <w:t>和周转</w:t>
      </w:r>
      <w:r>
        <w:rPr>
          <w:rFonts w:hint="eastAsia" w:ascii="宋体" w:hAnsi="宋体" w:cs="宋体"/>
          <w:color w:val="000000"/>
          <w:sz w:val="24"/>
          <w:szCs w:val="24"/>
        </w:rPr>
        <w:t>等</w:t>
      </w:r>
      <w:r>
        <w:rPr>
          <w:rFonts w:hint="eastAsia" w:ascii="宋体" w:hAnsi="宋体" w:cs="宋体"/>
          <w:color w:val="000000"/>
          <w:sz w:val="24"/>
          <w:szCs w:val="24"/>
          <w:lang w:val="en-US" w:eastAsia="zh-CN"/>
        </w:rPr>
        <w:t>相</w:t>
      </w:r>
      <w:r>
        <w:rPr>
          <w:rFonts w:hint="eastAsia" w:ascii="宋体" w:hAnsi="宋体" w:cs="宋体"/>
          <w:color w:val="000000"/>
          <w:sz w:val="24"/>
          <w:szCs w:val="24"/>
        </w:rPr>
        <w:t>关服务，以及完成本项目所需的其他相关费用。</w:t>
      </w:r>
    </w:p>
    <w:p w14:paraId="4334200A">
      <w:pPr>
        <w:widowControl/>
        <w:spacing w:line="500" w:lineRule="exact"/>
        <w:jc w:val="left"/>
        <w:rPr>
          <w:rFonts w:asciiTheme="minorEastAsia" w:hAnsiTheme="minorEastAsia" w:cstheme="minorEastAsia"/>
          <w:b/>
          <w:bCs/>
          <w:kern w:val="0"/>
          <w:sz w:val="28"/>
          <w:szCs w:val="28"/>
        </w:rPr>
      </w:pPr>
      <w:r>
        <w:rPr>
          <w:rFonts w:hint="eastAsia" w:asciiTheme="minorEastAsia" w:hAnsiTheme="minorEastAsia" w:cstheme="minorEastAsia"/>
          <w:b/>
          <w:bCs/>
          <w:kern w:val="0"/>
          <w:sz w:val="28"/>
          <w:szCs w:val="28"/>
        </w:rPr>
        <w:t>二、项目清单</w:t>
      </w:r>
    </w:p>
    <w:tbl>
      <w:tblPr>
        <w:tblStyle w:val="9"/>
        <w:tblW w:w="10134" w:type="dxa"/>
        <w:jc w:val="center"/>
        <w:tblLayout w:type="autofit"/>
        <w:tblCellMar>
          <w:top w:w="0" w:type="dxa"/>
          <w:left w:w="108" w:type="dxa"/>
          <w:bottom w:w="0" w:type="dxa"/>
          <w:right w:w="108" w:type="dxa"/>
        </w:tblCellMar>
      </w:tblPr>
      <w:tblGrid>
        <w:gridCol w:w="802"/>
        <w:gridCol w:w="1598"/>
        <w:gridCol w:w="695"/>
        <w:gridCol w:w="975"/>
        <w:gridCol w:w="1449"/>
        <w:gridCol w:w="1113"/>
        <w:gridCol w:w="1751"/>
        <w:gridCol w:w="1751"/>
      </w:tblGrid>
      <w:tr w14:paraId="69F1AC7F">
        <w:tblPrEx>
          <w:tblCellMar>
            <w:top w:w="0" w:type="dxa"/>
            <w:left w:w="108" w:type="dxa"/>
            <w:bottom w:w="0" w:type="dxa"/>
            <w:right w:w="108" w:type="dxa"/>
          </w:tblCellMar>
        </w:tblPrEx>
        <w:trPr>
          <w:trHeight w:val="402" w:hRule="atLeast"/>
          <w:jc w:val="center"/>
        </w:trPr>
        <w:tc>
          <w:tcPr>
            <w:tcW w:w="80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491B8FF">
            <w:pPr>
              <w:widowControl/>
              <w:spacing w:line="380" w:lineRule="exact"/>
              <w:jc w:val="center"/>
              <w:rPr>
                <w:rFonts w:ascii="宋体" w:hAnsi="宋体" w:eastAsia="宋体" w:cs="宋体"/>
                <w:color w:val="000000"/>
                <w:kern w:val="0"/>
                <w:szCs w:val="21"/>
              </w:rPr>
            </w:pPr>
            <w:r>
              <w:rPr>
                <w:rFonts w:hint="eastAsia" w:ascii="宋体" w:hAnsi="宋体" w:eastAsia="宋体" w:cs="宋体"/>
                <w:color w:val="000000"/>
                <w:kern w:val="0"/>
                <w:szCs w:val="21"/>
              </w:rPr>
              <w:t>序号</w:t>
            </w:r>
          </w:p>
        </w:tc>
        <w:tc>
          <w:tcPr>
            <w:tcW w:w="1598" w:type="dxa"/>
            <w:tcBorders>
              <w:top w:val="single" w:color="auto" w:sz="4" w:space="0"/>
              <w:left w:val="nil"/>
              <w:bottom w:val="single" w:color="auto" w:sz="4" w:space="0"/>
              <w:right w:val="single" w:color="auto" w:sz="4" w:space="0"/>
            </w:tcBorders>
            <w:shd w:val="clear" w:color="auto" w:fill="auto"/>
            <w:noWrap/>
            <w:vAlign w:val="center"/>
          </w:tcPr>
          <w:p w14:paraId="7149EE83">
            <w:pPr>
              <w:widowControl/>
              <w:spacing w:line="380" w:lineRule="exact"/>
              <w:jc w:val="center"/>
              <w:rPr>
                <w:rFonts w:ascii="宋体" w:hAnsi="宋体" w:eastAsia="宋体" w:cs="宋体"/>
                <w:color w:val="000000"/>
                <w:kern w:val="0"/>
                <w:szCs w:val="21"/>
              </w:rPr>
            </w:pPr>
            <w:r>
              <w:rPr>
                <w:rFonts w:hint="eastAsia" w:ascii="宋体" w:hAnsi="宋体" w:eastAsia="宋体" w:cs="宋体"/>
                <w:color w:val="000000"/>
                <w:kern w:val="0"/>
                <w:szCs w:val="21"/>
              </w:rPr>
              <w:t>货物名称</w:t>
            </w:r>
          </w:p>
        </w:tc>
        <w:tc>
          <w:tcPr>
            <w:tcW w:w="695" w:type="dxa"/>
            <w:tcBorders>
              <w:top w:val="single" w:color="auto" w:sz="4" w:space="0"/>
              <w:left w:val="nil"/>
              <w:bottom w:val="single" w:color="auto" w:sz="4" w:space="0"/>
              <w:right w:val="single" w:color="auto" w:sz="4" w:space="0"/>
            </w:tcBorders>
            <w:shd w:val="clear" w:color="auto" w:fill="auto"/>
            <w:noWrap/>
            <w:vAlign w:val="center"/>
          </w:tcPr>
          <w:p w14:paraId="645EBAC9">
            <w:pPr>
              <w:widowControl/>
              <w:spacing w:line="380" w:lineRule="exact"/>
              <w:jc w:val="center"/>
              <w:rPr>
                <w:rFonts w:ascii="宋体" w:hAnsi="宋体" w:eastAsia="宋体" w:cs="宋体"/>
                <w:color w:val="000000"/>
                <w:kern w:val="0"/>
                <w:szCs w:val="21"/>
              </w:rPr>
            </w:pPr>
            <w:r>
              <w:rPr>
                <w:rFonts w:hint="eastAsia" w:ascii="宋体" w:hAnsi="宋体" w:eastAsia="宋体" w:cs="宋体"/>
                <w:color w:val="000000"/>
                <w:kern w:val="0"/>
                <w:szCs w:val="21"/>
              </w:rPr>
              <w:t>单位</w:t>
            </w:r>
          </w:p>
        </w:tc>
        <w:tc>
          <w:tcPr>
            <w:tcW w:w="975" w:type="dxa"/>
            <w:tcBorders>
              <w:top w:val="single" w:color="auto" w:sz="4" w:space="0"/>
              <w:left w:val="nil"/>
              <w:bottom w:val="single" w:color="auto" w:sz="4" w:space="0"/>
              <w:right w:val="single" w:color="auto" w:sz="4" w:space="0"/>
            </w:tcBorders>
            <w:shd w:val="clear" w:color="auto" w:fill="auto"/>
            <w:noWrap/>
            <w:vAlign w:val="center"/>
          </w:tcPr>
          <w:p w14:paraId="2D23F091">
            <w:pPr>
              <w:widowControl/>
              <w:spacing w:line="380" w:lineRule="exact"/>
              <w:jc w:val="center"/>
              <w:rPr>
                <w:rFonts w:ascii="宋体" w:hAnsi="宋体" w:eastAsia="宋体" w:cs="宋体"/>
                <w:color w:val="000000"/>
                <w:kern w:val="0"/>
                <w:szCs w:val="21"/>
              </w:rPr>
            </w:pPr>
            <w:r>
              <w:rPr>
                <w:rFonts w:hint="eastAsia" w:ascii="宋体" w:hAnsi="宋体" w:eastAsia="宋体" w:cs="宋体"/>
                <w:color w:val="000000"/>
                <w:kern w:val="0"/>
                <w:szCs w:val="21"/>
              </w:rPr>
              <w:t xml:space="preserve">规格 </w:t>
            </w:r>
          </w:p>
        </w:tc>
        <w:tc>
          <w:tcPr>
            <w:tcW w:w="1449" w:type="dxa"/>
            <w:tcBorders>
              <w:top w:val="single" w:color="auto" w:sz="4" w:space="0"/>
              <w:left w:val="nil"/>
              <w:bottom w:val="single" w:color="auto" w:sz="4" w:space="0"/>
              <w:right w:val="nil"/>
            </w:tcBorders>
            <w:vAlign w:val="center"/>
          </w:tcPr>
          <w:p w14:paraId="1D0E3FFB">
            <w:pPr>
              <w:widowControl/>
              <w:spacing w:line="380" w:lineRule="exact"/>
              <w:jc w:val="center"/>
              <w:rPr>
                <w:rFonts w:ascii="宋体" w:hAnsi="宋体" w:eastAsia="宋体" w:cs="宋体"/>
                <w:color w:val="000000"/>
                <w:kern w:val="0"/>
                <w:szCs w:val="21"/>
              </w:rPr>
            </w:pPr>
            <w:r>
              <w:rPr>
                <w:rFonts w:hint="eastAsia" w:ascii="宋体" w:hAnsi="宋体" w:eastAsia="宋体" w:cs="宋体"/>
                <w:color w:val="000000"/>
                <w:kern w:val="0"/>
                <w:szCs w:val="21"/>
              </w:rPr>
              <w:t>纯度（%）</w:t>
            </w:r>
          </w:p>
        </w:tc>
        <w:tc>
          <w:tcPr>
            <w:tcW w:w="111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F5B5E1C">
            <w:pPr>
              <w:widowControl/>
              <w:spacing w:line="380" w:lineRule="exact"/>
              <w:jc w:val="center"/>
              <w:rPr>
                <w:rFonts w:ascii="宋体" w:hAnsi="宋体" w:eastAsia="宋体" w:cs="宋体"/>
                <w:color w:val="000000"/>
                <w:kern w:val="0"/>
                <w:szCs w:val="21"/>
              </w:rPr>
            </w:pPr>
            <w:r>
              <w:rPr>
                <w:rFonts w:hint="eastAsia" w:ascii="宋体" w:hAnsi="宋体" w:eastAsia="宋体" w:cs="宋体"/>
                <w:color w:val="000000"/>
                <w:kern w:val="0"/>
                <w:szCs w:val="21"/>
              </w:rPr>
              <w:t>预估</w:t>
            </w:r>
            <w:r>
              <w:rPr>
                <w:rFonts w:ascii="宋体" w:hAnsi="宋体" w:eastAsia="宋体" w:cs="宋体"/>
                <w:color w:val="000000"/>
                <w:kern w:val="0"/>
                <w:szCs w:val="21"/>
              </w:rPr>
              <w:t>数量</w:t>
            </w:r>
          </w:p>
        </w:tc>
        <w:tc>
          <w:tcPr>
            <w:tcW w:w="1751" w:type="dxa"/>
            <w:tcBorders>
              <w:top w:val="single" w:color="auto" w:sz="4" w:space="0"/>
              <w:left w:val="single" w:color="auto" w:sz="4" w:space="0"/>
              <w:bottom w:val="single" w:color="auto" w:sz="4" w:space="0"/>
              <w:right w:val="single" w:color="auto" w:sz="4" w:space="0"/>
            </w:tcBorders>
            <w:vAlign w:val="center"/>
          </w:tcPr>
          <w:p w14:paraId="00070554">
            <w:pPr>
              <w:widowControl/>
              <w:spacing w:line="380" w:lineRule="exact"/>
              <w:jc w:val="center"/>
              <w:rPr>
                <w:rFonts w:hint="eastAsia" w:ascii="宋体" w:hAnsi="宋体" w:eastAsia="宋体" w:cs="宋体"/>
                <w:kern w:val="0"/>
                <w:szCs w:val="21"/>
                <w:lang w:eastAsia="zh-CN"/>
              </w:rPr>
            </w:pPr>
            <w:r>
              <w:rPr>
                <w:rFonts w:hint="eastAsia" w:ascii="宋体" w:hAnsi="宋体" w:eastAsia="宋体" w:cs="宋体"/>
                <w:kern w:val="0"/>
                <w:szCs w:val="21"/>
                <w:lang w:eastAsia="zh-CN"/>
              </w:rPr>
              <w:t>价格（元</w:t>
            </w:r>
            <w:r>
              <w:rPr>
                <w:rFonts w:hint="eastAsia" w:ascii="宋体" w:hAnsi="宋体" w:eastAsia="宋体" w:cs="宋体"/>
                <w:kern w:val="0"/>
                <w:szCs w:val="21"/>
                <w:lang w:val="en-US" w:eastAsia="zh-CN"/>
              </w:rPr>
              <w:t>/瓶</w:t>
            </w:r>
            <w:r>
              <w:rPr>
                <w:rFonts w:hint="eastAsia" w:ascii="宋体" w:hAnsi="宋体" w:eastAsia="宋体" w:cs="宋体"/>
                <w:kern w:val="0"/>
                <w:szCs w:val="21"/>
                <w:lang w:eastAsia="zh-CN"/>
              </w:rPr>
              <w:t>）</w:t>
            </w:r>
          </w:p>
        </w:tc>
        <w:tc>
          <w:tcPr>
            <w:tcW w:w="1751" w:type="dxa"/>
            <w:tcBorders>
              <w:top w:val="single" w:color="auto" w:sz="4" w:space="0"/>
              <w:left w:val="single" w:color="auto" w:sz="4" w:space="0"/>
              <w:bottom w:val="single" w:color="auto" w:sz="4" w:space="0"/>
              <w:right w:val="single" w:color="auto" w:sz="4" w:space="0"/>
            </w:tcBorders>
            <w:vAlign w:val="center"/>
          </w:tcPr>
          <w:p w14:paraId="5AED0A52">
            <w:pPr>
              <w:widowControl/>
              <w:spacing w:line="380" w:lineRule="exact"/>
              <w:jc w:val="center"/>
              <w:rPr>
                <w:rFonts w:hint="eastAsia" w:ascii="宋体" w:hAnsi="宋体" w:eastAsia="宋体" w:cs="宋体"/>
                <w:kern w:val="0"/>
                <w:szCs w:val="21"/>
              </w:rPr>
            </w:pPr>
            <w:r>
              <w:rPr>
                <w:rFonts w:hint="eastAsia" w:ascii="宋体" w:hAnsi="宋体" w:eastAsia="宋体" w:cs="宋体"/>
                <w:kern w:val="0"/>
                <w:szCs w:val="21"/>
              </w:rPr>
              <w:t>备注</w:t>
            </w:r>
          </w:p>
        </w:tc>
      </w:tr>
      <w:tr w14:paraId="24A5EA1B">
        <w:tblPrEx>
          <w:tblCellMar>
            <w:top w:w="0" w:type="dxa"/>
            <w:left w:w="108" w:type="dxa"/>
            <w:bottom w:w="0" w:type="dxa"/>
            <w:right w:w="108" w:type="dxa"/>
          </w:tblCellMar>
        </w:tblPrEx>
        <w:trPr>
          <w:trHeight w:val="402" w:hRule="atLeast"/>
          <w:jc w:val="center"/>
        </w:trPr>
        <w:tc>
          <w:tcPr>
            <w:tcW w:w="802" w:type="dxa"/>
            <w:tcBorders>
              <w:top w:val="nil"/>
              <w:left w:val="single" w:color="auto" w:sz="4" w:space="0"/>
              <w:bottom w:val="single" w:color="auto" w:sz="4" w:space="0"/>
              <w:right w:val="single" w:color="auto" w:sz="4" w:space="0"/>
            </w:tcBorders>
            <w:shd w:val="clear" w:color="auto" w:fill="auto"/>
            <w:noWrap/>
            <w:vAlign w:val="center"/>
          </w:tcPr>
          <w:p w14:paraId="0998F412">
            <w:pPr>
              <w:widowControl/>
              <w:spacing w:line="380" w:lineRule="exact"/>
              <w:jc w:val="center"/>
              <w:rPr>
                <w:rFonts w:hint="default" w:ascii="宋体" w:hAnsi="宋体" w:eastAsia="宋体" w:cs="宋体"/>
                <w:color w:val="auto"/>
                <w:kern w:val="0"/>
                <w:szCs w:val="21"/>
                <w:lang w:val="en-US" w:eastAsia="zh-CN"/>
              </w:rPr>
            </w:pPr>
            <w:r>
              <w:rPr>
                <w:rFonts w:hint="eastAsia" w:ascii="宋体" w:hAnsi="宋体" w:eastAsia="宋体" w:cs="宋体"/>
                <w:color w:val="auto"/>
                <w:kern w:val="0"/>
                <w:szCs w:val="21"/>
                <w:lang w:val="en-US" w:eastAsia="zh-CN"/>
              </w:rPr>
              <w:t>1</w:t>
            </w:r>
          </w:p>
        </w:tc>
        <w:tc>
          <w:tcPr>
            <w:tcW w:w="1598" w:type="dxa"/>
            <w:tcBorders>
              <w:top w:val="nil"/>
              <w:left w:val="nil"/>
              <w:bottom w:val="single" w:color="auto" w:sz="4" w:space="0"/>
              <w:right w:val="single" w:color="auto" w:sz="4" w:space="0"/>
            </w:tcBorders>
            <w:shd w:val="clear" w:color="auto" w:fill="auto"/>
            <w:noWrap/>
            <w:vAlign w:val="center"/>
          </w:tcPr>
          <w:p w14:paraId="20AE819B">
            <w:pPr>
              <w:widowControl/>
              <w:spacing w:line="380" w:lineRule="exact"/>
              <w:jc w:val="both"/>
              <w:rPr>
                <w:rFonts w:hint="eastAsia" w:ascii="宋体" w:hAnsi="宋体" w:eastAsia="宋体" w:cs="宋体"/>
                <w:color w:val="auto"/>
                <w:kern w:val="0"/>
                <w:szCs w:val="21"/>
              </w:rPr>
            </w:pPr>
            <w:r>
              <w:rPr>
                <w:rFonts w:hint="eastAsia" w:ascii="宋体" w:hAnsi="宋体" w:eastAsia="宋体" w:cs="宋体"/>
                <w:color w:val="auto"/>
                <w:kern w:val="0"/>
                <w:szCs w:val="21"/>
              </w:rPr>
              <w:t>医用氧（气态）</w:t>
            </w:r>
          </w:p>
        </w:tc>
        <w:tc>
          <w:tcPr>
            <w:tcW w:w="695" w:type="dxa"/>
            <w:tcBorders>
              <w:top w:val="nil"/>
              <w:left w:val="nil"/>
              <w:bottom w:val="single" w:color="auto" w:sz="4" w:space="0"/>
              <w:right w:val="single" w:color="auto" w:sz="4" w:space="0"/>
            </w:tcBorders>
            <w:shd w:val="clear" w:color="auto" w:fill="auto"/>
            <w:noWrap/>
            <w:vAlign w:val="center"/>
          </w:tcPr>
          <w:p w14:paraId="38D36DCB">
            <w:pPr>
              <w:widowControl/>
              <w:spacing w:line="380" w:lineRule="exact"/>
              <w:jc w:val="center"/>
              <w:rPr>
                <w:rFonts w:hint="eastAsia" w:ascii="宋体" w:hAnsi="宋体" w:eastAsia="宋体" w:cs="宋体"/>
                <w:color w:val="auto"/>
                <w:kern w:val="0"/>
                <w:szCs w:val="21"/>
                <w:lang w:eastAsia="zh-CN"/>
              </w:rPr>
            </w:pPr>
            <w:r>
              <w:rPr>
                <w:rFonts w:hint="eastAsia" w:ascii="宋体" w:hAnsi="宋体" w:eastAsia="宋体" w:cs="宋体"/>
                <w:color w:val="auto"/>
                <w:kern w:val="0"/>
                <w:szCs w:val="21"/>
                <w:lang w:eastAsia="zh-CN"/>
              </w:rPr>
              <w:t>瓶</w:t>
            </w:r>
          </w:p>
        </w:tc>
        <w:tc>
          <w:tcPr>
            <w:tcW w:w="975" w:type="dxa"/>
            <w:tcBorders>
              <w:top w:val="nil"/>
              <w:left w:val="nil"/>
              <w:bottom w:val="single" w:color="auto" w:sz="4" w:space="0"/>
              <w:right w:val="single" w:color="auto" w:sz="4" w:space="0"/>
            </w:tcBorders>
            <w:shd w:val="clear" w:color="auto" w:fill="auto"/>
            <w:noWrap/>
            <w:vAlign w:val="center"/>
          </w:tcPr>
          <w:p w14:paraId="47C19D9B">
            <w:pPr>
              <w:widowControl/>
              <w:spacing w:line="380" w:lineRule="exact"/>
              <w:jc w:val="center"/>
              <w:rPr>
                <w:rFonts w:hint="default" w:ascii="宋体" w:hAnsi="宋体" w:eastAsia="宋体" w:cs="宋体"/>
                <w:color w:val="auto"/>
                <w:kern w:val="0"/>
                <w:szCs w:val="21"/>
                <w:lang w:val="en-US" w:eastAsia="zh-CN"/>
              </w:rPr>
            </w:pPr>
            <w:r>
              <w:rPr>
                <w:rFonts w:hint="eastAsia" w:ascii="宋体" w:hAnsi="宋体" w:eastAsia="宋体" w:cs="宋体"/>
                <w:color w:val="auto"/>
                <w:kern w:val="0"/>
                <w:szCs w:val="21"/>
                <w:lang w:val="en-US" w:eastAsia="zh-CN"/>
              </w:rPr>
              <w:t>2.4</w:t>
            </w:r>
            <w:r>
              <w:rPr>
                <w:rFonts w:hint="eastAsia" w:ascii="宋体" w:hAnsi="宋体" w:eastAsia="宋体" w:cs="宋体"/>
                <w:color w:val="auto"/>
                <w:kern w:val="0"/>
                <w:szCs w:val="21"/>
              </w:rPr>
              <w:t>升</w:t>
            </w:r>
          </w:p>
        </w:tc>
        <w:tc>
          <w:tcPr>
            <w:tcW w:w="1449" w:type="dxa"/>
            <w:tcBorders>
              <w:top w:val="single" w:color="auto" w:sz="4" w:space="0"/>
              <w:left w:val="nil"/>
              <w:bottom w:val="single" w:color="auto" w:sz="4" w:space="0"/>
              <w:right w:val="nil"/>
            </w:tcBorders>
            <w:vAlign w:val="center"/>
          </w:tcPr>
          <w:p w14:paraId="187ACC3A">
            <w:pPr>
              <w:widowControl/>
              <w:spacing w:line="380" w:lineRule="exact"/>
              <w:jc w:val="center"/>
              <w:rPr>
                <w:rFonts w:hint="eastAsia" w:ascii="宋体" w:hAnsi="宋体" w:eastAsia="宋体" w:cs="宋体"/>
                <w:color w:val="auto"/>
                <w:kern w:val="0"/>
                <w:szCs w:val="21"/>
              </w:rPr>
            </w:pPr>
            <w:r>
              <w:rPr>
                <w:rFonts w:hint="eastAsia" w:ascii="宋体" w:hAnsi="宋体" w:eastAsia="宋体" w:cs="宋体"/>
                <w:color w:val="auto"/>
                <w:kern w:val="0"/>
                <w:szCs w:val="21"/>
              </w:rPr>
              <w:t>≥99.5</w:t>
            </w:r>
          </w:p>
        </w:tc>
        <w:tc>
          <w:tcPr>
            <w:tcW w:w="1113" w:type="dxa"/>
            <w:tcBorders>
              <w:top w:val="nil"/>
              <w:left w:val="single" w:color="auto" w:sz="4" w:space="0"/>
              <w:bottom w:val="single" w:color="auto" w:sz="4" w:space="0"/>
              <w:right w:val="single" w:color="auto" w:sz="4" w:space="0"/>
            </w:tcBorders>
            <w:shd w:val="clear" w:color="auto" w:fill="auto"/>
            <w:noWrap/>
            <w:vAlign w:val="center"/>
          </w:tcPr>
          <w:p w14:paraId="6B207536">
            <w:pPr>
              <w:keepNext w:val="0"/>
              <w:keepLines w:val="0"/>
              <w:widowControl/>
              <w:suppressLineNumbers w:val="0"/>
              <w:jc w:val="center"/>
              <w:textAlignment w:val="center"/>
              <w:rPr>
                <w:rFonts w:hint="default" w:ascii="宋体" w:hAnsi="宋体" w:eastAsia="宋体" w:cs="宋体"/>
                <w:color w:val="auto"/>
                <w:sz w:val="21"/>
                <w:szCs w:val="21"/>
                <w:lang w:val="en-US" w:eastAsia="zh-CN"/>
              </w:rPr>
            </w:pPr>
            <w:r>
              <w:rPr>
                <w:rFonts w:hint="eastAsia" w:ascii="宋体" w:hAnsi="宋体" w:eastAsia="宋体" w:cs="宋体"/>
                <w:i w:val="0"/>
                <w:iCs w:val="0"/>
                <w:color w:val="000000"/>
                <w:kern w:val="0"/>
                <w:sz w:val="21"/>
                <w:szCs w:val="21"/>
                <w:u w:val="none"/>
                <w:lang w:val="en-US" w:eastAsia="zh-CN" w:bidi="ar"/>
              </w:rPr>
              <w:t>0</w:t>
            </w:r>
          </w:p>
        </w:tc>
        <w:tc>
          <w:tcPr>
            <w:tcW w:w="1751" w:type="dxa"/>
            <w:tcBorders>
              <w:top w:val="nil"/>
              <w:left w:val="single" w:color="auto" w:sz="4" w:space="0"/>
              <w:bottom w:val="single" w:color="auto" w:sz="4" w:space="0"/>
              <w:right w:val="single" w:color="auto" w:sz="4" w:space="0"/>
            </w:tcBorders>
            <w:vAlign w:val="center"/>
          </w:tcPr>
          <w:p w14:paraId="0F8DACC3">
            <w:pPr>
              <w:widowControl/>
              <w:spacing w:line="380" w:lineRule="exact"/>
              <w:jc w:val="center"/>
              <w:rPr>
                <w:rFonts w:hint="default" w:ascii="宋体" w:hAnsi="宋体" w:eastAsia="宋体" w:cs="宋体"/>
                <w:color w:val="auto"/>
                <w:kern w:val="0"/>
                <w:szCs w:val="21"/>
                <w:lang w:val="en-US" w:eastAsia="zh-CN"/>
              </w:rPr>
            </w:pPr>
          </w:p>
        </w:tc>
        <w:tc>
          <w:tcPr>
            <w:tcW w:w="1751" w:type="dxa"/>
            <w:tcBorders>
              <w:top w:val="nil"/>
              <w:left w:val="single" w:color="auto" w:sz="4" w:space="0"/>
              <w:bottom w:val="single" w:color="auto" w:sz="4" w:space="0"/>
              <w:right w:val="single" w:color="auto" w:sz="4" w:space="0"/>
            </w:tcBorders>
            <w:vAlign w:val="center"/>
          </w:tcPr>
          <w:p w14:paraId="44415B78">
            <w:pPr>
              <w:widowControl/>
              <w:spacing w:line="380" w:lineRule="exact"/>
              <w:jc w:val="center"/>
              <w:rPr>
                <w:rFonts w:hint="eastAsia" w:ascii="宋体" w:hAnsi="宋体" w:eastAsia="宋体" w:cs="宋体"/>
                <w:color w:val="auto"/>
                <w:kern w:val="0"/>
                <w:szCs w:val="21"/>
              </w:rPr>
            </w:pPr>
            <w:r>
              <w:rPr>
                <w:rFonts w:hint="eastAsia" w:ascii="宋体" w:hAnsi="宋体" w:eastAsia="宋体" w:cs="宋体"/>
                <w:color w:val="auto"/>
                <w:kern w:val="0"/>
                <w:szCs w:val="21"/>
              </w:rPr>
              <w:t>药品级</w:t>
            </w:r>
          </w:p>
        </w:tc>
      </w:tr>
      <w:tr w14:paraId="4A0EED51">
        <w:tblPrEx>
          <w:tblCellMar>
            <w:top w:w="0" w:type="dxa"/>
            <w:left w:w="108" w:type="dxa"/>
            <w:bottom w:w="0" w:type="dxa"/>
            <w:right w:w="108" w:type="dxa"/>
          </w:tblCellMar>
        </w:tblPrEx>
        <w:trPr>
          <w:trHeight w:val="402" w:hRule="atLeast"/>
          <w:jc w:val="center"/>
        </w:trPr>
        <w:tc>
          <w:tcPr>
            <w:tcW w:w="802" w:type="dxa"/>
            <w:tcBorders>
              <w:top w:val="nil"/>
              <w:left w:val="single" w:color="auto" w:sz="4" w:space="0"/>
              <w:bottom w:val="single" w:color="auto" w:sz="4" w:space="0"/>
              <w:right w:val="single" w:color="auto" w:sz="4" w:space="0"/>
            </w:tcBorders>
            <w:shd w:val="clear" w:color="auto" w:fill="auto"/>
            <w:noWrap/>
            <w:vAlign w:val="center"/>
          </w:tcPr>
          <w:p w14:paraId="4F242615">
            <w:pPr>
              <w:widowControl/>
              <w:spacing w:line="380" w:lineRule="exact"/>
              <w:jc w:val="center"/>
              <w:rPr>
                <w:rFonts w:hint="default" w:ascii="宋体" w:hAnsi="宋体" w:eastAsia="宋体" w:cs="宋体"/>
                <w:color w:val="auto"/>
                <w:kern w:val="0"/>
                <w:szCs w:val="21"/>
                <w:lang w:val="en-US" w:eastAsia="zh-CN"/>
              </w:rPr>
            </w:pPr>
            <w:r>
              <w:rPr>
                <w:rFonts w:hint="eastAsia" w:ascii="宋体" w:hAnsi="宋体" w:eastAsia="宋体" w:cs="宋体"/>
                <w:color w:val="auto"/>
                <w:kern w:val="0"/>
                <w:szCs w:val="21"/>
                <w:lang w:val="en-US" w:eastAsia="zh-CN"/>
              </w:rPr>
              <w:t>2</w:t>
            </w:r>
          </w:p>
        </w:tc>
        <w:tc>
          <w:tcPr>
            <w:tcW w:w="1598" w:type="dxa"/>
            <w:tcBorders>
              <w:top w:val="nil"/>
              <w:left w:val="nil"/>
              <w:bottom w:val="single" w:color="auto" w:sz="4" w:space="0"/>
              <w:right w:val="single" w:color="auto" w:sz="4" w:space="0"/>
            </w:tcBorders>
            <w:shd w:val="clear" w:color="auto" w:fill="auto"/>
            <w:noWrap/>
            <w:vAlign w:val="center"/>
          </w:tcPr>
          <w:p w14:paraId="18AE5ABC">
            <w:pPr>
              <w:widowControl/>
              <w:spacing w:line="380" w:lineRule="exact"/>
              <w:jc w:val="center"/>
              <w:rPr>
                <w:rFonts w:hint="eastAsia" w:ascii="宋体" w:hAnsi="宋体" w:eastAsia="宋体" w:cs="宋体"/>
                <w:color w:val="auto"/>
                <w:kern w:val="0"/>
                <w:szCs w:val="21"/>
              </w:rPr>
            </w:pPr>
            <w:r>
              <w:rPr>
                <w:rFonts w:hint="eastAsia" w:ascii="宋体" w:hAnsi="宋体" w:eastAsia="宋体" w:cs="宋体"/>
                <w:color w:val="auto"/>
                <w:kern w:val="0"/>
                <w:szCs w:val="21"/>
              </w:rPr>
              <w:t>医用氧（气态）</w:t>
            </w:r>
          </w:p>
        </w:tc>
        <w:tc>
          <w:tcPr>
            <w:tcW w:w="695" w:type="dxa"/>
            <w:tcBorders>
              <w:top w:val="nil"/>
              <w:left w:val="nil"/>
              <w:bottom w:val="single" w:color="auto" w:sz="4" w:space="0"/>
              <w:right w:val="single" w:color="auto" w:sz="4" w:space="0"/>
            </w:tcBorders>
            <w:shd w:val="clear" w:color="auto" w:fill="auto"/>
            <w:noWrap/>
            <w:vAlign w:val="center"/>
          </w:tcPr>
          <w:p w14:paraId="2110AAAC">
            <w:pPr>
              <w:widowControl/>
              <w:spacing w:line="380" w:lineRule="exact"/>
              <w:jc w:val="center"/>
              <w:rPr>
                <w:rFonts w:hint="eastAsia" w:ascii="宋体" w:hAnsi="宋体" w:eastAsia="宋体" w:cs="宋体"/>
                <w:color w:val="auto"/>
                <w:kern w:val="0"/>
                <w:szCs w:val="21"/>
                <w:lang w:eastAsia="zh-CN"/>
              </w:rPr>
            </w:pPr>
            <w:r>
              <w:rPr>
                <w:rFonts w:hint="eastAsia" w:ascii="宋体" w:hAnsi="宋体" w:eastAsia="宋体" w:cs="宋体"/>
                <w:color w:val="auto"/>
                <w:kern w:val="0"/>
                <w:szCs w:val="21"/>
                <w:lang w:eastAsia="zh-CN"/>
              </w:rPr>
              <w:t>瓶</w:t>
            </w:r>
          </w:p>
        </w:tc>
        <w:tc>
          <w:tcPr>
            <w:tcW w:w="975" w:type="dxa"/>
            <w:tcBorders>
              <w:top w:val="nil"/>
              <w:left w:val="nil"/>
              <w:bottom w:val="single" w:color="auto" w:sz="4" w:space="0"/>
              <w:right w:val="single" w:color="auto" w:sz="4" w:space="0"/>
            </w:tcBorders>
            <w:shd w:val="clear" w:color="auto" w:fill="auto"/>
            <w:noWrap/>
            <w:vAlign w:val="center"/>
          </w:tcPr>
          <w:p w14:paraId="767C8D6C">
            <w:pPr>
              <w:widowControl/>
              <w:spacing w:line="380" w:lineRule="exact"/>
              <w:jc w:val="center"/>
              <w:rPr>
                <w:rFonts w:hint="default" w:ascii="宋体" w:hAnsi="宋体" w:eastAsia="宋体" w:cs="宋体"/>
                <w:color w:val="auto"/>
                <w:kern w:val="0"/>
                <w:szCs w:val="21"/>
                <w:lang w:val="en-US" w:eastAsia="zh-CN"/>
              </w:rPr>
            </w:pPr>
            <w:r>
              <w:rPr>
                <w:rFonts w:hint="eastAsia" w:ascii="宋体" w:hAnsi="宋体" w:eastAsia="宋体" w:cs="宋体"/>
                <w:color w:val="auto"/>
                <w:kern w:val="0"/>
                <w:szCs w:val="21"/>
                <w:lang w:val="en-US" w:eastAsia="zh-CN"/>
              </w:rPr>
              <w:t>6</w:t>
            </w:r>
            <w:r>
              <w:rPr>
                <w:rFonts w:hint="eastAsia" w:ascii="宋体" w:hAnsi="宋体" w:eastAsia="宋体" w:cs="宋体"/>
                <w:color w:val="auto"/>
                <w:kern w:val="0"/>
                <w:szCs w:val="21"/>
              </w:rPr>
              <w:t>升</w:t>
            </w:r>
          </w:p>
        </w:tc>
        <w:tc>
          <w:tcPr>
            <w:tcW w:w="1449" w:type="dxa"/>
            <w:tcBorders>
              <w:top w:val="single" w:color="auto" w:sz="4" w:space="0"/>
              <w:left w:val="nil"/>
              <w:bottom w:val="single" w:color="auto" w:sz="4" w:space="0"/>
              <w:right w:val="nil"/>
            </w:tcBorders>
            <w:vAlign w:val="center"/>
          </w:tcPr>
          <w:p w14:paraId="39FEBF1C">
            <w:pPr>
              <w:widowControl/>
              <w:spacing w:line="380" w:lineRule="exact"/>
              <w:jc w:val="center"/>
              <w:rPr>
                <w:rFonts w:hint="eastAsia" w:ascii="宋体" w:hAnsi="宋体" w:eastAsia="宋体" w:cs="宋体"/>
                <w:color w:val="auto"/>
                <w:kern w:val="0"/>
                <w:szCs w:val="21"/>
              </w:rPr>
            </w:pPr>
            <w:r>
              <w:rPr>
                <w:rFonts w:hint="eastAsia" w:ascii="宋体" w:hAnsi="宋体" w:eastAsia="宋体" w:cs="宋体"/>
                <w:color w:val="auto"/>
                <w:kern w:val="0"/>
                <w:szCs w:val="21"/>
              </w:rPr>
              <w:t>≥99.5</w:t>
            </w:r>
          </w:p>
        </w:tc>
        <w:tc>
          <w:tcPr>
            <w:tcW w:w="1113" w:type="dxa"/>
            <w:tcBorders>
              <w:top w:val="nil"/>
              <w:left w:val="single" w:color="auto" w:sz="4" w:space="0"/>
              <w:bottom w:val="single" w:color="auto" w:sz="4" w:space="0"/>
              <w:right w:val="single" w:color="auto" w:sz="4" w:space="0"/>
            </w:tcBorders>
            <w:shd w:val="clear" w:color="auto" w:fill="auto"/>
            <w:noWrap/>
            <w:vAlign w:val="center"/>
          </w:tcPr>
          <w:p w14:paraId="3CEFA796">
            <w:pPr>
              <w:keepNext w:val="0"/>
              <w:keepLines w:val="0"/>
              <w:widowControl/>
              <w:suppressLineNumbers w:val="0"/>
              <w:jc w:val="center"/>
              <w:textAlignment w:val="center"/>
              <w:rPr>
                <w:rFonts w:hint="default" w:ascii="宋体" w:hAnsi="宋体" w:eastAsia="宋体" w:cs="宋体"/>
                <w:color w:val="auto"/>
                <w:sz w:val="21"/>
                <w:szCs w:val="21"/>
                <w:lang w:val="en-US" w:eastAsia="zh-CN"/>
              </w:rPr>
            </w:pPr>
            <w:r>
              <w:rPr>
                <w:rFonts w:hint="eastAsia" w:ascii="宋体" w:hAnsi="宋体" w:eastAsia="宋体" w:cs="宋体"/>
                <w:i w:val="0"/>
                <w:iCs w:val="0"/>
                <w:color w:val="000000"/>
                <w:kern w:val="0"/>
                <w:sz w:val="21"/>
                <w:szCs w:val="21"/>
                <w:u w:val="none"/>
                <w:lang w:val="en-US" w:eastAsia="zh-CN" w:bidi="ar"/>
              </w:rPr>
              <w:t>144</w:t>
            </w:r>
          </w:p>
        </w:tc>
        <w:tc>
          <w:tcPr>
            <w:tcW w:w="1751" w:type="dxa"/>
            <w:tcBorders>
              <w:top w:val="nil"/>
              <w:left w:val="single" w:color="auto" w:sz="4" w:space="0"/>
              <w:bottom w:val="single" w:color="auto" w:sz="4" w:space="0"/>
              <w:right w:val="single" w:color="auto" w:sz="4" w:space="0"/>
            </w:tcBorders>
            <w:vAlign w:val="center"/>
          </w:tcPr>
          <w:p w14:paraId="063E0E9D">
            <w:pPr>
              <w:widowControl/>
              <w:spacing w:line="380" w:lineRule="exact"/>
              <w:jc w:val="center"/>
              <w:rPr>
                <w:rFonts w:hint="default" w:ascii="宋体" w:hAnsi="宋体" w:eastAsia="宋体" w:cs="宋体"/>
                <w:color w:val="auto"/>
                <w:kern w:val="0"/>
                <w:szCs w:val="21"/>
                <w:lang w:val="en-US" w:eastAsia="zh-CN"/>
              </w:rPr>
            </w:pPr>
          </w:p>
        </w:tc>
        <w:tc>
          <w:tcPr>
            <w:tcW w:w="1751" w:type="dxa"/>
            <w:tcBorders>
              <w:top w:val="nil"/>
              <w:left w:val="single" w:color="auto" w:sz="4" w:space="0"/>
              <w:bottom w:val="single" w:color="auto" w:sz="4" w:space="0"/>
              <w:right w:val="single" w:color="auto" w:sz="4" w:space="0"/>
            </w:tcBorders>
            <w:vAlign w:val="center"/>
          </w:tcPr>
          <w:p w14:paraId="57FFCCB7">
            <w:pPr>
              <w:widowControl/>
              <w:spacing w:line="380" w:lineRule="exact"/>
              <w:jc w:val="center"/>
              <w:rPr>
                <w:rFonts w:hint="eastAsia" w:ascii="宋体" w:hAnsi="宋体" w:eastAsia="宋体" w:cs="宋体"/>
                <w:color w:val="auto"/>
                <w:kern w:val="0"/>
                <w:szCs w:val="21"/>
              </w:rPr>
            </w:pPr>
            <w:r>
              <w:rPr>
                <w:rFonts w:hint="eastAsia" w:ascii="宋体" w:hAnsi="宋体" w:eastAsia="宋体" w:cs="宋体"/>
                <w:color w:val="auto"/>
                <w:kern w:val="0"/>
                <w:szCs w:val="21"/>
              </w:rPr>
              <w:t>药品级</w:t>
            </w:r>
          </w:p>
        </w:tc>
      </w:tr>
      <w:tr w14:paraId="379C1748">
        <w:tblPrEx>
          <w:tblCellMar>
            <w:top w:w="0" w:type="dxa"/>
            <w:left w:w="108" w:type="dxa"/>
            <w:bottom w:w="0" w:type="dxa"/>
            <w:right w:w="108" w:type="dxa"/>
          </w:tblCellMar>
        </w:tblPrEx>
        <w:trPr>
          <w:trHeight w:val="402" w:hRule="atLeast"/>
          <w:jc w:val="center"/>
        </w:trPr>
        <w:tc>
          <w:tcPr>
            <w:tcW w:w="802" w:type="dxa"/>
            <w:tcBorders>
              <w:top w:val="nil"/>
              <w:left w:val="single" w:color="auto" w:sz="4" w:space="0"/>
              <w:bottom w:val="single" w:color="auto" w:sz="4" w:space="0"/>
              <w:right w:val="single" w:color="auto" w:sz="4" w:space="0"/>
            </w:tcBorders>
            <w:shd w:val="clear" w:color="auto" w:fill="auto"/>
            <w:noWrap/>
            <w:vAlign w:val="center"/>
          </w:tcPr>
          <w:p w14:paraId="5B814627">
            <w:pPr>
              <w:widowControl/>
              <w:spacing w:line="380" w:lineRule="exact"/>
              <w:jc w:val="center"/>
              <w:rPr>
                <w:rFonts w:hint="default" w:ascii="宋体" w:hAnsi="宋体" w:eastAsia="宋体" w:cs="宋体"/>
                <w:color w:val="auto"/>
                <w:kern w:val="0"/>
                <w:szCs w:val="21"/>
                <w:lang w:val="en-US" w:eastAsia="zh-CN"/>
              </w:rPr>
            </w:pPr>
            <w:r>
              <w:rPr>
                <w:rFonts w:hint="eastAsia" w:ascii="宋体" w:hAnsi="宋体" w:eastAsia="宋体" w:cs="宋体"/>
                <w:color w:val="auto"/>
                <w:kern w:val="0"/>
                <w:szCs w:val="21"/>
                <w:lang w:val="en-US" w:eastAsia="zh-CN"/>
              </w:rPr>
              <w:t>3</w:t>
            </w:r>
          </w:p>
        </w:tc>
        <w:tc>
          <w:tcPr>
            <w:tcW w:w="1598" w:type="dxa"/>
            <w:tcBorders>
              <w:top w:val="nil"/>
              <w:left w:val="nil"/>
              <w:bottom w:val="single" w:color="auto" w:sz="4" w:space="0"/>
              <w:right w:val="single" w:color="auto" w:sz="4" w:space="0"/>
            </w:tcBorders>
            <w:shd w:val="clear" w:color="auto" w:fill="auto"/>
            <w:noWrap/>
            <w:vAlign w:val="center"/>
          </w:tcPr>
          <w:p w14:paraId="0D513185">
            <w:pPr>
              <w:widowControl/>
              <w:spacing w:line="380" w:lineRule="exact"/>
              <w:jc w:val="center"/>
              <w:rPr>
                <w:rFonts w:hint="eastAsia" w:ascii="宋体" w:hAnsi="宋体" w:eastAsia="宋体" w:cs="宋体"/>
                <w:color w:val="auto"/>
                <w:kern w:val="0"/>
                <w:szCs w:val="21"/>
              </w:rPr>
            </w:pPr>
            <w:r>
              <w:rPr>
                <w:rFonts w:hint="eastAsia" w:ascii="宋体" w:hAnsi="宋体" w:eastAsia="宋体" w:cs="宋体"/>
                <w:color w:val="auto"/>
                <w:kern w:val="0"/>
                <w:szCs w:val="21"/>
              </w:rPr>
              <w:t>医用氧（气态）</w:t>
            </w:r>
          </w:p>
        </w:tc>
        <w:tc>
          <w:tcPr>
            <w:tcW w:w="695" w:type="dxa"/>
            <w:tcBorders>
              <w:top w:val="nil"/>
              <w:left w:val="nil"/>
              <w:bottom w:val="single" w:color="auto" w:sz="4" w:space="0"/>
              <w:right w:val="single" w:color="auto" w:sz="4" w:space="0"/>
            </w:tcBorders>
            <w:shd w:val="clear" w:color="auto" w:fill="auto"/>
            <w:noWrap/>
            <w:vAlign w:val="center"/>
          </w:tcPr>
          <w:p w14:paraId="792B76E6">
            <w:pPr>
              <w:widowControl/>
              <w:spacing w:line="380" w:lineRule="exact"/>
              <w:jc w:val="center"/>
              <w:rPr>
                <w:rFonts w:hint="eastAsia" w:ascii="宋体" w:hAnsi="宋体" w:eastAsia="宋体" w:cs="宋体"/>
                <w:color w:val="auto"/>
                <w:kern w:val="0"/>
                <w:szCs w:val="21"/>
                <w:lang w:eastAsia="zh-CN"/>
              </w:rPr>
            </w:pPr>
            <w:r>
              <w:rPr>
                <w:rFonts w:hint="eastAsia" w:ascii="宋体" w:hAnsi="宋体" w:eastAsia="宋体" w:cs="宋体"/>
                <w:color w:val="auto"/>
                <w:kern w:val="0"/>
                <w:szCs w:val="21"/>
                <w:lang w:eastAsia="zh-CN"/>
              </w:rPr>
              <w:t>瓶</w:t>
            </w:r>
          </w:p>
        </w:tc>
        <w:tc>
          <w:tcPr>
            <w:tcW w:w="975" w:type="dxa"/>
            <w:tcBorders>
              <w:top w:val="nil"/>
              <w:left w:val="nil"/>
              <w:bottom w:val="single" w:color="auto" w:sz="4" w:space="0"/>
              <w:right w:val="single" w:color="auto" w:sz="4" w:space="0"/>
            </w:tcBorders>
            <w:shd w:val="clear" w:color="auto" w:fill="auto"/>
            <w:noWrap/>
            <w:vAlign w:val="center"/>
          </w:tcPr>
          <w:p w14:paraId="6690F977">
            <w:pPr>
              <w:widowControl/>
              <w:spacing w:line="380" w:lineRule="exact"/>
              <w:jc w:val="center"/>
              <w:rPr>
                <w:rFonts w:hint="default" w:ascii="宋体" w:hAnsi="宋体" w:eastAsia="宋体" w:cs="宋体"/>
                <w:color w:val="auto"/>
                <w:kern w:val="0"/>
                <w:szCs w:val="21"/>
                <w:lang w:val="en-US" w:eastAsia="zh-CN"/>
              </w:rPr>
            </w:pPr>
            <w:r>
              <w:rPr>
                <w:rFonts w:hint="eastAsia" w:ascii="宋体" w:hAnsi="宋体" w:eastAsia="宋体" w:cs="宋体"/>
                <w:color w:val="auto"/>
                <w:kern w:val="0"/>
                <w:szCs w:val="21"/>
                <w:lang w:val="en-US" w:eastAsia="zh-CN"/>
              </w:rPr>
              <w:t>10</w:t>
            </w:r>
            <w:r>
              <w:rPr>
                <w:rFonts w:hint="eastAsia" w:ascii="宋体" w:hAnsi="宋体" w:eastAsia="宋体" w:cs="宋体"/>
                <w:color w:val="auto"/>
                <w:kern w:val="0"/>
                <w:szCs w:val="21"/>
              </w:rPr>
              <w:t>升</w:t>
            </w:r>
          </w:p>
        </w:tc>
        <w:tc>
          <w:tcPr>
            <w:tcW w:w="1449" w:type="dxa"/>
            <w:tcBorders>
              <w:top w:val="single" w:color="auto" w:sz="4" w:space="0"/>
              <w:left w:val="nil"/>
              <w:bottom w:val="single" w:color="auto" w:sz="4" w:space="0"/>
              <w:right w:val="nil"/>
            </w:tcBorders>
            <w:vAlign w:val="center"/>
          </w:tcPr>
          <w:p w14:paraId="6A36DA1C">
            <w:pPr>
              <w:widowControl/>
              <w:spacing w:line="380" w:lineRule="exact"/>
              <w:jc w:val="center"/>
              <w:rPr>
                <w:rFonts w:hint="eastAsia" w:ascii="宋体" w:hAnsi="宋体" w:eastAsia="宋体" w:cs="宋体"/>
                <w:color w:val="auto"/>
                <w:kern w:val="0"/>
                <w:szCs w:val="21"/>
              </w:rPr>
            </w:pPr>
            <w:r>
              <w:rPr>
                <w:rFonts w:hint="eastAsia" w:ascii="宋体" w:hAnsi="宋体" w:eastAsia="宋体" w:cs="宋体"/>
                <w:color w:val="auto"/>
                <w:kern w:val="0"/>
                <w:szCs w:val="21"/>
              </w:rPr>
              <w:t>≥99.5</w:t>
            </w:r>
          </w:p>
        </w:tc>
        <w:tc>
          <w:tcPr>
            <w:tcW w:w="1113" w:type="dxa"/>
            <w:tcBorders>
              <w:top w:val="nil"/>
              <w:left w:val="single" w:color="auto" w:sz="4" w:space="0"/>
              <w:bottom w:val="single" w:color="auto" w:sz="4" w:space="0"/>
              <w:right w:val="single" w:color="auto" w:sz="4" w:space="0"/>
            </w:tcBorders>
            <w:shd w:val="clear" w:color="auto" w:fill="auto"/>
            <w:noWrap/>
            <w:vAlign w:val="center"/>
          </w:tcPr>
          <w:p w14:paraId="3E07C22E">
            <w:pPr>
              <w:keepNext w:val="0"/>
              <w:keepLines w:val="0"/>
              <w:widowControl/>
              <w:suppressLineNumbers w:val="0"/>
              <w:jc w:val="center"/>
              <w:textAlignment w:val="center"/>
              <w:rPr>
                <w:rFonts w:hint="default" w:ascii="宋体" w:hAnsi="宋体" w:eastAsia="宋体" w:cs="宋体"/>
                <w:color w:val="auto"/>
                <w:sz w:val="21"/>
                <w:szCs w:val="21"/>
                <w:lang w:val="en-US" w:eastAsia="zh-CN"/>
              </w:rPr>
            </w:pPr>
            <w:r>
              <w:rPr>
                <w:rFonts w:hint="eastAsia" w:ascii="宋体" w:hAnsi="宋体" w:eastAsia="宋体" w:cs="宋体"/>
                <w:i w:val="0"/>
                <w:iCs w:val="0"/>
                <w:color w:val="000000"/>
                <w:kern w:val="0"/>
                <w:sz w:val="21"/>
                <w:szCs w:val="21"/>
                <w:u w:val="none"/>
                <w:lang w:val="en-US" w:eastAsia="zh-CN" w:bidi="ar"/>
              </w:rPr>
              <w:t>72</w:t>
            </w:r>
          </w:p>
        </w:tc>
        <w:tc>
          <w:tcPr>
            <w:tcW w:w="1751" w:type="dxa"/>
            <w:tcBorders>
              <w:top w:val="nil"/>
              <w:left w:val="single" w:color="auto" w:sz="4" w:space="0"/>
              <w:bottom w:val="single" w:color="auto" w:sz="4" w:space="0"/>
              <w:right w:val="single" w:color="auto" w:sz="4" w:space="0"/>
            </w:tcBorders>
            <w:vAlign w:val="center"/>
          </w:tcPr>
          <w:p w14:paraId="05C9F895">
            <w:pPr>
              <w:widowControl/>
              <w:spacing w:line="380" w:lineRule="exact"/>
              <w:jc w:val="center"/>
              <w:rPr>
                <w:rFonts w:hint="default" w:ascii="宋体" w:hAnsi="宋体" w:eastAsia="宋体" w:cs="宋体"/>
                <w:color w:val="auto"/>
                <w:kern w:val="0"/>
                <w:szCs w:val="21"/>
                <w:lang w:val="en-US" w:eastAsia="zh-CN"/>
              </w:rPr>
            </w:pPr>
          </w:p>
        </w:tc>
        <w:tc>
          <w:tcPr>
            <w:tcW w:w="1751" w:type="dxa"/>
            <w:tcBorders>
              <w:top w:val="nil"/>
              <w:left w:val="single" w:color="auto" w:sz="4" w:space="0"/>
              <w:bottom w:val="single" w:color="auto" w:sz="4" w:space="0"/>
              <w:right w:val="single" w:color="auto" w:sz="4" w:space="0"/>
            </w:tcBorders>
            <w:vAlign w:val="center"/>
          </w:tcPr>
          <w:p w14:paraId="3AEE8BD6">
            <w:pPr>
              <w:widowControl/>
              <w:spacing w:line="380" w:lineRule="exact"/>
              <w:jc w:val="center"/>
              <w:rPr>
                <w:rFonts w:hint="eastAsia" w:ascii="宋体" w:hAnsi="宋体" w:eastAsia="宋体" w:cs="宋体"/>
                <w:color w:val="auto"/>
                <w:kern w:val="0"/>
                <w:szCs w:val="21"/>
              </w:rPr>
            </w:pPr>
            <w:r>
              <w:rPr>
                <w:rFonts w:hint="eastAsia" w:ascii="宋体" w:hAnsi="宋体" w:eastAsia="宋体" w:cs="宋体"/>
                <w:color w:val="auto"/>
                <w:kern w:val="0"/>
                <w:szCs w:val="21"/>
              </w:rPr>
              <w:t>药品级</w:t>
            </w:r>
          </w:p>
        </w:tc>
      </w:tr>
      <w:tr w14:paraId="33FB5DFE">
        <w:tblPrEx>
          <w:tblCellMar>
            <w:top w:w="0" w:type="dxa"/>
            <w:left w:w="108" w:type="dxa"/>
            <w:bottom w:w="0" w:type="dxa"/>
            <w:right w:w="108" w:type="dxa"/>
          </w:tblCellMar>
        </w:tblPrEx>
        <w:trPr>
          <w:trHeight w:val="402" w:hRule="atLeast"/>
          <w:jc w:val="center"/>
        </w:trPr>
        <w:tc>
          <w:tcPr>
            <w:tcW w:w="802" w:type="dxa"/>
            <w:tcBorders>
              <w:top w:val="nil"/>
              <w:left w:val="single" w:color="auto" w:sz="4" w:space="0"/>
              <w:bottom w:val="single" w:color="auto" w:sz="4" w:space="0"/>
              <w:right w:val="single" w:color="auto" w:sz="4" w:space="0"/>
            </w:tcBorders>
            <w:shd w:val="clear" w:color="auto" w:fill="auto"/>
            <w:noWrap/>
            <w:vAlign w:val="center"/>
          </w:tcPr>
          <w:p w14:paraId="5EFED766">
            <w:pPr>
              <w:widowControl/>
              <w:spacing w:line="380" w:lineRule="exact"/>
              <w:jc w:val="center"/>
              <w:rPr>
                <w:rFonts w:hint="default" w:ascii="宋体" w:hAnsi="宋体" w:eastAsia="宋体" w:cs="宋体"/>
                <w:color w:val="auto"/>
                <w:kern w:val="0"/>
                <w:szCs w:val="21"/>
                <w:lang w:val="en-US" w:eastAsia="zh-CN"/>
              </w:rPr>
            </w:pPr>
            <w:r>
              <w:rPr>
                <w:rFonts w:hint="eastAsia" w:ascii="宋体" w:hAnsi="宋体" w:eastAsia="宋体" w:cs="宋体"/>
                <w:color w:val="auto"/>
                <w:kern w:val="0"/>
                <w:szCs w:val="21"/>
                <w:lang w:val="en-US" w:eastAsia="zh-CN"/>
              </w:rPr>
              <w:t>4</w:t>
            </w:r>
          </w:p>
        </w:tc>
        <w:tc>
          <w:tcPr>
            <w:tcW w:w="1598" w:type="dxa"/>
            <w:tcBorders>
              <w:top w:val="nil"/>
              <w:left w:val="nil"/>
              <w:bottom w:val="single" w:color="auto" w:sz="4" w:space="0"/>
              <w:right w:val="single" w:color="auto" w:sz="4" w:space="0"/>
            </w:tcBorders>
            <w:shd w:val="clear" w:color="auto" w:fill="auto"/>
            <w:noWrap/>
            <w:vAlign w:val="center"/>
          </w:tcPr>
          <w:p w14:paraId="581EC052">
            <w:pPr>
              <w:widowControl/>
              <w:spacing w:line="380" w:lineRule="exact"/>
              <w:jc w:val="center"/>
              <w:rPr>
                <w:rFonts w:hint="eastAsia" w:ascii="宋体" w:hAnsi="宋体" w:eastAsia="宋体" w:cs="宋体"/>
                <w:color w:val="auto"/>
                <w:kern w:val="0"/>
                <w:szCs w:val="21"/>
              </w:rPr>
            </w:pPr>
            <w:r>
              <w:rPr>
                <w:rFonts w:hint="eastAsia" w:ascii="宋体" w:hAnsi="宋体" w:eastAsia="宋体" w:cs="宋体"/>
                <w:color w:val="auto"/>
                <w:kern w:val="0"/>
                <w:szCs w:val="21"/>
              </w:rPr>
              <w:t>医用氧（气态）</w:t>
            </w:r>
          </w:p>
        </w:tc>
        <w:tc>
          <w:tcPr>
            <w:tcW w:w="695" w:type="dxa"/>
            <w:tcBorders>
              <w:top w:val="nil"/>
              <w:left w:val="nil"/>
              <w:bottom w:val="single" w:color="auto" w:sz="4" w:space="0"/>
              <w:right w:val="single" w:color="auto" w:sz="4" w:space="0"/>
            </w:tcBorders>
            <w:shd w:val="clear" w:color="auto" w:fill="auto"/>
            <w:noWrap/>
            <w:vAlign w:val="center"/>
          </w:tcPr>
          <w:p w14:paraId="7CF2B445">
            <w:pPr>
              <w:widowControl/>
              <w:spacing w:line="380" w:lineRule="exact"/>
              <w:jc w:val="center"/>
              <w:rPr>
                <w:rFonts w:hint="eastAsia" w:ascii="宋体" w:hAnsi="宋体" w:eastAsia="宋体" w:cs="宋体"/>
                <w:color w:val="auto"/>
                <w:kern w:val="0"/>
                <w:szCs w:val="21"/>
                <w:lang w:eastAsia="zh-CN"/>
              </w:rPr>
            </w:pPr>
            <w:r>
              <w:rPr>
                <w:rFonts w:hint="eastAsia" w:ascii="宋体" w:hAnsi="宋体" w:eastAsia="宋体" w:cs="宋体"/>
                <w:color w:val="auto"/>
                <w:kern w:val="0"/>
                <w:szCs w:val="21"/>
              </w:rPr>
              <w:t>瓶</w:t>
            </w:r>
          </w:p>
        </w:tc>
        <w:tc>
          <w:tcPr>
            <w:tcW w:w="975" w:type="dxa"/>
            <w:tcBorders>
              <w:top w:val="nil"/>
              <w:left w:val="nil"/>
              <w:bottom w:val="single" w:color="auto" w:sz="4" w:space="0"/>
              <w:right w:val="single" w:color="auto" w:sz="4" w:space="0"/>
            </w:tcBorders>
            <w:shd w:val="clear" w:color="auto" w:fill="auto"/>
            <w:noWrap/>
            <w:vAlign w:val="center"/>
          </w:tcPr>
          <w:p w14:paraId="45F55FEE">
            <w:pPr>
              <w:widowControl/>
              <w:spacing w:line="380" w:lineRule="exact"/>
              <w:jc w:val="center"/>
              <w:rPr>
                <w:rFonts w:hint="eastAsia" w:ascii="宋体" w:hAnsi="宋体" w:eastAsia="宋体" w:cs="宋体"/>
                <w:color w:val="auto"/>
                <w:kern w:val="0"/>
                <w:szCs w:val="21"/>
                <w:lang w:val="en-US" w:eastAsia="zh-CN"/>
              </w:rPr>
            </w:pPr>
            <w:r>
              <w:rPr>
                <w:rFonts w:hint="eastAsia" w:ascii="宋体" w:hAnsi="宋体" w:eastAsia="宋体" w:cs="宋体"/>
                <w:color w:val="auto"/>
                <w:kern w:val="0"/>
                <w:szCs w:val="21"/>
              </w:rPr>
              <w:t>40升</w:t>
            </w:r>
          </w:p>
        </w:tc>
        <w:tc>
          <w:tcPr>
            <w:tcW w:w="1449" w:type="dxa"/>
            <w:tcBorders>
              <w:top w:val="single" w:color="auto" w:sz="4" w:space="0"/>
              <w:left w:val="nil"/>
              <w:bottom w:val="single" w:color="auto" w:sz="4" w:space="0"/>
              <w:right w:val="nil"/>
            </w:tcBorders>
            <w:vAlign w:val="center"/>
          </w:tcPr>
          <w:p w14:paraId="22D646EF">
            <w:pPr>
              <w:widowControl/>
              <w:spacing w:line="380" w:lineRule="exact"/>
              <w:jc w:val="center"/>
              <w:rPr>
                <w:rFonts w:hint="eastAsia" w:ascii="宋体" w:hAnsi="宋体" w:eastAsia="宋体" w:cs="宋体"/>
                <w:color w:val="auto"/>
                <w:kern w:val="0"/>
                <w:szCs w:val="21"/>
              </w:rPr>
            </w:pPr>
            <w:r>
              <w:rPr>
                <w:rFonts w:hint="eastAsia" w:ascii="宋体" w:hAnsi="宋体" w:eastAsia="宋体" w:cs="宋体"/>
                <w:color w:val="auto"/>
                <w:kern w:val="0"/>
                <w:szCs w:val="21"/>
              </w:rPr>
              <w:t>≥99.5</w:t>
            </w:r>
          </w:p>
        </w:tc>
        <w:tc>
          <w:tcPr>
            <w:tcW w:w="1113" w:type="dxa"/>
            <w:tcBorders>
              <w:top w:val="nil"/>
              <w:left w:val="single" w:color="auto" w:sz="4" w:space="0"/>
              <w:bottom w:val="single" w:color="auto" w:sz="4" w:space="0"/>
              <w:right w:val="single" w:color="auto" w:sz="4" w:space="0"/>
            </w:tcBorders>
            <w:shd w:val="clear" w:color="auto" w:fill="auto"/>
            <w:noWrap/>
            <w:vAlign w:val="center"/>
          </w:tcPr>
          <w:p w14:paraId="00985DD1">
            <w:pPr>
              <w:keepNext w:val="0"/>
              <w:keepLines w:val="0"/>
              <w:widowControl/>
              <w:suppressLineNumbers w:val="0"/>
              <w:jc w:val="center"/>
              <w:textAlignment w:val="center"/>
              <w:rPr>
                <w:rFonts w:hint="default" w:ascii="宋体" w:hAnsi="宋体" w:eastAsia="宋体" w:cs="宋体"/>
                <w:color w:val="auto"/>
                <w:sz w:val="21"/>
                <w:szCs w:val="21"/>
                <w:lang w:val="en-US" w:eastAsia="zh-CN"/>
              </w:rPr>
            </w:pPr>
            <w:r>
              <w:rPr>
                <w:rFonts w:hint="eastAsia" w:ascii="宋体" w:hAnsi="宋体" w:eastAsia="宋体" w:cs="宋体"/>
                <w:i w:val="0"/>
                <w:iCs w:val="0"/>
                <w:color w:val="000000"/>
                <w:kern w:val="0"/>
                <w:sz w:val="21"/>
                <w:szCs w:val="21"/>
                <w:u w:val="none"/>
                <w:lang w:val="en-US" w:eastAsia="zh-CN" w:bidi="ar"/>
              </w:rPr>
              <w:t>3</w:t>
            </w:r>
          </w:p>
        </w:tc>
        <w:tc>
          <w:tcPr>
            <w:tcW w:w="1751" w:type="dxa"/>
            <w:tcBorders>
              <w:top w:val="nil"/>
              <w:left w:val="single" w:color="auto" w:sz="4" w:space="0"/>
              <w:bottom w:val="single" w:color="auto" w:sz="4" w:space="0"/>
              <w:right w:val="single" w:color="auto" w:sz="4" w:space="0"/>
            </w:tcBorders>
            <w:vAlign w:val="center"/>
          </w:tcPr>
          <w:p w14:paraId="01DB45A9">
            <w:pPr>
              <w:widowControl/>
              <w:spacing w:line="380" w:lineRule="exact"/>
              <w:jc w:val="center"/>
              <w:rPr>
                <w:rFonts w:hint="eastAsia" w:ascii="宋体" w:hAnsi="宋体" w:eastAsia="宋体" w:cs="宋体"/>
                <w:color w:val="auto"/>
                <w:kern w:val="0"/>
                <w:szCs w:val="21"/>
                <w:lang w:val="en-US" w:eastAsia="zh-CN"/>
              </w:rPr>
            </w:pPr>
          </w:p>
        </w:tc>
        <w:tc>
          <w:tcPr>
            <w:tcW w:w="1751" w:type="dxa"/>
            <w:tcBorders>
              <w:top w:val="nil"/>
              <w:left w:val="single" w:color="auto" w:sz="4" w:space="0"/>
              <w:bottom w:val="single" w:color="auto" w:sz="4" w:space="0"/>
              <w:right w:val="single" w:color="auto" w:sz="4" w:space="0"/>
            </w:tcBorders>
            <w:vAlign w:val="center"/>
          </w:tcPr>
          <w:p w14:paraId="76B8002F">
            <w:pPr>
              <w:widowControl/>
              <w:spacing w:line="380" w:lineRule="exact"/>
              <w:jc w:val="center"/>
              <w:rPr>
                <w:rFonts w:hint="eastAsia" w:ascii="宋体" w:hAnsi="宋体" w:eastAsia="宋体" w:cs="宋体"/>
                <w:color w:val="auto"/>
                <w:kern w:val="0"/>
                <w:szCs w:val="21"/>
              </w:rPr>
            </w:pPr>
            <w:r>
              <w:rPr>
                <w:rFonts w:hint="eastAsia" w:ascii="宋体" w:hAnsi="宋体" w:eastAsia="宋体" w:cs="宋体"/>
                <w:color w:val="auto"/>
                <w:kern w:val="0"/>
                <w:szCs w:val="21"/>
              </w:rPr>
              <w:t>药品级</w:t>
            </w:r>
          </w:p>
        </w:tc>
      </w:tr>
      <w:tr w14:paraId="290D030D">
        <w:tblPrEx>
          <w:tblCellMar>
            <w:top w:w="0" w:type="dxa"/>
            <w:left w:w="108" w:type="dxa"/>
            <w:bottom w:w="0" w:type="dxa"/>
            <w:right w:w="108" w:type="dxa"/>
          </w:tblCellMar>
        </w:tblPrEx>
        <w:trPr>
          <w:trHeight w:val="420" w:hRule="atLeast"/>
          <w:jc w:val="center"/>
        </w:trPr>
        <w:tc>
          <w:tcPr>
            <w:tcW w:w="802" w:type="dxa"/>
            <w:tcBorders>
              <w:top w:val="nil"/>
              <w:left w:val="single" w:color="auto" w:sz="4" w:space="0"/>
              <w:bottom w:val="single" w:color="auto" w:sz="4" w:space="0"/>
              <w:right w:val="single" w:color="auto" w:sz="4" w:space="0"/>
            </w:tcBorders>
            <w:shd w:val="clear" w:color="auto" w:fill="auto"/>
            <w:noWrap/>
            <w:vAlign w:val="center"/>
          </w:tcPr>
          <w:p w14:paraId="06FB3A94">
            <w:pPr>
              <w:widowControl/>
              <w:spacing w:line="380" w:lineRule="exact"/>
              <w:jc w:val="center"/>
              <w:rPr>
                <w:rFonts w:hint="default" w:ascii="宋体" w:hAnsi="宋体" w:eastAsia="宋体" w:cs="宋体"/>
                <w:color w:val="auto"/>
                <w:kern w:val="0"/>
                <w:szCs w:val="21"/>
                <w:lang w:val="en-US" w:eastAsia="zh-CN"/>
              </w:rPr>
            </w:pPr>
            <w:r>
              <w:rPr>
                <w:rFonts w:hint="eastAsia" w:ascii="宋体" w:hAnsi="宋体" w:eastAsia="宋体" w:cs="宋体"/>
                <w:color w:val="auto"/>
                <w:kern w:val="0"/>
                <w:szCs w:val="21"/>
                <w:lang w:val="en-US" w:eastAsia="zh-CN"/>
              </w:rPr>
              <w:t>5</w:t>
            </w:r>
          </w:p>
        </w:tc>
        <w:tc>
          <w:tcPr>
            <w:tcW w:w="1598" w:type="dxa"/>
            <w:tcBorders>
              <w:top w:val="nil"/>
              <w:left w:val="nil"/>
              <w:bottom w:val="single" w:color="auto" w:sz="4" w:space="0"/>
              <w:right w:val="single" w:color="auto" w:sz="4" w:space="0"/>
            </w:tcBorders>
            <w:shd w:val="clear" w:color="auto" w:fill="auto"/>
            <w:noWrap/>
            <w:vAlign w:val="center"/>
          </w:tcPr>
          <w:p w14:paraId="531269FC">
            <w:pPr>
              <w:widowControl/>
              <w:spacing w:line="380" w:lineRule="exact"/>
              <w:jc w:val="center"/>
              <w:rPr>
                <w:rFonts w:ascii="宋体" w:hAnsi="宋体" w:eastAsia="宋体" w:cs="宋体"/>
                <w:color w:val="auto"/>
                <w:kern w:val="0"/>
                <w:szCs w:val="21"/>
              </w:rPr>
            </w:pPr>
            <w:r>
              <w:rPr>
                <w:rFonts w:hint="eastAsia" w:ascii="宋体" w:hAnsi="宋体" w:eastAsia="宋体" w:cs="宋体"/>
                <w:color w:val="auto"/>
                <w:kern w:val="0"/>
                <w:szCs w:val="21"/>
              </w:rPr>
              <w:t>液氮</w:t>
            </w:r>
          </w:p>
        </w:tc>
        <w:tc>
          <w:tcPr>
            <w:tcW w:w="695" w:type="dxa"/>
            <w:tcBorders>
              <w:top w:val="nil"/>
              <w:left w:val="nil"/>
              <w:bottom w:val="single" w:color="auto" w:sz="4" w:space="0"/>
              <w:right w:val="single" w:color="auto" w:sz="4" w:space="0"/>
            </w:tcBorders>
            <w:shd w:val="clear" w:color="auto" w:fill="auto"/>
            <w:noWrap/>
            <w:vAlign w:val="center"/>
          </w:tcPr>
          <w:p w14:paraId="3FE3DC1E">
            <w:pPr>
              <w:widowControl/>
              <w:spacing w:line="380" w:lineRule="exact"/>
              <w:jc w:val="center"/>
              <w:rPr>
                <w:rFonts w:ascii="宋体" w:hAnsi="宋体" w:eastAsia="宋体" w:cs="宋体"/>
                <w:color w:val="auto"/>
                <w:kern w:val="0"/>
                <w:szCs w:val="21"/>
              </w:rPr>
            </w:pPr>
            <w:r>
              <w:rPr>
                <w:rFonts w:hint="eastAsia" w:ascii="宋体" w:hAnsi="宋体" w:eastAsia="宋体" w:cs="宋体"/>
                <w:color w:val="auto"/>
                <w:kern w:val="0"/>
                <w:szCs w:val="21"/>
              </w:rPr>
              <w:t>罐</w:t>
            </w:r>
          </w:p>
        </w:tc>
        <w:tc>
          <w:tcPr>
            <w:tcW w:w="975" w:type="dxa"/>
            <w:tcBorders>
              <w:top w:val="nil"/>
              <w:left w:val="nil"/>
              <w:bottom w:val="single" w:color="auto" w:sz="4" w:space="0"/>
              <w:right w:val="single" w:color="auto" w:sz="4" w:space="0"/>
            </w:tcBorders>
            <w:shd w:val="clear" w:color="auto" w:fill="auto"/>
            <w:noWrap/>
            <w:vAlign w:val="center"/>
          </w:tcPr>
          <w:p w14:paraId="50BADA59">
            <w:pPr>
              <w:widowControl/>
              <w:spacing w:line="380" w:lineRule="exact"/>
              <w:jc w:val="center"/>
              <w:rPr>
                <w:rFonts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kern w:val="0"/>
                <w:szCs w:val="21"/>
                <w:lang w:val="en-US" w:eastAsia="zh-CN"/>
              </w:rPr>
              <w:t>5</w:t>
            </w:r>
            <w:r>
              <w:rPr>
                <w:rFonts w:hint="eastAsia" w:ascii="宋体" w:hAnsi="宋体" w:eastAsia="宋体" w:cs="宋体"/>
                <w:color w:val="auto"/>
                <w:kern w:val="0"/>
                <w:szCs w:val="21"/>
              </w:rPr>
              <w:t>升</w:t>
            </w:r>
          </w:p>
        </w:tc>
        <w:tc>
          <w:tcPr>
            <w:tcW w:w="1449" w:type="dxa"/>
            <w:tcBorders>
              <w:top w:val="single" w:color="auto" w:sz="4" w:space="0"/>
              <w:left w:val="nil"/>
              <w:bottom w:val="single" w:color="auto" w:sz="4" w:space="0"/>
              <w:right w:val="nil"/>
            </w:tcBorders>
            <w:vAlign w:val="center"/>
          </w:tcPr>
          <w:p w14:paraId="52045CFF">
            <w:pPr>
              <w:widowControl/>
              <w:spacing w:line="380" w:lineRule="exact"/>
              <w:jc w:val="center"/>
              <w:rPr>
                <w:rFonts w:ascii="宋体" w:hAnsi="宋体" w:eastAsia="宋体" w:cs="宋体"/>
                <w:color w:val="auto"/>
                <w:kern w:val="0"/>
                <w:szCs w:val="21"/>
              </w:rPr>
            </w:pPr>
            <w:r>
              <w:rPr>
                <w:rFonts w:hint="eastAsia" w:ascii="宋体" w:hAnsi="宋体" w:eastAsia="宋体" w:cs="宋体"/>
                <w:color w:val="auto"/>
                <w:kern w:val="0"/>
                <w:szCs w:val="21"/>
              </w:rPr>
              <w:t>≥99.999</w:t>
            </w:r>
          </w:p>
        </w:tc>
        <w:tc>
          <w:tcPr>
            <w:tcW w:w="1113" w:type="dxa"/>
            <w:tcBorders>
              <w:top w:val="nil"/>
              <w:left w:val="single" w:color="auto" w:sz="4" w:space="0"/>
              <w:bottom w:val="single" w:color="auto" w:sz="4" w:space="0"/>
              <w:right w:val="single" w:color="auto" w:sz="4" w:space="0"/>
            </w:tcBorders>
            <w:shd w:val="clear" w:color="auto" w:fill="auto"/>
            <w:noWrap/>
            <w:vAlign w:val="center"/>
          </w:tcPr>
          <w:p w14:paraId="4BE611FB">
            <w:pPr>
              <w:keepNext w:val="0"/>
              <w:keepLines w:val="0"/>
              <w:widowControl/>
              <w:suppressLineNumbers w:val="0"/>
              <w:jc w:val="center"/>
              <w:textAlignment w:val="center"/>
              <w:rPr>
                <w:rFonts w:hint="default" w:ascii="宋体" w:hAnsi="宋体" w:eastAsia="宋体" w:cs="宋体"/>
                <w:color w:val="auto"/>
                <w:sz w:val="21"/>
                <w:szCs w:val="21"/>
                <w:lang w:val="en-US" w:eastAsia="zh-CN"/>
              </w:rPr>
            </w:pPr>
            <w:r>
              <w:rPr>
                <w:rFonts w:hint="eastAsia" w:ascii="宋体" w:hAnsi="宋体" w:eastAsia="宋体" w:cs="宋体"/>
                <w:i w:val="0"/>
                <w:iCs w:val="0"/>
                <w:color w:val="000000"/>
                <w:kern w:val="0"/>
                <w:sz w:val="21"/>
                <w:szCs w:val="21"/>
                <w:u w:val="none"/>
                <w:lang w:val="en-US" w:eastAsia="zh-CN" w:bidi="ar"/>
              </w:rPr>
              <w:t>209</w:t>
            </w:r>
          </w:p>
        </w:tc>
        <w:tc>
          <w:tcPr>
            <w:tcW w:w="1751" w:type="dxa"/>
            <w:tcBorders>
              <w:top w:val="nil"/>
              <w:left w:val="single" w:color="auto" w:sz="4" w:space="0"/>
              <w:bottom w:val="single" w:color="auto" w:sz="4" w:space="0"/>
              <w:right w:val="single" w:color="auto" w:sz="4" w:space="0"/>
            </w:tcBorders>
            <w:vAlign w:val="center"/>
          </w:tcPr>
          <w:p w14:paraId="5AE17F42">
            <w:pPr>
              <w:widowControl/>
              <w:spacing w:line="380" w:lineRule="exact"/>
              <w:jc w:val="center"/>
              <w:rPr>
                <w:rFonts w:hint="default" w:ascii="宋体" w:hAnsi="宋体" w:eastAsia="宋体" w:cs="宋体"/>
                <w:color w:val="auto"/>
                <w:kern w:val="0"/>
                <w:szCs w:val="21"/>
                <w:lang w:val="en-US" w:eastAsia="zh-CN"/>
              </w:rPr>
            </w:pPr>
          </w:p>
        </w:tc>
        <w:tc>
          <w:tcPr>
            <w:tcW w:w="1751" w:type="dxa"/>
            <w:tcBorders>
              <w:top w:val="nil"/>
              <w:left w:val="single" w:color="auto" w:sz="4" w:space="0"/>
              <w:bottom w:val="single" w:color="auto" w:sz="4" w:space="0"/>
              <w:right w:val="single" w:color="auto" w:sz="4" w:space="0"/>
            </w:tcBorders>
            <w:vAlign w:val="center"/>
          </w:tcPr>
          <w:p w14:paraId="0478AB82">
            <w:pPr>
              <w:widowControl/>
              <w:spacing w:line="380" w:lineRule="exact"/>
              <w:jc w:val="center"/>
              <w:rPr>
                <w:rFonts w:hint="eastAsia" w:ascii="宋体" w:hAnsi="宋体" w:eastAsia="宋体" w:cs="宋体"/>
                <w:color w:val="auto"/>
                <w:kern w:val="0"/>
                <w:szCs w:val="21"/>
              </w:rPr>
            </w:pPr>
            <w:r>
              <w:rPr>
                <w:rFonts w:hint="eastAsia" w:ascii="宋体" w:hAnsi="宋体" w:eastAsia="宋体" w:cs="宋体"/>
                <w:color w:val="auto"/>
                <w:kern w:val="0"/>
                <w:szCs w:val="21"/>
              </w:rPr>
              <w:t>皮肤</w:t>
            </w:r>
            <w:r>
              <w:rPr>
                <w:rFonts w:hint="eastAsia" w:ascii="宋体" w:hAnsi="宋体" w:eastAsia="宋体" w:cs="宋体"/>
                <w:color w:val="auto"/>
                <w:kern w:val="0"/>
                <w:szCs w:val="21"/>
                <w:lang w:eastAsia="zh-CN"/>
              </w:rPr>
              <w:t>科</w:t>
            </w:r>
          </w:p>
        </w:tc>
      </w:tr>
      <w:tr w14:paraId="756C7A3E">
        <w:tblPrEx>
          <w:tblCellMar>
            <w:top w:w="0" w:type="dxa"/>
            <w:left w:w="108" w:type="dxa"/>
            <w:bottom w:w="0" w:type="dxa"/>
            <w:right w:w="108" w:type="dxa"/>
          </w:tblCellMar>
        </w:tblPrEx>
        <w:trPr>
          <w:trHeight w:val="402" w:hRule="atLeast"/>
          <w:jc w:val="center"/>
        </w:trPr>
        <w:tc>
          <w:tcPr>
            <w:tcW w:w="802" w:type="dxa"/>
            <w:tcBorders>
              <w:top w:val="nil"/>
              <w:left w:val="single" w:color="auto" w:sz="4" w:space="0"/>
              <w:bottom w:val="single" w:color="auto" w:sz="4" w:space="0"/>
              <w:right w:val="single" w:color="auto" w:sz="4" w:space="0"/>
            </w:tcBorders>
            <w:shd w:val="clear" w:color="auto" w:fill="auto"/>
            <w:noWrap/>
            <w:vAlign w:val="center"/>
          </w:tcPr>
          <w:p w14:paraId="1227E6FC">
            <w:pPr>
              <w:widowControl/>
              <w:spacing w:line="380" w:lineRule="exact"/>
              <w:jc w:val="center"/>
              <w:rPr>
                <w:rFonts w:hint="default" w:ascii="宋体" w:hAnsi="宋体" w:eastAsia="宋体" w:cs="宋体"/>
                <w:color w:val="auto"/>
                <w:kern w:val="0"/>
                <w:szCs w:val="21"/>
                <w:lang w:val="en-US" w:eastAsia="zh-CN"/>
              </w:rPr>
            </w:pPr>
            <w:r>
              <w:rPr>
                <w:rFonts w:hint="eastAsia" w:ascii="宋体" w:hAnsi="宋体" w:eastAsia="宋体" w:cs="宋体"/>
                <w:color w:val="auto"/>
                <w:kern w:val="0"/>
                <w:szCs w:val="21"/>
                <w:lang w:val="en-US" w:eastAsia="zh-CN"/>
              </w:rPr>
              <w:t>6</w:t>
            </w:r>
          </w:p>
        </w:tc>
        <w:tc>
          <w:tcPr>
            <w:tcW w:w="1598" w:type="dxa"/>
            <w:tcBorders>
              <w:top w:val="nil"/>
              <w:left w:val="nil"/>
              <w:bottom w:val="single" w:color="auto" w:sz="4" w:space="0"/>
              <w:right w:val="single" w:color="auto" w:sz="4" w:space="0"/>
            </w:tcBorders>
            <w:shd w:val="clear" w:color="auto" w:fill="auto"/>
            <w:noWrap/>
            <w:vAlign w:val="center"/>
          </w:tcPr>
          <w:p w14:paraId="0CFE5898">
            <w:pPr>
              <w:widowControl/>
              <w:spacing w:line="380" w:lineRule="exact"/>
              <w:jc w:val="center"/>
              <w:rPr>
                <w:rFonts w:ascii="宋体" w:hAnsi="宋体" w:eastAsia="宋体" w:cs="宋体"/>
                <w:color w:val="auto"/>
                <w:kern w:val="0"/>
                <w:szCs w:val="21"/>
              </w:rPr>
            </w:pPr>
            <w:r>
              <w:rPr>
                <w:rFonts w:hint="eastAsia" w:ascii="宋体" w:hAnsi="宋体" w:eastAsia="宋体" w:cs="宋体"/>
                <w:color w:val="auto"/>
                <w:kern w:val="0"/>
                <w:szCs w:val="21"/>
                <w:lang w:eastAsia="zh-CN"/>
              </w:rPr>
              <w:t>高纯</w:t>
            </w:r>
            <w:r>
              <w:rPr>
                <w:rFonts w:hint="eastAsia" w:ascii="宋体" w:hAnsi="宋体" w:eastAsia="宋体" w:cs="宋体"/>
                <w:color w:val="auto"/>
                <w:kern w:val="0"/>
                <w:szCs w:val="21"/>
              </w:rPr>
              <w:t>二氧化碳</w:t>
            </w:r>
          </w:p>
        </w:tc>
        <w:tc>
          <w:tcPr>
            <w:tcW w:w="695" w:type="dxa"/>
            <w:tcBorders>
              <w:top w:val="nil"/>
              <w:left w:val="nil"/>
              <w:bottom w:val="single" w:color="auto" w:sz="4" w:space="0"/>
              <w:right w:val="single" w:color="auto" w:sz="4" w:space="0"/>
            </w:tcBorders>
            <w:shd w:val="clear" w:color="auto" w:fill="auto"/>
            <w:noWrap/>
            <w:vAlign w:val="center"/>
          </w:tcPr>
          <w:p w14:paraId="36E2A6EA">
            <w:pPr>
              <w:widowControl/>
              <w:spacing w:line="380" w:lineRule="exact"/>
              <w:jc w:val="center"/>
              <w:rPr>
                <w:rFonts w:ascii="宋体" w:hAnsi="宋体" w:eastAsia="宋体" w:cs="宋体"/>
                <w:color w:val="auto"/>
                <w:kern w:val="0"/>
                <w:szCs w:val="21"/>
              </w:rPr>
            </w:pPr>
            <w:r>
              <w:rPr>
                <w:rFonts w:hint="eastAsia" w:ascii="宋体" w:hAnsi="宋体" w:eastAsia="宋体" w:cs="宋体"/>
                <w:color w:val="auto"/>
                <w:kern w:val="0"/>
                <w:szCs w:val="21"/>
              </w:rPr>
              <w:t>瓶</w:t>
            </w:r>
          </w:p>
        </w:tc>
        <w:tc>
          <w:tcPr>
            <w:tcW w:w="975" w:type="dxa"/>
            <w:tcBorders>
              <w:top w:val="nil"/>
              <w:left w:val="nil"/>
              <w:bottom w:val="single" w:color="auto" w:sz="4" w:space="0"/>
              <w:right w:val="single" w:color="auto" w:sz="4" w:space="0"/>
            </w:tcBorders>
            <w:shd w:val="clear" w:color="auto" w:fill="auto"/>
            <w:noWrap/>
            <w:vAlign w:val="center"/>
          </w:tcPr>
          <w:p w14:paraId="2324930B">
            <w:pPr>
              <w:widowControl/>
              <w:spacing w:line="380" w:lineRule="exact"/>
              <w:jc w:val="center"/>
              <w:rPr>
                <w:rFonts w:ascii="宋体" w:hAnsi="宋体" w:eastAsia="宋体" w:cs="宋体"/>
                <w:color w:val="auto"/>
                <w:kern w:val="0"/>
                <w:szCs w:val="21"/>
              </w:rPr>
            </w:pPr>
            <w:r>
              <w:rPr>
                <w:rFonts w:hint="eastAsia" w:ascii="宋体" w:hAnsi="宋体" w:eastAsia="宋体" w:cs="宋体"/>
                <w:color w:val="auto"/>
                <w:kern w:val="0"/>
                <w:szCs w:val="21"/>
              </w:rPr>
              <w:t>40升</w:t>
            </w:r>
          </w:p>
        </w:tc>
        <w:tc>
          <w:tcPr>
            <w:tcW w:w="1449" w:type="dxa"/>
            <w:tcBorders>
              <w:top w:val="single" w:color="auto" w:sz="4" w:space="0"/>
              <w:left w:val="nil"/>
              <w:bottom w:val="single" w:color="auto" w:sz="4" w:space="0"/>
              <w:right w:val="nil"/>
            </w:tcBorders>
            <w:vAlign w:val="center"/>
          </w:tcPr>
          <w:p w14:paraId="1F4B3341">
            <w:pPr>
              <w:widowControl/>
              <w:spacing w:line="380" w:lineRule="exact"/>
              <w:jc w:val="center"/>
              <w:rPr>
                <w:rFonts w:ascii="宋体" w:hAnsi="宋体" w:eastAsia="宋体" w:cs="宋体"/>
                <w:color w:val="auto"/>
                <w:kern w:val="0"/>
                <w:szCs w:val="21"/>
              </w:rPr>
            </w:pPr>
            <w:r>
              <w:rPr>
                <w:rFonts w:hint="eastAsia" w:ascii="宋体" w:hAnsi="宋体" w:eastAsia="宋体" w:cs="宋体"/>
                <w:color w:val="auto"/>
                <w:kern w:val="0"/>
                <w:szCs w:val="21"/>
              </w:rPr>
              <w:t>≥99.5</w:t>
            </w:r>
          </w:p>
        </w:tc>
        <w:tc>
          <w:tcPr>
            <w:tcW w:w="1113" w:type="dxa"/>
            <w:tcBorders>
              <w:top w:val="nil"/>
              <w:left w:val="single" w:color="auto" w:sz="4" w:space="0"/>
              <w:bottom w:val="single" w:color="auto" w:sz="4" w:space="0"/>
              <w:right w:val="single" w:color="auto" w:sz="4" w:space="0"/>
            </w:tcBorders>
            <w:shd w:val="clear" w:color="auto" w:fill="auto"/>
            <w:noWrap/>
            <w:vAlign w:val="center"/>
          </w:tcPr>
          <w:p w14:paraId="45FBBBE6">
            <w:pPr>
              <w:keepNext w:val="0"/>
              <w:keepLines w:val="0"/>
              <w:widowControl/>
              <w:suppressLineNumbers w:val="0"/>
              <w:jc w:val="center"/>
              <w:textAlignment w:val="center"/>
              <w:rPr>
                <w:rFonts w:hint="default" w:ascii="宋体" w:hAnsi="宋体" w:eastAsia="宋体" w:cs="宋体"/>
                <w:color w:val="auto"/>
                <w:sz w:val="21"/>
                <w:szCs w:val="21"/>
                <w:lang w:val="en-US" w:eastAsia="zh-CN"/>
              </w:rPr>
            </w:pPr>
            <w:r>
              <w:rPr>
                <w:rFonts w:hint="eastAsia" w:ascii="宋体" w:hAnsi="宋体" w:eastAsia="宋体" w:cs="宋体"/>
                <w:i w:val="0"/>
                <w:iCs w:val="0"/>
                <w:color w:val="000000"/>
                <w:kern w:val="0"/>
                <w:sz w:val="21"/>
                <w:szCs w:val="21"/>
                <w:u w:val="none"/>
                <w:lang w:val="en-US" w:eastAsia="zh-CN" w:bidi="ar"/>
              </w:rPr>
              <w:t>18</w:t>
            </w:r>
          </w:p>
        </w:tc>
        <w:tc>
          <w:tcPr>
            <w:tcW w:w="1751" w:type="dxa"/>
            <w:tcBorders>
              <w:top w:val="nil"/>
              <w:left w:val="single" w:color="auto" w:sz="4" w:space="0"/>
              <w:bottom w:val="single" w:color="auto" w:sz="4" w:space="0"/>
              <w:right w:val="single" w:color="auto" w:sz="4" w:space="0"/>
            </w:tcBorders>
            <w:vAlign w:val="center"/>
          </w:tcPr>
          <w:p w14:paraId="40743B65">
            <w:pPr>
              <w:widowControl/>
              <w:spacing w:line="380" w:lineRule="exact"/>
              <w:jc w:val="center"/>
              <w:rPr>
                <w:rFonts w:hint="default" w:ascii="宋体" w:hAnsi="宋体" w:eastAsia="宋体" w:cs="宋体"/>
                <w:color w:val="auto"/>
                <w:kern w:val="0"/>
                <w:szCs w:val="21"/>
                <w:lang w:val="en-US" w:eastAsia="zh-CN"/>
              </w:rPr>
            </w:pPr>
          </w:p>
        </w:tc>
        <w:tc>
          <w:tcPr>
            <w:tcW w:w="1751" w:type="dxa"/>
            <w:tcBorders>
              <w:top w:val="nil"/>
              <w:left w:val="single" w:color="auto" w:sz="4" w:space="0"/>
              <w:bottom w:val="single" w:color="auto" w:sz="4" w:space="0"/>
              <w:right w:val="single" w:color="auto" w:sz="4" w:space="0"/>
            </w:tcBorders>
            <w:vAlign w:val="center"/>
          </w:tcPr>
          <w:p w14:paraId="49E716C9">
            <w:pPr>
              <w:widowControl/>
              <w:spacing w:line="380" w:lineRule="exact"/>
              <w:jc w:val="center"/>
              <w:rPr>
                <w:rFonts w:hint="eastAsia" w:ascii="宋体" w:hAnsi="宋体" w:eastAsia="宋体" w:cs="宋体"/>
                <w:color w:val="auto"/>
                <w:kern w:val="0"/>
                <w:szCs w:val="21"/>
                <w:lang w:eastAsia="zh-CN"/>
              </w:rPr>
            </w:pPr>
            <w:r>
              <w:rPr>
                <w:rFonts w:hint="eastAsia" w:ascii="宋体" w:hAnsi="宋体" w:eastAsia="宋体" w:cs="宋体"/>
                <w:color w:val="auto"/>
                <w:kern w:val="0"/>
                <w:szCs w:val="21"/>
                <w:lang w:eastAsia="zh-CN"/>
              </w:rPr>
              <w:t>检验科、手术室</w:t>
            </w:r>
          </w:p>
        </w:tc>
      </w:tr>
      <w:tr w14:paraId="7B16DBFB">
        <w:tblPrEx>
          <w:tblCellMar>
            <w:top w:w="0" w:type="dxa"/>
            <w:left w:w="108" w:type="dxa"/>
            <w:bottom w:w="0" w:type="dxa"/>
            <w:right w:w="108" w:type="dxa"/>
          </w:tblCellMar>
        </w:tblPrEx>
        <w:trPr>
          <w:trHeight w:val="402" w:hRule="atLeast"/>
          <w:jc w:val="center"/>
        </w:trPr>
        <w:tc>
          <w:tcPr>
            <w:tcW w:w="80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B5665EF">
            <w:pPr>
              <w:widowControl/>
              <w:spacing w:line="380" w:lineRule="exact"/>
              <w:jc w:val="center"/>
              <w:rPr>
                <w:rFonts w:hint="default" w:ascii="宋体" w:hAnsi="宋体" w:eastAsia="宋体" w:cs="宋体"/>
                <w:color w:val="auto"/>
                <w:kern w:val="0"/>
                <w:szCs w:val="21"/>
                <w:lang w:val="en-US" w:eastAsia="zh-CN"/>
              </w:rPr>
            </w:pPr>
            <w:r>
              <w:rPr>
                <w:rFonts w:hint="eastAsia" w:ascii="宋体" w:hAnsi="宋体" w:eastAsia="宋体" w:cs="宋体"/>
                <w:color w:val="auto"/>
                <w:kern w:val="0"/>
                <w:szCs w:val="21"/>
                <w:lang w:val="en-US" w:eastAsia="zh-CN"/>
              </w:rPr>
              <w:t>7</w:t>
            </w:r>
          </w:p>
        </w:tc>
        <w:tc>
          <w:tcPr>
            <w:tcW w:w="1598" w:type="dxa"/>
            <w:tcBorders>
              <w:top w:val="single" w:color="auto" w:sz="4" w:space="0"/>
              <w:left w:val="nil"/>
              <w:bottom w:val="single" w:color="auto" w:sz="4" w:space="0"/>
              <w:right w:val="single" w:color="auto" w:sz="4" w:space="0"/>
            </w:tcBorders>
            <w:shd w:val="clear" w:color="auto" w:fill="auto"/>
            <w:noWrap/>
            <w:vAlign w:val="center"/>
          </w:tcPr>
          <w:p w14:paraId="36855642">
            <w:pPr>
              <w:widowControl/>
              <w:spacing w:line="380" w:lineRule="exact"/>
              <w:jc w:val="center"/>
              <w:rPr>
                <w:rFonts w:hint="eastAsia" w:ascii="宋体" w:hAnsi="宋体" w:eastAsia="宋体" w:cs="宋体"/>
                <w:color w:val="auto"/>
                <w:kern w:val="0"/>
                <w:szCs w:val="21"/>
                <w:lang w:eastAsia="zh-CN"/>
              </w:rPr>
            </w:pPr>
            <w:r>
              <w:rPr>
                <w:rFonts w:hint="eastAsia" w:ascii="宋体" w:hAnsi="宋体" w:eastAsia="宋体" w:cs="宋体"/>
                <w:color w:val="auto"/>
                <w:kern w:val="0"/>
                <w:szCs w:val="21"/>
                <w:lang w:eastAsia="zh-CN"/>
              </w:rPr>
              <w:t>氩气</w:t>
            </w:r>
          </w:p>
        </w:tc>
        <w:tc>
          <w:tcPr>
            <w:tcW w:w="695" w:type="dxa"/>
            <w:tcBorders>
              <w:top w:val="single" w:color="auto" w:sz="4" w:space="0"/>
              <w:left w:val="nil"/>
              <w:bottom w:val="single" w:color="auto" w:sz="4" w:space="0"/>
              <w:right w:val="single" w:color="auto" w:sz="4" w:space="0"/>
            </w:tcBorders>
            <w:shd w:val="clear" w:color="auto" w:fill="auto"/>
            <w:noWrap/>
            <w:vAlign w:val="center"/>
          </w:tcPr>
          <w:p w14:paraId="6CE2DBF8">
            <w:pPr>
              <w:widowControl/>
              <w:spacing w:line="380" w:lineRule="exact"/>
              <w:jc w:val="center"/>
              <w:rPr>
                <w:rFonts w:hint="eastAsia" w:ascii="宋体" w:hAnsi="宋体" w:eastAsia="宋体" w:cs="宋体"/>
                <w:color w:val="auto"/>
                <w:kern w:val="0"/>
                <w:szCs w:val="21"/>
                <w:lang w:eastAsia="zh-CN"/>
              </w:rPr>
            </w:pPr>
            <w:r>
              <w:rPr>
                <w:rFonts w:hint="eastAsia" w:ascii="宋体" w:hAnsi="宋体" w:eastAsia="宋体" w:cs="宋体"/>
                <w:color w:val="auto"/>
                <w:kern w:val="0"/>
                <w:szCs w:val="21"/>
                <w:lang w:eastAsia="zh-CN"/>
              </w:rPr>
              <w:t>瓶</w:t>
            </w:r>
          </w:p>
        </w:tc>
        <w:tc>
          <w:tcPr>
            <w:tcW w:w="975" w:type="dxa"/>
            <w:tcBorders>
              <w:top w:val="single" w:color="auto" w:sz="4" w:space="0"/>
              <w:left w:val="nil"/>
              <w:bottom w:val="single" w:color="auto" w:sz="4" w:space="0"/>
              <w:right w:val="single" w:color="auto" w:sz="4" w:space="0"/>
            </w:tcBorders>
            <w:shd w:val="clear" w:color="auto" w:fill="auto"/>
            <w:noWrap/>
            <w:vAlign w:val="center"/>
          </w:tcPr>
          <w:p w14:paraId="52E6399C">
            <w:pPr>
              <w:widowControl/>
              <w:spacing w:line="380" w:lineRule="exact"/>
              <w:jc w:val="center"/>
              <w:rPr>
                <w:rFonts w:hint="default" w:ascii="宋体" w:hAnsi="宋体" w:eastAsia="宋体" w:cs="宋体"/>
                <w:color w:val="auto"/>
                <w:kern w:val="0"/>
                <w:szCs w:val="21"/>
                <w:lang w:val="en-US" w:eastAsia="zh-CN"/>
              </w:rPr>
            </w:pPr>
            <w:r>
              <w:rPr>
                <w:rFonts w:hint="eastAsia" w:ascii="宋体" w:hAnsi="宋体" w:eastAsia="宋体" w:cs="宋体"/>
                <w:color w:val="auto"/>
                <w:kern w:val="0"/>
                <w:szCs w:val="21"/>
                <w:lang w:val="en-US" w:eastAsia="zh-CN"/>
              </w:rPr>
              <w:t>40</w:t>
            </w:r>
            <w:r>
              <w:rPr>
                <w:rFonts w:hint="eastAsia" w:ascii="宋体" w:hAnsi="宋体" w:eastAsia="宋体" w:cs="宋体"/>
                <w:color w:val="auto"/>
                <w:kern w:val="0"/>
                <w:szCs w:val="21"/>
              </w:rPr>
              <w:t>升</w:t>
            </w:r>
          </w:p>
        </w:tc>
        <w:tc>
          <w:tcPr>
            <w:tcW w:w="1449" w:type="dxa"/>
            <w:tcBorders>
              <w:top w:val="single" w:color="auto" w:sz="4" w:space="0"/>
              <w:left w:val="nil"/>
              <w:bottom w:val="single" w:color="auto" w:sz="4" w:space="0"/>
              <w:right w:val="nil"/>
            </w:tcBorders>
            <w:vAlign w:val="center"/>
          </w:tcPr>
          <w:p w14:paraId="630E0011">
            <w:pPr>
              <w:widowControl/>
              <w:spacing w:line="380" w:lineRule="exact"/>
              <w:jc w:val="center"/>
              <w:rPr>
                <w:rFonts w:hint="default" w:ascii="宋体" w:hAnsi="宋体" w:eastAsia="宋体" w:cs="宋体"/>
                <w:color w:val="auto"/>
                <w:kern w:val="0"/>
                <w:szCs w:val="21"/>
                <w:lang w:val="en-US" w:eastAsia="zh-CN"/>
              </w:rPr>
            </w:pPr>
            <w:r>
              <w:rPr>
                <w:rFonts w:hint="eastAsia" w:ascii="宋体" w:hAnsi="宋体" w:eastAsia="宋体" w:cs="宋体"/>
                <w:color w:val="auto"/>
                <w:kern w:val="0"/>
                <w:szCs w:val="21"/>
              </w:rPr>
              <w:t>≥99.</w:t>
            </w:r>
            <w:r>
              <w:rPr>
                <w:rFonts w:hint="eastAsia" w:ascii="宋体" w:hAnsi="宋体" w:eastAsia="宋体" w:cs="宋体"/>
                <w:color w:val="auto"/>
                <w:kern w:val="0"/>
                <w:szCs w:val="21"/>
                <w:lang w:val="en-US" w:eastAsia="zh-CN"/>
              </w:rPr>
              <w:t>99</w:t>
            </w:r>
          </w:p>
        </w:tc>
        <w:tc>
          <w:tcPr>
            <w:tcW w:w="111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CF0BFC5">
            <w:pPr>
              <w:keepNext w:val="0"/>
              <w:keepLines w:val="0"/>
              <w:widowControl/>
              <w:suppressLineNumbers w:val="0"/>
              <w:jc w:val="center"/>
              <w:textAlignment w:val="center"/>
              <w:rPr>
                <w:rFonts w:hint="default" w:ascii="宋体" w:hAnsi="宋体" w:eastAsia="宋体" w:cs="宋体"/>
                <w:color w:val="auto"/>
                <w:sz w:val="21"/>
                <w:szCs w:val="21"/>
                <w:lang w:val="en-US" w:eastAsia="zh-CN"/>
              </w:rPr>
            </w:pPr>
            <w:r>
              <w:rPr>
                <w:rFonts w:hint="eastAsia" w:ascii="宋体" w:hAnsi="宋体" w:eastAsia="宋体" w:cs="宋体"/>
                <w:i w:val="0"/>
                <w:iCs w:val="0"/>
                <w:color w:val="000000"/>
                <w:kern w:val="0"/>
                <w:sz w:val="21"/>
                <w:szCs w:val="21"/>
                <w:u w:val="none"/>
                <w:lang w:val="en-US" w:eastAsia="zh-CN" w:bidi="ar"/>
              </w:rPr>
              <w:t>0</w:t>
            </w:r>
          </w:p>
        </w:tc>
        <w:tc>
          <w:tcPr>
            <w:tcW w:w="1751" w:type="dxa"/>
            <w:tcBorders>
              <w:top w:val="single" w:color="auto" w:sz="4" w:space="0"/>
              <w:left w:val="single" w:color="auto" w:sz="4" w:space="0"/>
              <w:bottom w:val="single" w:color="auto" w:sz="4" w:space="0"/>
              <w:right w:val="single" w:color="auto" w:sz="4" w:space="0"/>
            </w:tcBorders>
            <w:vAlign w:val="center"/>
          </w:tcPr>
          <w:p w14:paraId="3CB8EFDB">
            <w:pPr>
              <w:widowControl/>
              <w:spacing w:line="380" w:lineRule="exact"/>
              <w:jc w:val="center"/>
              <w:rPr>
                <w:rFonts w:hint="default" w:ascii="宋体" w:hAnsi="宋体" w:eastAsia="宋体" w:cs="宋体"/>
                <w:color w:val="auto"/>
                <w:kern w:val="0"/>
                <w:szCs w:val="21"/>
                <w:lang w:val="en-US" w:eastAsia="zh-CN"/>
              </w:rPr>
            </w:pPr>
          </w:p>
        </w:tc>
        <w:tc>
          <w:tcPr>
            <w:tcW w:w="1751" w:type="dxa"/>
            <w:tcBorders>
              <w:top w:val="single" w:color="auto" w:sz="4" w:space="0"/>
              <w:left w:val="single" w:color="auto" w:sz="4" w:space="0"/>
              <w:bottom w:val="single" w:color="auto" w:sz="4" w:space="0"/>
              <w:right w:val="single" w:color="auto" w:sz="4" w:space="0"/>
            </w:tcBorders>
            <w:vAlign w:val="center"/>
          </w:tcPr>
          <w:p w14:paraId="3C64A769">
            <w:pPr>
              <w:widowControl/>
              <w:spacing w:line="380" w:lineRule="exact"/>
              <w:jc w:val="center"/>
              <w:rPr>
                <w:rFonts w:hint="eastAsia" w:ascii="宋体" w:hAnsi="宋体" w:eastAsia="宋体" w:cs="宋体"/>
                <w:color w:val="auto"/>
                <w:kern w:val="0"/>
                <w:szCs w:val="21"/>
                <w:lang w:eastAsia="zh-CN"/>
              </w:rPr>
            </w:pPr>
            <w:r>
              <w:rPr>
                <w:rFonts w:hint="eastAsia" w:ascii="宋体" w:hAnsi="宋体" w:eastAsia="宋体" w:cs="宋体"/>
                <w:color w:val="auto"/>
                <w:kern w:val="0"/>
                <w:szCs w:val="21"/>
                <w:lang w:eastAsia="zh-CN"/>
              </w:rPr>
              <w:t>胃镜室</w:t>
            </w:r>
          </w:p>
        </w:tc>
      </w:tr>
    </w:tbl>
    <w:p w14:paraId="73C4777A">
      <w:pPr>
        <w:adjustRightInd w:val="0"/>
        <w:snapToGrid w:val="0"/>
        <w:spacing w:line="500" w:lineRule="exact"/>
        <w:ind w:firstLine="720" w:firstLineChars="300"/>
        <w:rPr>
          <w:rFonts w:ascii="宋体" w:hAnsi="宋体" w:cs="宋体"/>
          <w:color w:val="000000"/>
          <w:sz w:val="24"/>
          <w:szCs w:val="24"/>
        </w:rPr>
      </w:pPr>
      <w:r>
        <w:rPr>
          <w:rFonts w:hint="eastAsia" w:ascii="宋体" w:hAnsi="宋体" w:cs="宋体"/>
          <w:color w:val="000000"/>
          <w:sz w:val="24"/>
          <w:szCs w:val="24"/>
        </w:rPr>
        <w:t>备注：以上数量为</w:t>
      </w:r>
      <w:r>
        <w:rPr>
          <w:rFonts w:hint="eastAsia" w:ascii="宋体" w:hAnsi="宋体" w:cs="宋体"/>
          <w:color w:val="000000"/>
          <w:sz w:val="24"/>
          <w:szCs w:val="24"/>
          <w:lang w:val="en-US" w:eastAsia="zh-CN"/>
        </w:rPr>
        <w:t>2024年10月1日至2025年9月30日的</w:t>
      </w:r>
      <w:r>
        <w:rPr>
          <w:rFonts w:hint="eastAsia" w:ascii="宋体" w:hAnsi="宋体" w:cs="宋体"/>
          <w:color w:val="000000"/>
          <w:sz w:val="24"/>
          <w:szCs w:val="24"/>
        </w:rPr>
        <w:t>配送量，实际配送数量以采购人的需求为准。</w:t>
      </w:r>
    </w:p>
    <w:p w14:paraId="11C48133">
      <w:pPr>
        <w:widowControl/>
        <w:spacing w:line="500" w:lineRule="exact"/>
        <w:jc w:val="left"/>
        <w:rPr>
          <w:rFonts w:asciiTheme="minorEastAsia" w:hAnsiTheme="minorEastAsia" w:cstheme="minorEastAsia"/>
          <w:b/>
          <w:bCs/>
          <w:kern w:val="0"/>
          <w:sz w:val="28"/>
          <w:szCs w:val="28"/>
        </w:rPr>
      </w:pPr>
      <w:r>
        <w:rPr>
          <w:rFonts w:hint="eastAsia" w:asciiTheme="minorEastAsia" w:hAnsiTheme="minorEastAsia" w:cstheme="minorEastAsia"/>
          <w:b/>
          <w:bCs/>
          <w:kern w:val="0"/>
          <w:sz w:val="28"/>
          <w:szCs w:val="28"/>
        </w:rPr>
        <w:t>三、质量要求</w:t>
      </w:r>
    </w:p>
    <w:p w14:paraId="3BF8C948">
      <w:pPr>
        <w:adjustRightInd w:val="0"/>
        <w:snapToGrid w:val="0"/>
        <w:spacing w:line="500" w:lineRule="exact"/>
        <w:rPr>
          <w:rFonts w:ascii="宋体" w:hAnsi="宋体" w:cs="宋体"/>
          <w:color w:val="000000"/>
          <w:sz w:val="24"/>
          <w:szCs w:val="24"/>
        </w:rPr>
      </w:pPr>
      <w:r>
        <w:rPr>
          <w:rFonts w:hint="eastAsia" w:ascii="宋体" w:hAnsi="宋体" w:cs="宋体"/>
          <w:color w:val="000000"/>
          <w:sz w:val="24"/>
          <w:szCs w:val="24"/>
        </w:rPr>
        <w:t>1、医用氧质量符合《中华人民共和国药典 （2020年版）“氧”》的要求，其他气体符合国家相关质量标准，严禁提供假冒伪劣产品，严禁用工业氧气冒充医用氧气。</w:t>
      </w:r>
    </w:p>
    <w:p w14:paraId="58473D15">
      <w:pPr>
        <w:adjustRightInd w:val="0"/>
        <w:snapToGrid w:val="0"/>
        <w:spacing w:line="500" w:lineRule="exact"/>
        <w:rPr>
          <w:rFonts w:ascii="宋体" w:hAnsi="宋体" w:cs="宋体"/>
          <w:color w:val="000000"/>
          <w:sz w:val="24"/>
          <w:szCs w:val="24"/>
        </w:rPr>
      </w:pPr>
      <w:r>
        <w:rPr>
          <w:rFonts w:hint="eastAsia" w:ascii="宋体" w:hAnsi="宋体" w:cs="宋体"/>
          <w:color w:val="000000"/>
          <w:sz w:val="24"/>
          <w:szCs w:val="24"/>
        </w:rPr>
        <w:t>2、 医用氧须具备省药监部门核发的有效的《药品注册批件》或《药品再注册批件》，上面标明药品通用名称：“氧”不限规格品种。</w:t>
      </w:r>
    </w:p>
    <w:p w14:paraId="7A016820">
      <w:pPr>
        <w:adjustRightInd w:val="0"/>
        <w:snapToGrid w:val="0"/>
        <w:spacing w:line="500" w:lineRule="exact"/>
        <w:rPr>
          <w:rFonts w:ascii="宋体" w:hAnsi="宋体" w:cs="宋体"/>
          <w:color w:val="000000"/>
          <w:sz w:val="24"/>
          <w:szCs w:val="24"/>
        </w:rPr>
      </w:pPr>
      <w:r>
        <w:rPr>
          <w:rFonts w:ascii="宋体" w:hAnsi="宋体" w:cs="宋体"/>
          <w:color w:val="000000"/>
          <w:sz w:val="24"/>
          <w:szCs w:val="24"/>
        </w:rPr>
        <w:t>3、高纯气体具有生产厂家的化验报告单和合格证，甲方有权每季度随机进行一次抽查送检，检测不合格的，按违约处理，检测费用由乙方承担。</w:t>
      </w:r>
    </w:p>
    <w:p w14:paraId="7E749793">
      <w:pPr>
        <w:adjustRightInd w:val="0"/>
        <w:snapToGrid w:val="0"/>
        <w:spacing w:line="500" w:lineRule="exact"/>
        <w:rPr>
          <w:rFonts w:ascii="宋体" w:hAnsi="宋体" w:cs="宋体"/>
          <w:color w:val="000000"/>
          <w:sz w:val="24"/>
          <w:szCs w:val="24"/>
        </w:rPr>
      </w:pPr>
      <w:r>
        <w:rPr>
          <w:rFonts w:ascii="宋体" w:hAnsi="宋体" w:cs="宋体"/>
          <w:color w:val="000000"/>
          <w:sz w:val="24"/>
          <w:szCs w:val="24"/>
        </w:rPr>
        <w:t>4、每批产品有与货物批号相符的质量检验报告单和合格证;产品合格证标识上应具有以下内容:产品名称、规格、生产日期、生产批号、产品数量和纯度指标(%)、执行标准代号、生产企业名称、电话等。</w:t>
      </w:r>
    </w:p>
    <w:p w14:paraId="04E11A1C">
      <w:pPr>
        <w:adjustRightInd w:val="0"/>
        <w:snapToGrid w:val="0"/>
        <w:spacing w:line="500" w:lineRule="exact"/>
        <w:rPr>
          <w:rFonts w:ascii="宋体" w:hAnsi="宋体" w:cs="宋体"/>
          <w:color w:val="000000"/>
          <w:sz w:val="24"/>
          <w:szCs w:val="24"/>
        </w:rPr>
      </w:pPr>
      <w:r>
        <w:rPr>
          <w:rFonts w:ascii="宋体" w:hAnsi="宋体" w:cs="宋体"/>
          <w:color w:val="000000"/>
          <w:sz w:val="24"/>
          <w:szCs w:val="24"/>
        </w:rPr>
        <w:t>5、</w:t>
      </w:r>
      <w:r>
        <w:rPr>
          <w:rFonts w:hint="eastAsia" w:ascii="宋体" w:hAnsi="宋体" w:cs="宋体"/>
          <w:color w:val="000000"/>
          <w:sz w:val="24"/>
          <w:szCs w:val="24"/>
        </w:rPr>
        <w:t>服务商</w:t>
      </w:r>
      <w:r>
        <w:rPr>
          <w:rFonts w:ascii="宋体" w:hAnsi="宋体" w:cs="宋体"/>
          <w:color w:val="000000"/>
          <w:sz w:val="24"/>
          <w:szCs w:val="24"/>
        </w:rPr>
        <w:t>提供的盛装气体的钢瓶应符合国家安全质量要求，有检定合格钢印标志和检验机构出具的检验合格报告</w:t>
      </w:r>
      <w:r>
        <w:rPr>
          <w:rFonts w:hint="eastAsia" w:ascii="宋体" w:hAnsi="宋体" w:cs="宋体"/>
          <w:color w:val="000000"/>
          <w:sz w:val="24"/>
          <w:szCs w:val="24"/>
        </w:rPr>
        <w:t>，</w:t>
      </w:r>
      <w:r>
        <w:rPr>
          <w:rFonts w:ascii="宋体" w:hAnsi="宋体" w:cs="宋体"/>
          <w:color w:val="000000"/>
          <w:sz w:val="24"/>
          <w:szCs w:val="24"/>
        </w:rPr>
        <w:t>在检定合格有效期内。</w:t>
      </w:r>
    </w:p>
    <w:p w14:paraId="5CF8D888">
      <w:pPr>
        <w:adjustRightInd w:val="0"/>
        <w:snapToGrid w:val="0"/>
        <w:spacing w:line="500" w:lineRule="exact"/>
        <w:rPr>
          <w:rFonts w:ascii="宋体" w:hAnsi="宋体" w:cs="宋体"/>
          <w:color w:val="000000"/>
          <w:sz w:val="24"/>
          <w:szCs w:val="24"/>
        </w:rPr>
      </w:pPr>
      <w:r>
        <w:rPr>
          <w:rFonts w:ascii="宋体" w:hAnsi="宋体" w:cs="宋体"/>
          <w:color w:val="000000"/>
          <w:sz w:val="24"/>
          <w:szCs w:val="24"/>
        </w:rPr>
        <w:t>6、钢瓶的使用种类符合国家技术规范要求，是有国家钢瓶生产许可证的厂家生产的产品。</w:t>
      </w:r>
    </w:p>
    <w:p w14:paraId="594E2FDE">
      <w:pPr>
        <w:adjustRightInd w:val="0"/>
        <w:snapToGrid w:val="0"/>
        <w:spacing w:line="500" w:lineRule="exact"/>
        <w:rPr>
          <w:rFonts w:asciiTheme="minorEastAsia" w:hAnsiTheme="minorEastAsia" w:cstheme="minorEastAsia"/>
          <w:b/>
          <w:bCs/>
          <w:kern w:val="0"/>
          <w:sz w:val="28"/>
          <w:szCs w:val="28"/>
        </w:rPr>
      </w:pPr>
      <w:r>
        <w:rPr>
          <w:rFonts w:ascii="宋体" w:hAnsi="宋体" w:cs="宋体"/>
          <w:color w:val="000000"/>
          <w:sz w:val="24"/>
          <w:szCs w:val="24"/>
        </w:rPr>
        <w:t>7、钢瓶颜色和标识符合国家规定，并且标识清晰、齐全，瓶体洁净、附件完好。</w:t>
      </w:r>
    </w:p>
    <w:p w14:paraId="6928C024">
      <w:pPr>
        <w:widowControl/>
        <w:spacing w:line="500" w:lineRule="exact"/>
        <w:jc w:val="left"/>
        <w:rPr>
          <w:rFonts w:asciiTheme="minorEastAsia" w:hAnsiTheme="minorEastAsia" w:cstheme="minorEastAsia"/>
          <w:b/>
          <w:bCs/>
          <w:kern w:val="0"/>
          <w:sz w:val="28"/>
          <w:szCs w:val="28"/>
        </w:rPr>
      </w:pPr>
      <w:r>
        <w:rPr>
          <w:rFonts w:hint="eastAsia" w:asciiTheme="minorEastAsia" w:hAnsiTheme="minorEastAsia" w:cstheme="minorEastAsia"/>
          <w:b/>
          <w:bCs/>
          <w:kern w:val="0"/>
          <w:sz w:val="28"/>
          <w:szCs w:val="28"/>
        </w:rPr>
        <w:t>四、</w:t>
      </w:r>
      <w:r>
        <w:rPr>
          <w:rFonts w:hint="eastAsia" w:ascii="宋体" w:hAnsi="宋体" w:cs="宋体"/>
          <w:b/>
          <w:color w:val="000000"/>
          <w:sz w:val="28"/>
          <w:szCs w:val="28"/>
        </w:rPr>
        <w:t>服务商资质</w:t>
      </w:r>
      <w:r>
        <w:rPr>
          <w:rFonts w:hint="eastAsia" w:asciiTheme="minorEastAsia" w:hAnsiTheme="minorEastAsia" w:cstheme="minorEastAsia"/>
          <w:b/>
          <w:bCs/>
          <w:kern w:val="0"/>
          <w:sz w:val="28"/>
          <w:szCs w:val="28"/>
        </w:rPr>
        <w:t>要求</w:t>
      </w:r>
    </w:p>
    <w:p w14:paraId="0B381FA9">
      <w:pPr>
        <w:adjustRightInd w:val="0"/>
        <w:snapToGrid w:val="0"/>
        <w:spacing w:line="500" w:lineRule="exact"/>
        <w:rPr>
          <w:rFonts w:ascii="宋体" w:hAnsi="宋体" w:cs="宋体"/>
          <w:color w:val="000000"/>
          <w:sz w:val="24"/>
          <w:szCs w:val="24"/>
        </w:rPr>
      </w:pPr>
      <w:r>
        <w:rPr>
          <w:rFonts w:hint="eastAsia" w:ascii="宋体" w:hAnsi="宋体" w:cs="宋体"/>
          <w:color w:val="000000"/>
          <w:sz w:val="24"/>
          <w:szCs w:val="24"/>
        </w:rPr>
        <w:t>1、服务商须具备有效的省药监部门核发的《药品生产许可证》，范围为医用氧或医用氧分装。</w:t>
      </w:r>
    </w:p>
    <w:p w14:paraId="65CFA282">
      <w:pPr>
        <w:adjustRightInd w:val="0"/>
        <w:snapToGrid w:val="0"/>
        <w:spacing w:line="500" w:lineRule="exact"/>
        <w:rPr>
          <w:rFonts w:ascii="宋体" w:hAnsi="宋体" w:cs="宋体"/>
          <w:color w:val="000000"/>
          <w:sz w:val="24"/>
          <w:szCs w:val="24"/>
        </w:rPr>
      </w:pPr>
      <w:r>
        <w:rPr>
          <w:rFonts w:hint="eastAsia" w:ascii="宋体" w:hAnsi="宋体" w:cs="宋体"/>
          <w:color w:val="000000"/>
          <w:sz w:val="24"/>
          <w:szCs w:val="24"/>
        </w:rPr>
        <w:t>2、服务商须具备省市应急管理部门核发的有效的《危险化学品生产许可证》或《危险化学品经营许可证》，许可范围包括氧、氮、二氧化碳、乙炔等。</w:t>
      </w:r>
    </w:p>
    <w:p w14:paraId="3CF7F29C">
      <w:pPr>
        <w:adjustRightInd w:val="0"/>
        <w:snapToGrid w:val="0"/>
        <w:spacing w:line="500" w:lineRule="exact"/>
        <w:rPr>
          <w:rFonts w:ascii="宋体" w:hAnsi="宋体" w:cs="宋体"/>
          <w:color w:val="000000"/>
          <w:sz w:val="24"/>
          <w:szCs w:val="24"/>
        </w:rPr>
      </w:pPr>
      <w:r>
        <w:rPr>
          <w:rFonts w:ascii="宋体" w:hAnsi="宋体" w:cs="宋体"/>
          <w:color w:val="000000"/>
          <w:sz w:val="24"/>
          <w:szCs w:val="24"/>
        </w:rPr>
        <w:t>3</w:t>
      </w:r>
      <w:r>
        <w:rPr>
          <w:rFonts w:hint="eastAsia" w:ascii="宋体" w:hAnsi="宋体" w:cs="宋体"/>
          <w:color w:val="000000"/>
          <w:sz w:val="24"/>
          <w:szCs w:val="24"/>
        </w:rPr>
        <w:t>、服务商须具备交通运输管理部门核发的有效的《道路危险货物运输许可证》或《道路运输经营许可证》，经营范围包含本项目涉及到的危险货物运输。</w:t>
      </w:r>
    </w:p>
    <w:p w14:paraId="78A27259">
      <w:pPr>
        <w:adjustRightInd w:val="0"/>
        <w:snapToGrid w:val="0"/>
        <w:spacing w:line="500" w:lineRule="exact"/>
        <w:rPr>
          <w:rFonts w:ascii="宋体" w:hAnsi="宋体" w:cs="宋体"/>
          <w:color w:val="000000"/>
          <w:sz w:val="24"/>
          <w:szCs w:val="24"/>
        </w:rPr>
      </w:pPr>
      <w:r>
        <w:rPr>
          <w:rFonts w:ascii="宋体" w:hAnsi="宋体" w:cs="宋体"/>
          <w:color w:val="000000"/>
          <w:sz w:val="24"/>
          <w:szCs w:val="24"/>
        </w:rPr>
        <w:t>4</w:t>
      </w:r>
      <w:r>
        <w:rPr>
          <w:rFonts w:hint="eastAsia" w:ascii="宋体" w:hAnsi="宋体" w:cs="宋体"/>
          <w:color w:val="000000"/>
          <w:sz w:val="24"/>
          <w:szCs w:val="24"/>
        </w:rPr>
        <w:t>、服务商具有市场监督部门核发的有效的《移动式压力容器/气瓶充装许可证》许可范围含有“氧的压缩气体和冷冻液化气体气瓶充装”等。</w:t>
      </w:r>
    </w:p>
    <w:p w14:paraId="37902F08">
      <w:pPr>
        <w:adjustRightInd w:val="0"/>
        <w:snapToGrid w:val="0"/>
        <w:spacing w:line="500" w:lineRule="exact"/>
        <w:rPr>
          <w:rFonts w:ascii="宋体" w:hAnsi="宋体" w:cs="宋体"/>
          <w:color w:val="000000"/>
          <w:sz w:val="24"/>
          <w:szCs w:val="24"/>
        </w:rPr>
      </w:pPr>
    </w:p>
    <w:p w14:paraId="0185948B">
      <w:pPr>
        <w:widowControl/>
        <w:spacing w:line="500" w:lineRule="exact"/>
        <w:jc w:val="left"/>
        <w:rPr>
          <w:rFonts w:asciiTheme="minorEastAsia" w:hAnsiTheme="minorEastAsia" w:cstheme="minorEastAsia"/>
          <w:b/>
          <w:bCs/>
          <w:kern w:val="0"/>
          <w:sz w:val="28"/>
          <w:szCs w:val="28"/>
        </w:rPr>
      </w:pPr>
      <w:r>
        <w:rPr>
          <w:rFonts w:hint="eastAsia" w:asciiTheme="minorEastAsia" w:hAnsiTheme="minorEastAsia" w:cstheme="minorEastAsia"/>
          <w:b/>
          <w:bCs/>
          <w:kern w:val="0"/>
          <w:sz w:val="28"/>
          <w:szCs w:val="28"/>
        </w:rPr>
        <w:t>五、配送要求</w:t>
      </w:r>
    </w:p>
    <w:p w14:paraId="4CCF3F1D">
      <w:pPr>
        <w:adjustRightInd w:val="0"/>
        <w:snapToGrid w:val="0"/>
        <w:spacing w:line="500" w:lineRule="exact"/>
        <w:rPr>
          <w:rFonts w:ascii="宋体" w:hAnsi="宋体" w:cs="宋体"/>
          <w:color w:val="000000"/>
          <w:sz w:val="24"/>
          <w:szCs w:val="24"/>
        </w:rPr>
      </w:pPr>
      <w:r>
        <w:rPr>
          <w:rFonts w:hint="eastAsia" w:ascii="宋体" w:hAnsi="宋体" w:cs="宋体"/>
          <w:color w:val="000000"/>
          <w:sz w:val="24"/>
          <w:szCs w:val="24"/>
        </w:rPr>
        <w:t>1、气体配送车辆应持有中山市交通运输局颁发的在有效期内的中山市危险化学品运输通行证（重点车辆标识）以确保医用氧气能够及时运送到位。</w:t>
      </w:r>
    </w:p>
    <w:p w14:paraId="3E2A156B">
      <w:pPr>
        <w:adjustRightInd w:val="0"/>
        <w:snapToGrid w:val="0"/>
        <w:spacing w:line="500" w:lineRule="exact"/>
        <w:rPr>
          <w:rFonts w:ascii="宋体" w:hAnsi="宋体" w:cs="宋体"/>
          <w:color w:val="000000"/>
          <w:sz w:val="24"/>
          <w:szCs w:val="24"/>
        </w:rPr>
      </w:pPr>
      <w:r>
        <w:rPr>
          <w:rFonts w:ascii="宋体" w:hAnsi="宋体" w:cs="宋体"/>
          <w:color w:val="000000"/>
          <w:sz w:val="24"/>
          <w:szCs w:val="24"/>
        </w:rPr>
        <w:t>2</w:t>
      </w:r>
      <w:r>
        <w:rPr>
          <w:rFonts w:hint="eastAsia" w:ascii="宋体" w:hAnsi="宋体" w:cs="宋体"/>
          <w:color w:val="000000"/>
          <w:sz w:val="24"/>
          <w:szCs w:val="24"/>
        </w:rPr>
        <w:t>、</w:t>
      </w:r>
      <w:r>
        <w:rPr>
          <w:rFonts w:hint="eastAsia" w:ascii="宋体" w:hAnsi="宋体" w:cs="宋体"/>
          <w:color w:val="000000"/>
          <w:sz w:val="24"/>
          <w:szCs w:val="24"/>
          <w:lang w:val="en-US" w:eastAsia="zh-CN"/>
        </w:rPr>
        <w:t>服务商需配备一名对接人，在每次配送气体前与采购人联系，确认配送医用气体的种类和数量，</w:t>
      </w:r>
      <w:r>
        <w:rPr>
          <w:rFonts w:hint="eastAsia" w:ascii="宋体" w:hAnsi="宋体" w:cs="宋体"/>
          <w:color w:val="000000"/>
          <w:sz w:val="24"/>
          <w:szCs w:val="24"/>
          <w:lang w:eastAsia="zh-CN"/>
        </w:rPr>
        <w:t>医用气体</w:t>
      </w:r>
      <w:r>
        <w:rPr>
          <w:rFonts w:hint="eastAsia" w:ascii="宋体" w:hAnsi="宋体" w:cs="宋体"/>
          <w:color w:val="000000"/>
          <w:sz w:val="24"/>
          <w:szCs w:val="24"/>
        </w:rPr>
        <w:t>配送周期</w:t>
      </w:r>
      <w:r>
        <w:rPr>
          <w:rFonts w:hint="eastAsia" w:ascii="宋体" w:hAnsi="宋体" w:cs="宋体"/>
          <w:color w:val="000000"/>
          <w:sz w:val="24"/>
          <w:szCs w:val="24"/>
          <w:lang w:eastAsia="zh-CN"/>
        </w:rPr>
        <w:t>约</w:t>
      </w:r>
      <w:r>
        <w:rPr>
          <w:rFonts w:hint="eastAsia" w:ascii="宋体" w:hAnsi="宋体" w:cs="宋体"/>
          <w:color w:val="000000"/>
          <w:sz w:val="24"/>
          <w:szCs w:val="24"/>
        </w:rPr>
        <w:t>为</w:t>
      </w:r>
      <w:r>
        <w:rPr>
          <w:rFonts w:hint="eastAsia" w:ascii="宋体" w:hAnsi="宋体" w:cs="宋体"/>
          <w:color w:val="000000"/>
          <w:sz w:val="24"/>
          <w:szCs w:val="24"/>
          <w:lang w:eastAsia="zh-CN"/>
        </w:rPr>
        <w:t>一个星期一次。</w:t>
      </w:r>
      <w:r>
        <w:rPr>
          <w:rFonts w:hint="eastAsia" w:ascii="宋体" w:hAnsi="宋体" w:cs="宋体"/>
          <w:color w:val="000000"/>
          <w:sz w:val="24"/>
          <w:szCs w:val="24"/>
        </w:rPr>
        <w:t>紧急情况下服务商须提供全天候2</w:t>
      </w:r>
      <w:r>
        <w:rPr>
          <w:rFonts w:ascii="宋体" w:hAnsi="宋体" w:cs="宋体"/>
          <w:color w:val="000000"/>
          <w:sz w:val="24"/>
          <w:szCs w:val="24"/>
        </w:rPr>
        <w:t>4</w:t>
      </w:r>
      <w:r>
        <w:rPr>
          <w:rFonts w:hint="eastAsia" w:ascii="宋体" w:hAnsi="宋体" w:cs="宋体"/>
          <w:color w:val="000000"/>
          <w:sz w:val="24"/>
          <w:szCs w:val="24"/>
        </w:rPr>
        <w:t>小时的配送服务，不分时段、不分节假日</w:t>
      </w:r>
      <w:r>
        <w:rPr>
          <w:rFonts w:hint="eastAsia" w:ascii="宋体" w:hAnsi="宋体" w:cs="宋体"/>
          <w:color w:val="000000"/>
          <w:sz w:val="24"/>
          <w:szCs w:val="24"/>
          <w:lang w:eastAsia="zh-CN"/>
        </w:rPr>
        <w:t>在接到采购人通知后</w:t>
      </w:r>
      <w:r>
        <w:rPr>
          <w:rFonts w:hint="eastAsia" w:ascii="宋体" w:hAnsi="宋体" w:cs="宋体"/>
          <w:color w:val="000000"/>
          <w:sz w:val="24"/>
          <w:szCs w:val="24"/>
        </w:rPr>
        <w:t>4小时内送达，并且 50分钟内提供</w:t>
      </w:r>
      <w:r>
        <w:rPr>
          <w:rFonts w:hint="eastAsia" w:ascii="宋体" w:hAnsi="宋体" w:cs="宋体"/>
          <w:color w:val="000000"/>
          <w:sz w:val="24"/>
          <w:szCs w:val="24"/>
          <w:lang w:eastAsia="zh-CN"/>
        </w:rPr>
        <w:t>医用气体</w:t>
      </w:r>
      <w:r>
        <w:rPr>
          <w:rFonts w:hint="eastAsia" w:ascii="宋体" w:hAnsi="宋体" w:cs="宋体"/>
          <w:color w:val="000000"/>
          <w:sz w:val="24"/>
          <w:szCs w:val="24"/>
        </w:rPr>
        <w:t>，保证</w:t>
      </w:r>
      <w:r>
        <w:rPr>
          <w:rFonts w:hint="eastAsia" w:ascii="宋体" w:hAnsi="宋体" w:cs="宋体"/>
          <w:color w:val="000000"/>
          <w:sz w:val="24"/>
          <w:szCs w:val="24"/>
          <w:lang w:eastAsia="zh-CN"/>
        </w:rPr>
        <w:t>医用气体</w:t>
      </w:r>
      <w:r>
        <w:rPr>
          <w:rFonts w:hint="eastAsia" w:ascii="宋体" w:hAnsi="宋体" w:cs="宋体"/>
          <w:color w:val="000000"/>
          <w:sz w:val="24"/>
          <w:szCs w:val="24"/>
        </w:rPr>
        <w:t>不中断。</w:t>
      </w:r>
    </w:p>
    <w:p w14:paraId="6E73F3F7">
      <w:pPr>
        <w:adjustRightInd w:val="0"/>
        <w:snapToGrid w:val="0"/>
        <w:spacing w:line="500" w:lineRule="exact"/>
        <w:rPr>
          <w:rFonts w:ascii="宋体" w:hAnsi="宋体" w:cs="宋体"/>
          <w:color w:val="000000"/>
          <w:sz w:val="24"/>
          <w:szCs w:val="24"/>
        </w:rPr>
      </w:pPr>
      <w:r>
        <w:rPr>
          <w:rFonts w:hint="eastAsia" w:ascii="宋体" w:hAnsi="宋体" w:cs="宋体"/>
          <w:color w:val="000000"/>
          <w:sz w:val="24"/>
          <w:szCs w:val="24"/>
          <w:lang w:val="en-US" w:eastAsia="zh-CN"/>
        </w:rPr>
        <w:t>4</w:t>
      </w:r>
      <w:r>
        <w:rPr>
          <w:rFonts w:hint="eastAsia" w:ascii="宋体" w:hAnsi="宋体" w:cs="宋体"/>
          <w:color w:val="000000"/>
          <w:sz w:val="24"/>
          <w:szCs w:val="24"/>
        </w:rPr>
        <w:t>、服务商负责气体的运输及装卸，按采购人要求送到院内指定地点，运输过程中的一切责任、事故由中标人负全责。</w:t>
      </w:r>
    </w:p>
    <w:p w14:paraId="043F3213">
      <w:pPr>
        <w:adjustRightInd w:val="0"/>
        <w:snapToGrid w:val="0"/>
        <w:spacing w:line="500" w:lineRule="exact"/>
        <w:rPr>
          <w:rFonts w:ascii="宋体" w:hAnsi="宋体" w:cs="宋体"/>
          <w:color w:val="000000"/>
          <w:sz w:val="24"/>
          <w:szCs w:val="24"/>
        </w:rPr>
      </w:pPr>
    </w:p>
    <w:p w14:paraId="147DEF21">
      <w:pPr>
        <w:widowControl/>
        <w:spacing w:line="500" w:lineRule="exact"/>
        <w:jc w:val="left"/>
        <w:rPr>
          <w:rFonts w:asciiTheme="minorEastAsia" w:hAnsiTheme="minorEastAsia" w:cstheme="minorEastAsia"/>
          <w:b/>
          <w:bCs/>
          <w:kern w:val="0"/>
          <w:sz w:val="28"/>
          <w:szCs w:val="28"/>
        </w:rPr>
      </w:pPr>
      <w:r>
        <w:rPr>
          <w:rFonts w:hint="eastAsia" w:asciiTheme="minorEastAsia" w:hAnsiTheme="minorEastAsia" w:cstheme="minorEastAsia"/>
          <w:b/>
          <w:bCs/>
          <w:kern w:val="0"/>
          <w:sz w:val="28"/>
          <w:szCs w:val="28"/>
        </w:rPr>
        <w:t>六、供气设备服务要求</w:t>
      </w:r>
    </w:p>
    <w:p w14:paraId="1E069A79">
      <w:pPr>
        <w:adjustRightInd w:val="0"/>
        <w:snapToGrid w:val="0"/>
        <w:spacing w:line="500" w:lineRule="exact"/>
        <w:rPr>
          <w:rFonts w:hint="eastAsia" w:ascii="宋体" w:hAnsi="宋体" w:cs="宋体" w:eastAsiaTheme="minorEastAsia"/>
          <w:color w:val="000000"/>
          <w:sz w:val="24"/>
          <w:szCs w:val="24"/>
          <w:lang w:eastAsia="zh-CN"/>
        </w:rPr>
      </w:pPr>
      <w:r>
        <w:rPr>
          <w:rFonts w:ascii="宋体" w:hAnsi="宋体" w:cs="宋体"/>
          <w:color w:val="000000"/>
          <w:sz w:val="24"/>
          <w:szCs w:val="24"/>
        </w:rPr>
        <w:t>1</w:t>
      </w:r>
      <w:r>
        <w:rPr>
          <w:rFonts w:hint="eastAsia" w:ascii="宋体" w:hAnsi="宋体" w:cs="宋体"/>
          <w:color w:val="000000"/>
          <w:sz w:val="24"/>
          <w:szCs w:val="24"/>
        </w:rPr>
        <w:t>、服务商须免费提供</w:t>
      </w:r>
      <w:r>
        <w:rPr>
          <w:rFonts w:hint="eastAsia" w:ascii="宋体" w:hAnsi="宋体" w:cs="宋体"/>
          <w:color w:val="000000"/>
          <w:sz w:val="24"/>
          <w:szCs w:val="24"/>
          <w:lang w:eastAsia="zh-CN"/>
        </w:rPr>
        <w:t>医用氧气、二氧化碳</w:t>
      </w:r>
      <w:r>
        <w:rPr>
          <w:rFonts w:ascii="宋体" w:hAnsi="宋体" w:cs="宋体"/>
          <w:color w:val="000000"/>
          <w:sz w:val="24"/>
          <w:szCs w:val="24"/>
        </w:rPr>
        <w:t>通用钢瓶给</w:t>
      </w:r>
      <w:r>
        <w:rPr>
          <w:rFonts w:hint="eastAsia" w:ascii="宋体" w:hAnsi="宋体" w:cs="宋体"/>
          <w:color w:val="000000"/>
          <w:sz w:val="24"/>
          <w:szCs w:val="24"/>
        </w:rPr>
        <w:t>采购人</w:t>
      </w:r>
      <w:r>
        <w:rPr>
          <w:rFonts w:ascii="宋体" w:hAnsi="宋体" w:cs="宋体"/>
          <w:color w:val="000000"/>
          <w:sz w:val="24"/>
          <w:szCs w:val="24"/>
        </w:rPr>
        <w:t>使用，钢瓶由服务商负责检定、维护、易损件更换，采购人不再支付任何费用。</w:t>
      </w:r>
      <w:r>
        <w:rPr>
          <w:rFonts w:hint="eastAsia" w:ascii="宋体" w:hAnsi="宋体" w:cs="宋体"/>
          <w:color w:val="000000"/>
          <w:sz w:val="24"/>
          <w:szCs w:val="24"/>
          <w:lang w:eastAsia="zh-CN"/>
        </w:rPr>
        <w:t>灌装液氮运送到采购人三楼皮肤科后换装到采购人液氮罐内，并保证灌装后的液氮罐为满罐。</w:t>
      </w:r>
    </w:p>
    <w:p w14:paraId="4E74D426">
      <w:pPr>
        <w:adjustRightInd w:val="0"/>
        <w:snapToGrid w:val="0"/>
        <w:spacing w:line="500" w:lineRule="exact"/>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2、6升医用氧需配备三个压力表供临床科室使用，压力表由服务商负责检定、维护、易损件更换，采购人不再支付任何费用。</w:t>
      </w:r>
    </w:p>
    <w:p w14:paraId="79476569">
      <w:pPr>
        <w:adjustRightInd w:val="0"/>
        <w:snapToGrid w:val="0"/>
        <w:spacing w:line="50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3、采购人2.4升、6升、10升及液氮供气设备规格型号需参照附件中的照片，保证气瓶能顺利接入采购人医疗设备并正常使用。</w:t>
      </w:r>
    </w:p>
    <w:p w14:paraId="46BFFC39">
      <w:pPr>
        <w:adjustRightInd w:val="0"/>
        <w:snapToGrid w:val="0"/>
        <w:spacing w:line="500" w:lineRule="exact"/>
        <w:rPr>
          <w:rFonts w:ascii="宋体" w:hAnsi="宋体" w:cs="宋体"/>
          <w:color w:val="000000"/>
          <w:sz w:val="24"/>
          <w:szCs w:val="24"/>
        </w:rPr>
      </w:pPr>
      <w:r>
        <w:rPr>
          <w:rFonts w:hint="eastAsia" w:ascii="宋体" w:hAnsi="宋体" w:cs="宋体"/>
          <w:color w:val="000000"/>
          <w:sz w:val="24"/>
          <w:szCs w:val="24"/>
          <w:lang w:val="en-US" w:eastAsia="zh-CN"/>
        </w:rPr>
        <w:t>4、</w:t>
      </w:r>
      <w:r>
        <w:rPr>
          <w:rFonts w:hint="eastAsia" w:ascii="宋体" w:hAnsi="宋体" w:cs="宋体"/>
          <w:color w:val="000000"/>
          <w:sz w:val="24"/>
          <w:szCs w:val="24"/>
        </w:rPr>
        <w:t>服务商负责为采购人制订医用气体使用和供气设备操作规程</w:t>
      </w:r>
      <w:r>
        <w:rPr>
          <w:rFonts w:ascii="宋体" w:hAnsi="宋体" w:cs="宋体"/>
          <w:color w:val="000000"/>
          <w:sz w:val="24"/>
          <w:szCs w:val="24"/>
        </w:rPr>
        <w:t>,协助</w:t>
      </w:r>
      <w:r>
        <w:rPr>
          <w:rFonts w:hint="eastAsia" w:ascii="宋体" w:hAnsi="宋体" w:cs="宋体"/>
          <w:color w:val="000000"/>
          <w:sz w:val="24"/>
          <w:szCs w:val="24"/>
        </w:rPr>
        <w:t>采购人</w:t>
      </w:r>
      <w:r>
        <w:rPr>
          <w:rFonts w:ascii="宋体" w:hAnsi="宋体" w:cs="宋体"/>
          <w:color w:val="000000"/>
          <w:sz w:val="24"/>
          <w:szCs w:val="24"/>
        </w:rPr>
        <w:t>对医用气体实行规范管理。</w:t>
      </w:r>
    </w:p>
    <w:p w14:paraId="7CB3BFBE">
      <w:pPr>
        <w:adjustRightInd w:val="0"/>
        <w:snapToGrid w:val="0"/>
        <w:spacing w:line="500" w:lineRule="exact"/>
        <w:rPr>
          <w:rFonts w:ascii="宋体" w:hAnsi="宋体" w:cs="宋体"/>
          <w:color w:val="000000"/>
          <w:sz w:val="24"/>
          <w:szCs w:val="24"/>
        </w:rPr>
      </w:pPr>
    </w:p>
    <w:p w14:paraId="3133FF0A">
      <w:pPr>
        <w:widowControl/>
        <w:spacing w:line="500" w:lineRule="exact"/>
        <w:jc w:val="left"/>
        <w:rPr>
          <w:rFonts w:asciiTheme="minorEastAsia" w:hAnsiTheme="minorEastAsia" w:cstheme="minorEastAsia"/>
          <w:b/>
          <w:bCs/>
          <w:kern w:val="0"/>
          <w:sz w:val="28"/>
          <w:szCs w:val="28"/>
        </w:rPr>
      </w:pPr>
      <w:r>
        <w:rPr>
          <w:rFonts w:hint="eastAsia" w:asciiTheme="minorEastAsia" w:hAnsiTheme="minorEastAsia" w:cstheme="minorEastAsia"/>
          <w:b/>
          <w:bCs/>
          <w:kern w:val="0"/>
          <w:sz w:val="28"/>
          <w:szCs w:val="28"/>
        </w:rPr>
        <w:t>七、违约责任</w:t>
      </w:r>
    </w:p>
    <w:p w14:paraId="3CFF00C8">
      <w:pPr>
        <w:adjustRightInd w:val="0"/>
        <w:snapToGrid w:val="0"/>
        <w:spacing w:line="500" w:lineRule="exact"/>
        <w:rPr>
          <w:rFonts w:ascii="宋体" w:hAnsi="宋体" w:cs="宋体"/>
          <w:color w:val="000000"/>
          <w:sz w:val="24"/>
          <w:szCs w:val="24"/>
        </w:rPr>
      </w:pPr>
      <w:r>
        <w:rPr>
          <w:rFonts w:ascii="宋体" w:hAnsi="宋体" w:cs="宋体"/>
          <w:color w:val="000000"/>
          <w:sz w:val="24"/>
          <w:szCs w:val="24"/>
        </w:rPr>
        <w:t>1</w:t>
      </w:r>
      <w:r>
        <w:rPr>
          <w:rFonts w:hint="eastAsia" w:ascii="宋体" w:hAnsi="宋体" w:cs="宋体"/>
          <w:color w:val="000000"/>
          <w:sz w:val="24"/>
          <w:szCs w:val="24"/>
        </w:rPr>
        <w:t>、</w:t>
      </w:r>
      <w:r>
        <w:rPr>
          <w:rFonts w:ascii="宋体" w:hAnsi="宋体" w:cs="宋体"/>
          <w:color w:val="000000"/>
          <w:sz w:val="24"/>
          <w:szCs w:val="24"/>
        </w:rPr>
        <w:t>服务商</w:t>
      </w:r>
      <w:r>
        <w:rPr>
          <w:rFonts w:hint="eastAsia" w:ascii="宋体" w:hAnsi="宋体" w:cs="宋体"/>
          <w:color w:val="000000"/>
          <w:sz w:val="24"/>
          <w:szCs w:val="24"/>
        </w:rPr>
        <w:t>配送</w:t>
      </w:r>
      <w:r>
        <w:rPr>
          <w:rFonts w:ascii="宋体" w:hAnsi="宋体" w:cs="宋体"/>
          <w:color w:val="000000"/>
          <w:sz w:val="24"/>
          <w:szCs w:val="24"/>
        </w:rPr>
        <w:t>的货物不符合合同规定的，采购人有权拒收，服务商须向采购人支付该批货物金额的10%的违约金,同样情况出现累计达三次的，采购人有权单方面解除合同。</w:t>
      </w:r>
    </w:p>
    <w:p w14:paraId="1E906BDA">
      <w:pPr>
        <w:adjustRightInd w:val="0"/>
        <w:snapToGrid w:val="0"/>
        <w:spacing w:line="500" w:lineRule="exact"/>
        <w:rPr>
          <w:rFonts w:ascii="宋体" w:hAnsi="宋体" w:cs="宋体"/>
          <w:color w:val="000000"/>
          <w:sz w:val="24"/>
          <w:szCs w:val="24"/>
        </w:rPr>
      </w:pPr>
      <w:r>
        <w:rPr>
          <w:rFonts w:hint="eastAsia" w:ascii="宋体" w:hAnsi="宋体" w:cs="宋体"/>
          <w:color w:val="000000"/>
          <w:sz w:val="24"/>
          <w:szCs w:val="24"/>
          <w:lang w:val="en-US" w:eastAsia="zh-CN"/>
        </w:rPr>
        <w:t>2</w:t>
      </w:r>
      <w:r>
        <w:rPr>
          <w:rFonts w:hint="eastAsia" w:ascii="宋体" w:hAnsi="宋体" w:cs="宋体"/>
          <w:color w:val="000000"/>
          <w:sz w:val="24"/>
          <w:szCs w:val="24"/>
        </w:rPr>
        <w:t>、</w:t>
      </w:r>
      <w:r>
        <w:rPr>
          <w:rFonts w:ascii="宋体" w:hAnsi="宋体" w:cs="宋体"/>
          <w:color w:val="000000"/>
          <w:sz w:val="24"/>
          <w:szCs w:val="24"/>
        </w:rPr>
        <w:t>气体在充装</w:t>
      </w:r>
      <w:r>
        <w:rPr>
          <w:rFonts w:hint="eastAsia" w:ascii="宋体" w:hAnsi="宋体" w:cs="宋体"/>
          <w:color w:val="000000"/>
          <w:sz w:val="24"/>
          <w:szCs w:val="24"/>
        </w:rPr>
        <w:t>、</w:t>
      </w:r>
      <w:r>
        <w:rPr>
          <w:rFonts w:ascii="宋体" w:hAnsi="宋体" w:cs="宋体"/>
          <w:color w:val="000000"/>
          <w:sz w:val="24"/>
          <w:szCs w:val="24"/>
        </w:rPr>
        <w:t>配送，包括设备无及时保养、年审导致的事故，由此造成的一切责任和损失由服务商承担，且采购人有权单方面解除合同。</w:t>
      </w:r>
    </w:p>
    <w:p w14:paraId="597DE4F9">
      <w:pPr>
        <w:adjustRightInd w:val="0"/>
        <w:snapToGrid w:val="0"/>
        <w:spacing w:line="500" w:lineRule="exact"/>
        <w:rPr>
          <w:rFonts w:ascii="宋体" w:hAnsi="宋体" w:cs="宋体"/>
          <w:color w:val="000000"/>
          <w:sz w:val="24"/>
          <w:szCs w:val="24"/>
        </w:rPr>
      </w:pPr>
      <w:r>
        <w:rPr>
          <w:rFonts w:hint="eastAsia" w:ascii="宋体" w:hAnsi="宋体" w:cs="宋体"/>
          <w:color w:val="000000"/>
          <w:sz w:val="24"/>
          <w:szCs w:val="24"/>
          <w:lang w:val="en-US" w:eastAsia="zh-CN"/>
        </w:rPr>
        <w:t>3、</w:t>
      </w:r>
      <w:r>
        <w:rPr>
          <w:rFonts w:ascii="宋体" w:hAnsi="宋体" w:cs="宋体"/>
          <w:color w:val="000000"/>
          <w:sz w:val="24"/>
          <w:szCs w:val="24"/>
        </w:rPr>
        <w:t>服务商提供的货物须符合国家有关安全标准，如通过验收且采购人已付货款的，服务商须退回该批货物货款，并承担因供货质量问题给采购人造成的损失，且采购人有权单方面解除合同，由此造成的一切损失由服务商承担。</w:t>
      </w:r>
    </w:p>
    <w:p w14:paraId="529B9E59">
      <w:pPr>
        <w:adjustRightInd w:val="0"/>
        <w:snapToGrid w:val="0"/>
        <w:spacing w:line="500" w:lineRule="exact"/>
        <w:rPr>
          <w:rFonts w:ascii="宋体" w:hAnsi="宋体" w:cs="宋体"/>
          <w:color w:val="000000"/>
          <w:sz w:val="24"/>
          <w:szCs w:val="24"/>
        </w:rPr>
      </w:pPr>
      <w:r>
        <w:rPr>
          <w:rFonts w:hint="eastAsia" w:ascii="宋体" w:hAnsi="宋体" w:cs="宋体"/>
          <w:color w:val="000000"/>
          <w:sz w:val="24"/>
          <w:szCs w:val="24"/>
          <w:lang w:val="en-US" w:eastAsia="zh-CN"/>
        </w:rPr>
        <w:t>4、如采购人在临时紧急情况下要求</w:t>
      </w:r>
      <w:r>
        <w:rPr>
          <w:rFonts w:hint="eastAsia" w:ascii="宋体" w:hAnsi="宋体" w:cs="宋体"/>
          <w:color w:val="000000"/>
          <w:sz w:val="24"/>
          <w:szCs w:val="24"/>
        </w:rPr>
        <w:t>服务商</w:t>
      </w:r>
      <w:r>
        <w:rPr>
          <w:rFonts w:hint="eastAsia" w:ascii="宋体" w:hAnsi="宋体" w:cs="宋体"/>
          <w:color w:val="000000"/>
          <w:sz w:val="24"/>
          <w:szCs w:val="24"/>
          <w:lang w:eastAsia="zh-CN"/>
        </w:rPr>
        <w:t>进行配送，供应商</w:t>
      </w:r>
      <w:r>
        <w:rPr>
          <w:rFonts w:ascii="宋体" w:hAnsi="宋体" w:cs="宋体"/>
          <w:color w:val="000000"/>
          <w:sz w:val="24"/>
          <w:szCs w:val="24"/>
        </w:rPr>
        <w:t>未能按时按质按量完成</w:t>
      </w:r>
      <w:r>
        <w:rPr>
          <w:rFonts w:hint="eastAsia" w:ascii="宋体" w:hAnsi="宋体" w:cs="宋体"/>
          <w:color w:val="000000"/>
          <w:sz w:val="24"/>
          <w:szCs w:val="24"/>
        </w:rPr>
        <w:t>配送服务</w:t>
      </w:r>
      <w:r>
        <w:rPr>
          <w:rFonts w:ascii="宋体" w:hAnsi="宋体" w:cs="宋体"/>
          <w:color w:val="000000"/>
          <w:sz w:val="24"/>
          <w:szCs w:val="24"/>
        </w:rPr>
        <w:t>的，每拖延一天，须向采购人支付拖欠货物金额的0.5%的违约金。服务商逾期超过二十天的，则向采购人支付拖欠货物金额的10%的违约金。超过合同规定的</w:t>
      </w:r>
      <w:r>
        <w:rPr>
          <w:rFonts w:hint="eastAsia" w:ascii="宋体" w:hAnsi="宋体" w:cs="宋体"/>
          <w:color w:val="000000"/>
          <w:sz w:val="24"/>
          <w:szCs w:val="24"/>
        </w:rPr>
        <w:t>配送</w:t>
      </w:r>
      <w:r>
        <w:rPr>
          <w:rFonts w:ascii="宋体" w:hAnsi="宋体" w:cs="宋体"/>
          <w:color w:val="000000"/>
          <w:sz w:val="24"/>
          <w:szCs w:val="24"/>
        </w:rPr>
        <w:t>时间30天以上，采购人有权单方面解除合同，由此造成的一切损失由服务商承担。</w:t>
      </w:r>
    </w:p>
    <w:p w14:paraId="664DA034">
      <w:pPr>
        <w:widowControl/>
        <w:spacing w:line="500" w:lineRule="exact"/>
        <w:jc w:val="left"/>
        <w:rPr>
          <w:rFonts w:asciiTheme="minorEastAsia" w:hAnsiTheme="minorEastAsia" w:cstheme="minorEastAsia"/>
          <w:b/>
          <w:bCs/>
          <w:kern w:val="0"/>
          <w:sz w:val="28"/>
          <w:szCs w:val="28"/>
        </w:rPr>
      </w:pPr>
    </w:p>
    <w:p w14:paraId="72DDA752">
      <w:pPr>
        <w:widowControl/>
        <w:spacing w:line="500" w:lineRule="exact"/>
        <w:jc w:val="left"/>
        <w:rPr>
          <w:rFonts w:asciiTheme="minorEastAsia" w:hAnsiTheme="minorEastAsia" w:cstheme="minorEastAsia"/>
          <w:b/>
          <w:bCs/>
          <w:kern w:val="0"/>
          <w:sz w:val="28"/>
          <w:szCs w:val="28"/>
        </w:rPr>
      </w:pPr>
      <w:r>
        <w:rPr>
          <w:rFonts w:hint="eastAsia" w:asciiTheme="minorEastAsia" w:hAnsiTheme="minorEastAsia" w:cstheme="minorEastAsia"/>
          <w:b/>
          <w:bCs/>
          <w:kern w:val="0"/>
          <w:sz w:val="28"/>
          <w:szCs w:val="28"/>
        </w:rPr>
        <w:t>八、验收与结算</w:t>
      </w:r>
    </w:p>
    <w:p w14:paraId="21A5945E">
      <w:pPr>
        <w:adjustRightInd w:val="0"/>
        <w:snapToGrid w:val="0"/>
        <w:spacing w:line="500" w:lineRule="exact"/>
        <w:rPr>
          <w:rFonts w:hint="eastAsia" w:ascii="宋体" w:hAnsi="宋体" w:cs="宋体" w:eastAsiaTheme="minorEastAsia"/>
          <w:color w:val="000000"/>
          <w:sz w:val="24"/>
          <w:szCs w:val="24"/>
          <w:lang w:eastAsia="zh-CN"/>
        </w:rPr>
      </w:pPr>
      <w:r>
        <w:rPr>
          <w:rFonts w:hint="eastAsia" w:ascii="宋体" w:hAnsi="宋体" w:cs="宋体"/>
          <w:color w:val="000000"/>
          <w:sz w:val="24"/>
          <w:szCs w:val="24"/>
        </w:rPr>
        <w:t>1、货物验收时，服务商须提供送货单、质量检测报告等相应资料。</w:t>
      </w:r>
      <w:r>
        <w:rPr>
          <w:rFonts w:hint="eastAsia" w:ascii="宋体" w:hAnsi="宋体" w:cs="宋体"/>
          <w:color w:val="000000"/>
          <w:sz w:val="24"/>
          <w:szCs w:val="24"/>
          <w:lang w:eastAsia="zh-CN"/>
        </w:rPr>
        <w:t>送货单要由采购方签字确认品种、数量等信息。</w:t>
      </w:r>
    </w:p>
    <w:p w14:paraId="7E854C71">
      <w:pPr>
        <w:adjustRightInd w:val="0"/>
        <w:snapToGrid w:val="0"/>
        <w:spacing w:line="500" w:lineRule="exact"/>
        <w:rPr>
          <w:rFonts w:ascii="宋体" w:hAnsi="宋体" w:cs="宋体"/>
          <w:color w:val="000000"/>
          <w:sz w:val="24"/>
          <w:szCs w:val="24"/>
        </w:rPr>
      </w:pPr>
      <w:r>
        <w:rPr>
          <w:rFonts w:hint="eastAsia" w:ascii="宋体" w:hAnsi="宋体" w:cs="宋体"/>
          <w:color w:val="000000"/>
          <w:sz w:val="24"/>
          <w:szCs w:val="24"/>
        </w:rPr>
        <w:t>2、每月结算一次，按合同单价与实际配送数量进行结算。</w:t>
      </w:r>
    </w:p>
    <w:p w14:paraId="3ACF5212">
      <w:pPr>
        <w:adjustRightInd w:val="0"/>
        <w:snapToGrid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3、</w:t>
      </w:r>
      <w:r>
        <w:rPr>
          <w:rFonts w:hint="eastAsia" w:ascii="宋体" w:hAnsi="宋体" w:eastAsia="宋体" w:cs="宋体"/>
          <w:color w:val="000000"/>
          <w:sz w:val="24"/>
          <w:szCs w:val="24"/>
          <w:lang w:val="en-US" w:eastAsia="zh-CN"/>
        </w:rPr>
        <w:t>成交服务商须开具与响应文件中报价人名称、响应报价一致的有效全额增值税普通发票。</w:t>
      </w:r>
      <w:r>
        <w:rPr>
          <w:rFonts w:hint="eastAsia" w:ascii="宋体" w:hAnsi="宋体" w:eastAsia="宋体" w:cs="宋体"/>
          <w:color w:val="000000"/>
          <w:sz w:val="24"/>
          <w:szCs w:val="24"/>
        </w:rPr>
        <w:t>凭验收资料、</w:t>
      </w:r>
      <w:r>
        <w:rPr>
          <w:rFonts w:hint="eastAsia" w:ascii="宋体" w:hAnsi="宋体" w:eastAsia="宋体" w:cs="宋体"/>
          <w:color w:val="000000"/>
          <w:sz w:val="24"/>
          <w:szCs w:val="24"/>
          <w:lang w:eastAsia="zh-CN"/>
        </w:rPr>
        <w:t>送货单、</w:t>
      </w:r>
      <w:r>
        <w:rPr>
          <w:rFonts w:hint="eastAsia" w:ascii="宋体" w:hAnsi="宋体" w:eastAsia="宋体" w:cs="宋体"/>
          <w:color w:val="000000"/>
          <w:sz w:val="24"/>
          <w:szCs w:val="24"/>
        </w:rPr>
        <w:t>全额发票，采购人于</w:t>
      </w:r>
      <w:r>
        <w:rPr>
          <w:rFonts w:hint="eastAsia" w:ascii="宋体" w:hAnsi="宋体" w:eastAsia="宋体" w:cs="宋体"/>
          <w:color w:val="000000"/>
          <w:sz w:val="24"/>
          <w:szCs w:val="24"/>
          <w:lang w:val="en-US" w:eastAsia="zh-CN"/>
        </w:rPr>
        <w:t>6个月</w:t>
      </w:r>
      <w:r>
        <w:rPr>
          <w:rFonts w:hint="eastAsia" w:ascii="宋体" w:hAnsi="宋体" w:eastAsia="宋体" w:cs="宋体"/>
          <w:color w:val="000000"/>
          <w:sz w:val="24"/>
          <w:szCs w:val="24"/>
        </w:rPr>
        <w:t>内支付相应费用。</w:t>
      </w:r>
    </w:p>
    <w:p w14:paraId="44D0894A">
      <w:pPr>
        <w:adjustRightInd w:val="0"/>
        <w:snapToGrid w:val="0"/>
        <w:spacing w:line="5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4、特别说明：如成交供应商为中小企业，付款期限按《保障中小企业款项支付条例》执行。</w:t>
      </w:r>
    </w:p>
    <w:p w14:paraId="12EBC443">
      <w:pPr>
        <w:adjustRightInd w:val="0"/>
        <w:snapToGrid w:val="0"/>
        <w:spacing w:line="500" w:lineRule="exact"/>
        <w:rPr>
          <w:rFonts w:hint="eastAsia" w:ascii="宋体" w:hAnsi="宋体" w:cs="宋体"/>
          <w:color w:val="000000"/>
          <w:sz w:val="24"/>
          <w:szCs w:val="24"/>
        </w:rPr>
      </w:pPr>
    </w:p>
    <w:p w14:paraId="7697E8C0">
      <w:pPr>
        <w:adjustRightInd w:val="0"/>
        <w:snapToGrid w:val="0"/>
        <w:spacing w:line="500" w:lineRule="exact"/>
        <w:rPr>
          <w:rFonts w:hint="eastAsia" w:ascii="宋体" w:hAnsi="宋体" w:cs="宋体"/>
          <w:color w:val="000000"/>
          <w:sz w:val="24"/>
          <w:szCs w:val="24"/>
        </w:rPr>
      </w:pPr>
    </w:p>
    <w:p w14:paraId="09543845">
      <w:pPr>
        <w:adjustRightInd w:val="0"/>
        <w:snapToGrid w:val="0"/>
        <w:spacing w:line="500" w:lineRule="exact"/>
        <w:rPr>
          <w:rFonts w:hint="eastAsia" w:ascii="宋体" w:hAnsi="宋体" w:cs="宋体"/>
          <w:color w:val="000000"/>
          <w:sz w:val="24"/>
          <w:szCs w:val="24"/>
        </w:rPr>
      </w:pPr>
    </w:p>
    <w:p w14:paraId="6FC6E03D">
      <w:pPr>
        <w:adjustRightInd w:val="0"/>
        <w:snapToGrid w:val="0"/>
        <w:spacing w:line="500" w:lineRule="exact"/>
        <w:rPr>
          <w:rFonts w:hint="eastAsia" w:ascii="宋体" w:hAnsi="宋体" w:cs="宋体"/>
          <w:color w:val="000000"/>
          <w:sz w:val="24"/>
          <w:szCs w:val="24"/>
        </w:rPr>
      </w:pPr>
    </w:p>
    <w:p w14:paraId="5FB0B651">
      <w:pPr>
        <w:adjustRightInd w:val="0"/>
        <w:snapToGrid w:val="0"/>
        <w:spacing w:line="500" w:lineRule="exact"/>
        <w:rPr>
          <w:rFonts w:hint="eastAsia" w:ascii="宋体" w:hAnsi="宋体" w:cs="宋体"/>
          <w:color w:val="000000"/>
          <w:sz w:val="24"/>
          <w:szCs w:val="24"/>
          <w:lang w:eastAsia="zh-CN"/>
        </w:rPr>
      </w:pPr>
      <w:r>
        <w:rPr>
          <w:rFonts w:hint="eastAsia" w:ascii="宋体" w:hAnsi="宋体" w:cs="宋体"/>
          <w:color w:val="000000"/>
          <w:sz w:val="24"/>
          <w:szCs w:val="24"/>
          <w:lang w:eastAsia="zh-CN"/>
        </w:rPr>
        <w:t>附件：</w:t>
      </w:r>
    </w:p>
    <w:tbl>
      <w:tblPr>
        <w:tblStyle w:val="9"/>
        <w:tblW w:w="9692" w:type="dxa"/>
        <w:jc w:val="center"/>
        <w:tblLayout w:type="fixed"/>
        <w:tblCellMar>
          <w:top w:w="0" w:type="dxa"/>
          <w:left w:w="108" w:type="dxa"/>
          <w:bottom w:w="0" w:type="dxa"/>
          <w:right w:w="108" w:type="dxa"/>
        </w:tblCellMar>
      </w:tblPr>
      <w:tblGrid>
        <w:gridCol w:w="649"/>
        <w:gridCol w:w="1635"/>
        <w:gridCol w:w="825"/>
        <w:gridCol w:w="1080"/>
        <w:gridCol w:w="5503"/>
      </w:tblGrid>
      <w:tr w14:paraId="3E170BB1">
        <w:tblPrEx>
          <w:tblCellMar>
            <w:top w:w="0" w:type="dxa"/>
            <w:left w:w="108" w:type="dxa"/>
            <w:bottom w:w="0" w:type="dxa"/>
            <w:right w:w="108" w:type="dxa"/>
          </w:tblCellMar>
        </w:tblPrEx>
        <w:trPr>
          <w:trHeight w:val="402" w:hRule="atLeast"/>
          <w:jc w:val="center"/>
        </w:trPr>
        <w:tc>
          <w:tcPr>
            <w:tcW w:w="64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ACFDA3E">
            <w:pPr>
              <w:widowControl/>
              <w:spacing w:line="380" w:lineRule="exact"/>
              <w:jc w:val="center"/>
              <w:rPr>
                <w:rFonts w:ascii="宋体" w:hAnsi="宋体" w:eastAsia="宋体" w:cs="宋体"/>
                <w:color w:val="000000"/>
                <w:kern w:val="0"/>
                <w:szCs w:val="21"/>
              </w:rPr>
            </w:pPr>
            <w:r>
              <w:rPr>
                <w:rFonts w:hint="eastAsia" w:ascii="宋体" w:hAnsi="宋体" w:eastAsia="宋体" w:cs="宋体"/>
                <w:color w:val="000000"/>
                <w:kern w:val="0"/>
                <w:szCs w:val="21"/>
              </w:rPr>
              <w:t>序号</w:t>
            </w:r>
          </w:p>
        </w:tc>
        <w:tc>
          <w:tcPr>
            <w:tcW w:w="1635" w:type="dxa"/>
            <w:tcBorders>
              <w:top w:val="single" w:color="auto" w:sz="4" w:space="0"/>
              <w:left w:val="nil"/>
              <w:bottom w:val="single" w:color="auto" w:sz="4" w:space="0"/>
              <w:right w:val="single" w:color="auto" w:sz="4" w:space="0"/>
            </w:tcBorders>
            <w:shd w:val="clear" w:color="auto" w:fill="auto"/>
            <w:noWrap/>
            <w:vAlign w:val="center"/>
          </w:tcPr>
          <w:p w14:paraId="375FC5B7">
            <w:pPr>
              <w:widowControl/>
              <w:spacing w:line="380" w:lineRule="exact"/>
              <w:jc w:val="center"/>
              <w:rPr>
                <w:rFonts w:ascii="宋体" w:hAnsi="宋体" w:eastAsia="宋体" w:cs="宋体"/>
                <w:color w:val="000000"/>
                <w:kern w:val="0"/>
                <w:szCs w:val="21"/>
              </w:rPr>
            </w:pPr>
            <w:r>
              <w:rPr>
                <w:rFonts w:hint="eastAsia" w:ascii="宋体" w:hAnsi="宋体" w:eastAsia="宋体" w:cs="宋体"/>
                <w:color w:val="000000"/>
                <w:kern w:val="0"/>
                <w:szCs w:val="21"/>
              </w:rPr>
              <w:t>货物名称</w:t>
            </w:r>
          </w:p>
        </w:tc>
        <w:tc>
          <w:tcPr>
            <w:tcW w:w="825" w:type="dxa"/>
            <w:tcBorders>
              <w:top w:val="single" w:color="auto" w:sz="4" w:space="0"/>
              <w:left w:val="nil"/>
              <w:bottom w:val="single" w:color="auto" w:sz="4" w:space="0"/>
              <w:right w:val="single" w:color="auto" w:sz="4" w:space="0"/>
            </w:tcBorders>
            <w:shd w:val="clear" w:color="auto" w:fill="auto"/>
            <w:noWrap/>
            <w:vAlign w:val="center"/>
          </w:tcPr>
          <w:p w14:paraId="25D3F8AC">
            <w:pPr>
              <w:widowControl/>
              <w:spacing w:line="380" w:lineRule="exact"/>
              <w:jc w:val="center"/>
              <w:rPr>
                <w:rFonts w:ascii="宋体" w:hAnsi="宋体" w:eastAsia="宋体" w:cs="宋体"/>
                <w:color w:val="000000"/>
                <w:kern w:val="0"/>
                <w:szCs w:val="21"/>
              </w:rPr>
            </w:pPr>
            <w:r>
              <w:rPr>
                <w:rFonts w:hint="eastAsia" w:ascii="宋体" w:hAnsi="宋体" w:eastAsia="宋体" w:cs="宋体"/>
                <w:color w:val="000000"/>
                <w:kern w:val="0"/>
                <w:szCs w:val="21"/>
              </w:rPr>
              <w:t>单位</w:t>
            </w:r>
          </w:p>
        </w:tc>
        <w:tc>
          <w:tcPr>
            <w:tcW w:w="1080" w:type="dxa"/>
            <w:tcBorders>
              <w:top w:val="single" w:color="auto" w:sz="4" w:space="0"/>
              <w:left w:val="nil"/>
              <w:bottom w:val="single" w:color="auto" w:sz="4" w:space="0"/>
              <w:right w:val="single" w:color="auto" w:sz="4" w:space="0"/>
            </w:tcBorders>
            <w:shd w:val="clear" w:color="auto" w:fill="auto"/>
            <w:noWrap/>
            <w:vAlign w:val="center"/>
          </w:tcPr>
          <w:p w14:paraId="59559ECC">
            <w:pPr>
              <w:widowControl/>
              <w:spacing w:line="380" w:lineRule="exact"/>
              <w:jc w:val="center"/>
              <w:rPr>
                <w:rFonts w:ascii="宋体" w:hAnsi="宋体" w:eastAsia="宋体" w:cs="宋体"/>
                <w:color w:val="000000"/>
                <w:kern w:val="0"/>
                <w:szCs w:val="21"/>
              </w:rPr>
            </w:pPr>
            <w:r>
              <w:rPr>
                <w:rFonts w:hint="eastAsia" w:ascii="宋体" w:hAnsi="宋体" w:eastAsia="宋体" w:cs="宋体"/>
                <w:color w:val="000000"/>
                <w:kern w:val="0"/>
                <w:szCs w:val="21"/>
              </w:rPr>
              <w:t xml:space="preserve">规格 </w:t>
            </w:r>
          </w:p>
        </w:tc>
        <w:tc>
          <w:tcPr>
            <w:tcW w:w="5503" w:type="dxa"/>
            <w:tcBorders>
              <w:top w:val="single" w:color="auto" w:sz="4" w:space="0"/>
              <w:left w:val="nil"/>
              <w:bottom w:val="single" w:color="auto" w:sz="4" w:space="0"/>
              <w:right w:val="single" w:color="auto" w:sz="4" w:space="0"/>
            </w:tcBorders>
            <w:shd w:val="clear" w:color="auto" w:fill="auto"/>
            <w:noWrap/>
            <w:vAlign w:val="center"/>
          </w:tcPr>
          <w:p w14:paraId="083E0912">
            <w:pPr>
              <w:widowControl/>
              <w:spacing w:line="380" w:lineRule="exact"/>
              <w:jc w:val="center"/>
              <w:rPr>
                <w:rFonts w:hint="default" w:ascii="宋体" w:hAnsi="宋体" w:eastAsia="宋体" w:cs="宋体"/>
                <w:color w:val="000000"/>
                <w:kern w:val="0"/>
                <w:szCs w:val="21"/>
                <w:lang w:val="en-US" w:eastAsia="zh-CN"/>
              </w:rPr>
            </w:pPr>
            <w:r>
              <w:rPr>
                <w:rFonts w:hint="eastAsia" w:ascii="宋体" w:hAnsi="宋体" w:eastAsia="宋体" w:cs="宋体"/>
                <w:color w:val="000000"/>
                <w:kern w:val="0"/>
                <w:szCs w:val="21"/>
                <w:lang w:val="en-US" w:eastAsia="zh-CN"/>
              </w:rPr>
              <w:t>现有供气设备</w:t>
            </w:r>
          </w:p>
        </w:tc>
      </w:tr>
      <w:tr w14:paraId="078E33E9">
        <w:tblPrEx>
          <w:tblCellMar>
            <w:top w:w="0" w:type="dxa"/>
            <w:left w:w="108" w:type="dxa"/>
            <w:bottom w:w="0" w:type="dxa"/>
            <w:right w:w="108" w:type="dxa"/>
          </w:tblCellMar>
        </w:tblPrEx>
        <w:trPr>
          <w:trHeight w:val="402" w:hRule="atLeast"/>
          <w:jc w:val="center"/>
        </w:trPr>
        <w:tc>
          <w:tcPr>
            <w:tcW w:w="649" w:type="dxa"/>
            <w:tcBorders>
              <w:top w:val="nil"/>
              <w:left w:val="single" w:color="auto" w:sz="4" w:space="0"/>
              <w:bottom w:val="single" w:color="auto" w:sz="4" w:space="0"/>
              <w:right w:val="single" w:color="auto" w:sz="4" w:space="0"/>
            </w:tcBorders>
            <w:shd w:val="clear" w:color="auto" w:fill="auto"/>
            <w:noWrap/>
            <w:vAlign w:val="center"/>
          </w:tcPr>
          <w:p w14:paraId="7D62D863">
            <w:pPr>
              <w:widowControl/>
              <w:spacing w:line="380" w:lineRule="exact"/>
              <w:jc w:val="center"/>
              <w:rPr>
                <w:rFonts w:hint="default" w:ascii="宋体" w:hAnsi="宋体" w:eastAsia="宋体" w:cs="宋体"/>
                <w:color w:val="auto"/>
                <w:kern w:val="0"/>
                <w:szCs w:val="21"/>
                <w:lang w:val="en-US" w:eastAsia="zh-CN"/>
              </w:rPr>
            </w:pPr>
            <w:r>
              <w:rPr>
                <w:rFonts w:hint="eastAsia" w:ascii="宋体" w:hAnsi="宋体" w:eastAsia="宋体" w:cs="宋体"/>
                <w:color w:val="auto"/>
                <w:kern w:val="0"/>
                <w:szCs w:val="21"/>
                <w:lang w:val="en-US" w:eastAsia="zh-CN"/>
              </w:rPr>
              <w:t>1</w:t>
            </w:r>
          </w:p>
        </w:tc>
        <w:tc>
          <w:tcPr>
            <w:tcW w:w="1635" w:type="dxa"/>
            <w:tcBorders>
              <w:top w:val="nil"/>
              <w:left w:val="nil"/>
              <w:bottom w:val="single" w:color="auto" w:sz="4" w:space="0"/>
              <w:right w:val="single" w:color="auto" w:sz="4" w:space="0"/>
            </w:tcBorders>
            <w:shd w:val="clear" w:color="auto" w:fill="auto"/>
            <w:noWrap/>
            <w:vAlign w:val="center"/>
          </w:tcPr>
          <w:p w14:paraId="48AE6EF3">
            <w:pPr>
              <w:widowControl/>
              <w:spacing w:line="380" w:lineRule="exact"/>
              <w:jc w:val="both"/>
              <w:rPr>
                <w:rFonts w:hint="eastAsia" w:ascii="宋体" w:hAnsi="宋体" w:eastAsia="宋体" w:cs="宋体"/>
                <w:color w:val="auto"/>
                <w:kern w:val="0"/>
                <w:szCs w:val="21"/>
              </w:rPr>
            </w:pPr>
            <w:r>
              <w:rPr>
                <w:rFonts w:hint="eastAsia" w:ascii="宋体" w:hAnsi="宋体" w:eastAsia="宋体" w:cs="宋体"/>
                <w:color w:val="auto"/>
                <w:kern w:val="0"/>
                <w:szCs w:val="21"/>
              </w:rPr>
              <w:t>医用氧（气态）</w:t>
            </w:r>
          </w:p>
        </w:tc>
        <w:tc>
          <w:tcPr>
            <w:tcW w:w="825" w:type="dxa"/>
            <w:tcBorders>
              <w:top w:val="nil"/>
              <w:left w:val="nil"/>
              <w:bottom w:val="single" w:color="auto" w:sz="4" w:space="0"/>
              <w:right w:val="single" w:color="auto" w:sz="4" w:space="0"/>
            </w:tcBorders>
            <w:shd w:val="clear" w:color="auto" w:fill="auto"/>
            <w:noWrap/>
            <w:vAlign w:val="center"/>
          </w:tcPr>
          <w:p w14:paraId="718AF8A8">
            <w:pPr>
              <w:widowControl/>
              <w:spacing w:line="380" w:lineRule="exact"/>
              <w:jc w:val="center"/>
              <w:rPr>
                <w:rFonts w:hint="eastAsia" w:ascii="宋体" w:hAnsi="宋体" w:eastAsia="宋体" w:cs="宋体"/>
                <w:color w:val="auto"/>
                <w:kern w:val="0"/>
                <w:szCs w:val="21"/>
                <w:lang w:eastAsia="zh-CN"/>
              </w:rPr>
            </w:pPr>
            <w:r>
              <w:rPr>
                <w:rFonts w:hint="eastAsia" w:ascii="宋体" w:hAnsi="宋体" w:eastAsia="宋体" w:cs="宋体"/>
                <w:color w:val="auto"/>
                <w:kern w:val="0"/>
                <w:szCs w:val="21"/>
                <w:lang w:eastAsia="zh-CN"/>
              </w:rPr>
              <w:t>瓶</w:t>
            </w:r>
          </w:p>
        </w:tc>
        <w:tc>
          <w:tcPr>
            <w:tcW w:w="1080" w:type="dxa"/>
            <w:tcBorders>
              <w:top w:val="nil"/>
              <w:left w:val="nil"/>
              <w:bottom w:val="single" w:color="auto" w:sz="4" w:space="0"/>
              <w:right w:val="single" w:color="auto" w:sz="4" w:space="0"/>
            </w:tcBorders>
            <w:shd w:val="clear" w:color="auto" w:fill="auto"/>
            <w:noWrap/>
            <w:vAlign w:val="center"/>
          </w:tcPr>
          <w:p w14:paraId="7AB4D9C6">
            <w:pPr>
              <w:widowControl/>
              <w:spacing w:line="380" w:lineRule="exact"/>
              <w:jc w:val="center"/>
              <w:rPr>
                <w:rFonts w:hint="default" w:ascii="宋体" w:hAnsi="宋体" w:eastAsia="宋体" w:cs="宋体"/>
                <w:color w:val="auto"/>
                <w:kern w:val="0"/>
                <w:szCs w:val="21"/>
                <w:lang w:val="en-US" w:eastAsia="zh-CN"/>
              </w:rPr>
            </w:pPr>
            <w:r>
              <w:rPr>
                <w:rFonts w:hint="eastAsia" w:ascii="宋体" w:hAnsi="宋体" w:eastAsia="宋体" w:cs="宋体"/>
                <w:color w:val="auto"/>
                <w:kern w:val="0"/>
                <w:szCs w:val="21"/>
                <w:lang w:val="en-US" w:eastAsia="zh-CN"/>
              </w:rPr>
              <w:t>2.4L</w:t>
            </w:r>
          </w:p>
        </w:tc>
        <w:tc>
          <w:tcPr>
            <w:tcW w:w="5503" w:type="dxa"/>
            <w:tcBorders>
              <w:top w:val="nil"/>
              <w:left w:val="nil"/>
              <w:bottom w:val="single" w:color="auto" w:sz="4" w:space="0"/>
              <w:right w:val="single" w:color="auto" w:sz="4" w:space="0"/>
            </w:tcBorders>
            <w:shd w:val="clear" w:color="auto" w:fill="auto"/>
            <w:noWrap/>
            <w:vAlign w:val="center"/>
          </w:tcPr>
          <w:p w14:paraId="3457F2CA">
            <w:pPr>
              <w:widowControl/>
              <w:spacing w:line="380" w:lineRule="exact"/>
              <w:jc w:val="center"/>
              <w:rPr>
                <w:rFonts w:hint="eastAsia" w:ascii="宋体" w:hAnsi="宋体" w:eastAsia="宋体" w:cs="宋体"/>
                <w:color w:val="auto"/>
                <w:kern w:val="0"/>
                <w:szCs w:val="21"/>
                <w:lang w:val="en-US" w:eastAsia="zh-CN"/>
              </w:rPr>
            </w:pPr>
            <w:r>
              <w:rPr>
                <w:rFonts w:hint="eastAsia" w:ascii="宋体" w:hAnsi="宋体" w:cs="宋体"/>
                <w:color w:val="000000"/>
                <w:sz w:val="24"/>
                <w:szCs w:val="24"/>
                <w:vertAlign w:val="baseline"/>
                <w:lang w:eastAsia="zh-CN"/>
              </w:rPr>
              <w:drawing>
                <wp:anchor distT="0" distB="0" distL="114300" distR="114300" simplePos="0" relativeHeight="251659264" behindDoc="0" locked="0" layoutInCell="1" allowOverlap="1">
                  <wp:simplePos x="0" y="0"/>
                  <wp:positionH relativeFrom="column">
                    <wp:posOffset>-3175</wp:posOffset>
                  </wp:positionH>
                  <wp:positionV relativeFrom="paragraph">
                    <wp:posOffset>2366645</wp:posOffset>
                  </wp:positionV>
                  <wp:extent cx="3391535" cy="1971040"/>
                  <wp:effectExtent l="0" t="0" r="18415" b="10160"/>
                  <wp:wrapSquare wrapText="bothSides"/>
                  <wp:docPr id="1" name="图片 1" descr="4b93c5a7b84710747ae2d530c7839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4b93c5a7b84710747ae2d530c78390a"/>
                          <pic:cNvPicPr>
                            <a:picLocks noChangeAspect="1"/>
                          </pic:cNvPicPr>
                        </pic:nvPicPr>
                        <pic:blipFill>
                          <a:blip r:embed="rId4"/>
                          <a:stretch>
                            <a:fillRect/>
                          </a:stretch>
                        </pic:blipFill>
                        <pic:spPr>
                          <a:xfrm>
                            <a:off x="0" y="0"/>
                            <a:ext cx="3391535" cy="1971040"/>
                          </a:xfrm>
                          <a:prstGeom prst="rect">
                            <a:avLst/>
                          </a:prstGeom>
                        </pic:spPr>
                      </pic:pic>
                    </a:graphicData>
                  </a:graphic>
                </wp:anchor>
              </w:drawing>
            </w:r>
            <w:r>
              <w:rPr>
                <w:rFonts w:hint="eastAsia" w:ascii="宋体" w:hAnsi="宋体" w:cs="宋体"/>
                <w:color w:val="000000"/>
                <w:sz w:val="24"/>
                <w:szCs w:val="24"/>
                <w:vertAlign w:val="baseline"/>
                <w:lang w:eastAsia="zh-CN"/>
              </w:rPr>
              <w:drawing>
                <wp:anchor distT="0" distB="0" distL="114300" distR="114300" simplePos="0" relativeHeight="251662336" behindDoc="1" locked="0" layoutInCell="1" allowOverlap="1">
                  <wp:simplePos x="0" y="0"/>
                  <wp:positionH relativeFrom="column">
                    <wp:posOffset>49530</wp:posOffset>
                  </wp:positionH>
                  <wp:positionV relativeFrom="paragraph">
                    <wp:posOffset>6471920</wp:posOffset>
                  </wp:positionV>
                  <wp:extent cx="3329305" cy="2011045"/>
                  <wp:effectExtent l="0" t="0" r="4445" b="46355"/>
                  <wp:wrapTight wrapText="bothSides">
                    <wp:wrapPolygon>
                      <wp:start x="0" y="0"/>
                      <wp:lineTo x="0" y="21484"/>
                      <wp:lineTo x="21505" y="21484"/>
                      <wp:lineTo x="21505" y="0"/>
                      <wp:lineTo x="0" y="0"/>
                    </wp:wrapPolygon>
                  </wp:wrapTight>
                  <wp:docPr id="4" name="图片 4" descr="97aa2c2448dabb1f83412fde043b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97aa2c2448dabb1f83412fde043b503"/>
                          <pic:cNvPicPr>
                            <a:picLocks noChangeAspect="1"/>
                          </pic:cNvPicPr>
                        </pic:nvPicPr>
                        <pic:blipFill>
                          <a:blip r:embed="rId5"/>
                          <a:stretch>
                            <a:fillRect/>
                          </a:stretch>
                        </pic:blipFill>
                        <pic:spPr>
                          <a:xfrm>
                            <a:off x="0" y="0"/>
                            <a:ext cx="3329305" cy="2011045"/>
                          </a:xfrm>
                          <a:prstGeom prst="rect">
                            <a:avLst/>
                          </a:prstGeom>
                        </pic:spPr>
                      </pic:pic>
                    </a:graphicData>
                  </a:graphic>
                </wp:anchor>
              </w:drawing>
            </w:r>
            <w:r>
              <w:rPr>
                <w:rFonts w:hint="eastAsia" w:ascii="宋体" w:hAnsi="宋体" w:cs="宋体"/>
                <w:color w:val="000000"/>
                <w:sz w:val="24"/>
                <w:szCs w:val="24"/>
                <w:vertAlign w:val="baseline"/>
                <w:lang w:eastAsia="zh-CN"/>
              </w:rPr>
              <w:drawing>
                <wp:anchor distT="0" distB="0" distL="114300" distR="114300" simplePos="0" relativeHeight="251661312" behindDoc="1" locked="0" layoutInCell="1" allowOverlap="1">
                  <wp:simplePos x="0" y="0"/>
                  <wp:positionH relativeFrom="column">
                    <wp:posOffset>68580</wp:posOffset>
                  </wp:positionH>
                  <wp:positionV relativeFrom="paragraph">
                    <wp:posOffset>4645025</wp:posOffset>
                  </wp:positionV>
                  <wp:extent cx="3329305" cy="1716405"/>
                  <wp:effectExtent l="0" t="0" r="4445" b="55245"/>
                  <wp:wrapTight wrapText="bothSides">
                    <wp:wrapPolygon>
                      <wp:start x="0" y="0"/>
                      <wp:lineTo x="0" y="21336"/>
                      <wp:lineTo x="21505" y="21336"/>
                      <wp:lineTo x="21505" y="0"/>
                      <wp:lineTo x="0" y="0"/>
                    </wp:wrapPolygon>
                  </wp:wrapTight>
                  <wp:docPr id="3" name="图片 3" descr="864b6ac1ee89cc4f449b2ac9c552c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864b6ac1ee89cc4f449b2ac9c552cde"/>
                          <pic:cNvPicPr>
                            <a:picLocks noChangeAspect="1"/>
                          </pic:cNvPicPr>
                        </pic:nvPicPr>
                        <pic:blipFill>
                          <a:blip r:embed="rId6"/>
                          <a:stretch>
                            <a:fillRect/>
                          </a:stretch>
                        </pic:blipFill>
                        <pic:spPr>
                          <a:xfrm>
                            <a:off x="0" y="0"/>
                            <a:ext cx="3329305" cy="1716405"/>
                          </a:xfrm>
                          <a:prstGeom prst="rect">
                            <a:avLst/>
                          </a:prstGeom>
                        </pic:spPr>
                      </pic:pic>
                    </a:graphicData>
                  </a:graphic>
                </wp:anchor>
              </w:drawing>
            </w:r>
            <w:r>
              <w:rPr>
                <w:rFonts w:hint="eastAsia" w:ascii="宋体" w:hAnsi="宋体" w:cs="宋体"/>
                <w:color w:val="000000"/>
                <w:sz w:val="24"/>
                <w:szCs w:val="24"/>
                <w:vertAlign w:val="baseline"/>
                <w:lang w:eastAsia="zh-CN"/>
              </w:rPr>
              <w:drawing>
                <wp:anchor distT="0" distB="0" distL="114300" distR="114300" simplePos="0" relativeHeight="251660288" behindDoc="1" locked="0" layoutInCell="1" allowOverlap="1">
                  <wp:simplePos x="0" y="0"/>
                  <wp:positionH relativeFrom="column">
                    <wp:posOffset>0</wp:posOffset>
                  </wp:positionH>
                  <wp:positionV relativeFrom="paragraph">
                    <wp:posOffset>-4283710</wp:posOffset>
                  </wp:positionV>
                  <wp:extent cx="3355340" cy="2237105"/>
                  <wp:effectExtent l="0" t="0" r="16510" b="48895"/>
                  <wp:wrapTight wrapText="bothSides">
                    <wp:wrapPolygon>
                      <wp:start x="0" y="0"/>
                      <wp:lineTo x="0" y="21336"/>
                      <wp:lineTo x="21461" y="21336"/>
                      <wp:lineTo x="21461" y="0"/>
                      <wp:lineTo x="0" y="0"/>
                    </wp:wrapPolygon>
                  </wp:wrapTight>
                  <wp:docPr id="2" name="图片 2" descr="53d0ff2b0f0add8fb7aff72627e6c5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53d0ff2b0f0add8fb7aff72627e6c5b"/>
                          <pic:cNvPicPr>
                            <a:picLocks noChangeAspect="1"/>
                          </pic:cNvPicPr>
                        </pic:nvPicPr>
                        <pic:blipFill>
                          <a:blip r:embed="rId7"/>
                          <a:stretch>
                            <a:fillRect/>
                          </a:stretch>
                        </pic:blipFill>
                        <pic:spPr>
                          <a:xfrm>
                            <a:off x="0" y="0"/>
                            <a:ext cx="3355340" cy="2237105"/>
                          </a:xfrm>
                          <a:prstGeom prst="rect">
                            <a:avLst/>
                          </a:prstGeom>
                        </pic:spPr>
                      </pic:pic>
                    </a:graphicData>
                  </a:graphic>
                </wp:anchor>
              </w:drawing>
            </w:r>
          </w:p>
        </w:tc>
      </w:tr>
      <w:tr w14:paraId="13A90DBB">
        <w:tblPrEx>
          <w:tblCellMar>
            <w:top w:w="0" w:type="dxa"/>
            <w:left w:w="108" w:type="dxa"/>
            <w:bottom w:w="0" w:type="dxa"/>
            <w:right w:w="108" w:type="dxa"/>
          </w:tblCellMar>
        </w:tblPrEx>
        <w:trPr>
          <w:trHeight w:val="402" w:hRule="atLeast"/>
          <w:jc w:val="center"/>
        </w:trPr>
        <w:tc>
          <w:tcPr>
            <w:tcW w:w="649" w:type="dxa"/>
            <w:tcBorders>
              <w:top w:val="nil"/>
              <w:left w:val="single" w:color="auto" w:sz="4" w:space="0"/>
              <w:bottom w:val="single" w:color="auto" w:sz="4" w:space="0"/>
              <w:right w:val="single" w:color="auto" w:sz="4" w:space="0"/>
            </w:tcBorders>
            <w:shd w:val="clear" w:color="auto" w:fill="auto"/>
            <w:noWrap/>
            <w:vAlign w:val="center"/>
          </w:tcPr>
          <w:p w14:paraId="7AECC8EB">
            <w:pPr>
              <w:widowControl/>
              <w:spacing w:line="380" w:lineRule="exact"/>
              <w:jc w:val="center"/>
              <w:rPr>
                <w:rFonts w:hint="default" w:ascii="宋体" w:hAnsi="宋体" w:eastAsia="宋体" w:cs="宋体"/>
                <w:color w:val="auto"/>
                <w:kern w:val="0"/>
                <w:szCs w:val="21"/>
                <w:lang w:val="en-US" w:eastAsia="zh-CN"/>
              </w:rPr>
            </w:pPr>
            <w:r>
              <w:rPr>
                <w:rFonts w:hint="eastAsia" w:ascii="宋体" w:hAnsi="宋体" w:eastAsia="宋体" w:cs="宋体"/>
                <w:color w:val="auto"/>
                <w:kern w:val="0"/>
                <w:szCs w:val="21"/>
                <w:lang w:val="en-US" w:eastAsia="zh-CN"/>
              </w:rPr>
              <w:t>2</w:t>
            </w:r>
          </w:p>
        </w:tc>
        <w:tc>
          <w:tcPr>
            <w:tcW w:w="1635" w:type="dxa"/>
            <w:tcBorders>
              <w:top w:val="nil"/>
              <w:left w:val="nil"/>
              <w:bottom w:val="single" w:color="auto" w:sz="4" w:space="0"/>
              <w:right w:val="single" w:color="auto" w:sz="4" w:space="0"/>
            </w:tcBorders>
            <w:shd w:val="clear" w:color="auto" w:fill="auto"/>
            <w:noWrap/>
            <w:vAlign w:val="center"/>
          </w:tcPr>
          <w:p w14:paraId="47C649C7">
            <w:pPr>
              <w:widowControl/>
              <w:spacing w:line="380" w:lineRule="exact"/>
              <w:jc w:val="center"/>
              <w:rPr>
                <w:rFonts w:hint="eastAsia" w:ascii="宋体" w:hAnsi="宋体" w:eastAsia="宋体" w:cs="宋体"/>
                <w:color w:val="auto"/>
                <w:kern w:val="0"/>
                <w:szCs w:val="21"/>
              </w:rPr>
            </w:pPr>
            <w:r>
              <w:rPr>
                <w:rFonts w:hint="eastAsia" w:ascii="宋体" w:hAnsi="宋体" w:eastAsia="宋体" w:cs="宋体"/>
                <w:color w:val="auto"/>
                <w:kern w:val="0"/>
                <w:szCs w:val="21"/>
              </w:rPr>
              <w:t>医用氧（气态）</w:t>
            </w:r>
          </w:p>
        </w:tc>
        <w:tc>
          <w:tcPr>
            <w:tcW w:w="825" w:type="dxa"/>
            <w:tcBorders>
              <w:top w:val="nil"/>
              <w:left w:val="nil"/>
              <w:bottom w:val="single" w:color="auto" w:sz="4" w:space="0"/>
              <w:right w:val="single" w:color="auto" w:sz="4" w:space="0"/>
            </w:tcBorders>
            <w:shd w:val="clear" w:color="auto" w:fill="auto"/>
            <w:noWrap/>
            <w:vAlign w:val="center"/>
          </w:tcPr>
          <w:p w14:paraId="151DE59F">
            <w:pPr>
              <w:widowControl/>
              <w:spacing w:line="380" w:lineRule="exact"/>
              <w:jc w:val="center"/>
              <w:rPr>
                <w:rFonts w:hint="eastAsia" w:ascii="宋体" w:hAnsi="宋体" w:eastAsia="宋体" w:cs="宋体"/>
                <w:color w:val="auto"/>
                <w:kern w:val="0"/>
                <w:szCs w:val="21"/>
                <w:lang w:eastAsia="zh-CN"/>
              </w:rPr>
            </w:pPr>
            <w:r>
              <w:rPr>
                <w:rFonts w:hint="eastAsia" w:ascii="宋体" w:hAnsi="宋体" w:eastAsia="宋体" w:cs="宋体"/>
                <w:color w:val="auto"/>
                <w:kern w:val="0"/>
                <w:szCs w:val="21"/>
                <w:lang w:eastAsia="zh-CN"/>
              </w:rPr>
              <w:t>瓶</w:t>
            </w:r>
          </w:p>
        </w:tc>
        <w:tc>
          <w:tcPr>
            <w:tcW w:w="1080" w:type="dxa"/>
            <w:tcBorders>
              <w:top w:val="nil"/>
              <w:left w:val="nil"/>
              <w:bottom w:val="single" w:color="auto" w:sz="4" w:space="0"/>
              <w:right w:val="single" w:color="auto" w:sz="4" w:space="0"/>
            </w:tcBorders>
            <w:shd w:val="clear" w:color="auto" w:fill="auto"/>
            <w:noWrap/>
            <w:vAlign w:val="center"/>
          </w:tcPr>
          <w:p w14:paraId="3481154E">
            <w:pPr>
              <w:widowControl/>
              <w:spacing w:line="380" w:lineRule="exact"/>
              <w:jc w:val="center"/>
              <w:rPr>
                <w:rFonts w:hint="default" w:ascii="宋体" w:hAnsi="宋体" w:eastAsia="宋体" w:cs="宋体"/>
                <w:color w:val="auto"/>
                <w:kern w:val="0"/>
                <w:szCs w:val="21"/>
                <w:lang w:val="en-US" w:eastAsia="zh-CN"/>
              </w:rPr>
            </w:pPr>
            <w:r>
              <w:rPr>
                <w:rFonts w:hint="eastAsia" w:ascii="宋体" w:hAnsi="宋体" w:eastAsia="宋体" w:cs="宋体"/>
                <w:color w:val="auto"/>
                <w:kern w:val="0"/>
                <w:szCs w:val="21"/>
                <w:lang w:val="en-US" w:eastAsia="zh-CN"/>
              </w:rPr>
              <w:t>6L</w:t>
            </w:r>
          </w:p>
        </w:tc>
        <w:tc>
          <w:tcPr>
            <w:tcW w:w="5503" w:type="dxa"/>
            <w:tcBorders>
              <w:top w:val="nil"/>
              <w:left w:val="nil"/>
              <w:bottom w:val="single" w:color="auto" w:sz="4" w:space="0"/>
              <w:right w:val="single" w:color="auto" w:sz="4" w:space="0"/>
            </w:tcBorders>
            <w:shd w:val="clear" w:color="auto" w:fill="auto"/>
            <w:noWrap/>
            <w:vAlign w:val="center"/>
          </w:tcPr>
          <w:p w14:paraId="45E881DD">
            <w:pPr>
              <w:widowControl/>
              <w:spacing w:line="380" w:lineRule="exact"/>
              <w:jc w:val="center"/>
              <w:rPr>
                <w:rFonts w:hint="eastAsia" w:ascii="宋体" w:hAnsi="宋体" w:eastAsia="宋体" w:cs="宋体"/>
                <w:color w:val="auto"/>
                <w:kern w:val="0"/>
                <w:szCs w:val="21"/>
                <w:lang w:val="en-US" w:eastAsia="zh-CN"/>
              </w:rPr>
            </w:pPr>
            <w:r>
              <w:rPr>
                <w:rFonts w:hint="eastAsia" w:ascii="宋体" w:hAnsi="宋体" w:eastAsia="宋体" w:cs="宋体"/>
                <w:color w:val="auto"/>
                <w:kern w:val="0"/>
                <w:szCs w:val="21"/>
                <w:lang w:val="en-US" w:eastAsia="zh-CN"/>
              </w:rPr>
              <w:drawing>
                <wp:anchor distT="0" distB="0" distL="114300" distR="114300" simplePos="0" relativeHeight="251665408" behindDoc="1" locked="0" layoutInCell="1" allowOverlap="1">
                  <wp:simplePos x="0" y="0"/>
                  <wp:positionH relativeFrom="column">
                    <wp:posOffset>15875</wp:posOffset>
                  </wp:positionH>
                  <wp:positionV relativeFrom="paragraph">
                    <wp:posOffset>2926715</wp:posOffset>
                  </wp:positionV>
                  <wp:extent cx="3355340" cy="2540635"/>
                  <wp:effectExtent l="0" t="0" r="16510" b="0"/>
                  <wp:wrapTight wrapText="bothSides">
                    <wp:wrapPolygon>
                      <wp:start x="0" y="0"/>
                      <wp:lineTo x="0" y="21379"/>
                      <wp:lineTo x="21461" y="21379"/>
                      <wp:lineTo x="21461" y="0"/>
                      <wp:lineTo x="0" y="0"/>
                    </wp:wrapPolygon>
                  </wp:wrapTight>
                  <wp:docPr id="7" name="图片 7" descr="d1f3879bf8634e3f772c5c00a9f2b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d1f3879bf8634e3f772c5c00a9f2bad"/>
                          <pic:cNvPicPr>
                            <a:picLocks noChangeAspect="1"/>
                          </pic:cNvPicPr>
                        </pic:nvPicPr>
                        <pic:blipFill>
                          <a:blip r:embed="rId8"/>
                          <a:stretch>
                            <a:fillRect/>
                          </a:stretch>
                        </pic:blipFill>
                        <pic:spPr>
                          <a:xfrm>
                            <a:off x="0" y="0"/>
                            <a:ext cx="3355340" cy="2540635"/>
                          </a:xfrm>
                          <a:prstGeom prst="rect">
                            <a:avLst/>
                          </a:prstGeom>
                        </pic:spPr>
                      </pic:pic>
                    </a:graphicData>
                  </a:graphic>
                </wp:anchor>
              </w:drawing>
            </w:r>
            <w:r>
              <w:rPr>
                <w:rFonts w:hint="eastAsia" w:ascii="宋体" w:hAnsi="宋体" w:eastAsia="宋体" w:cs="宋体"/>
                <w:color w:val="auto"/>
                <w:kern w:val="0"/>
                <w:szCs w:val="21"/>
                <w:lang w:val="en-US" w:eastAsia="zh-CN"/>
              </w:rPr>
              <w:drawing>
                <wp:anchor distT="0" distB="0" distL="114300" distR="114300" simplePos="0" relativeHeight="251664384" behindDoc="1" locked="0" layoutInCell="1" allowOverlap="1">
                  <wp:simplePos x="0" y="0"/>
                  <wp:positionH relativeFrom="column">
                    <wp:posOffset>17145</wp:posOffset>
                  </wp:positionH>
                  <wp:positionV relativeFrom="paragraph">
                    <wp:posOffset>174625</wp:posOffset>
                  </wp:positionV>
                  <wp:extent cx="3355340" cy="2501900"/>
                  <wp:effectExtent l="0" t="0" r="16510" b="0"/>
                  <wp:wrapTight wrapText="bothSides">
                    <wp:wrapPolygon>
                      <wp:start x="0" y="0"/>
                      <wp:lineTo x="0" y="21381"/>
                      <wp:lineTo x="21461" y="21381"/>
                      <wp:lineTo x="21461" y="0"/>
                      <wp:lineTo x="0" y="0"/>
                    </wp:wrapPolygon>
                  </wp:wrapTight>
                  <wp:docPr id="6" name="图片 6" descr="f0d789606cb58e7389ebd73581e9a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f0d789606cb58e7389ebd73581e9a70"/>
                          <pic:cNvPicPr>
                            <a:picLocks noChangeAspect="1"/>
                          </pic:cNvPicPr>
                        </pic:nvPicPr>
                        <pic:blipFill>
                          <a:blip r:embed="rId9"/>
                          <a:stretch>
                            <a:fillRect/>
                          </a:stretch>
                        </pic:blipFill>
                        <pic:spPr>
                          <a:xfrm>
                            <a:off x="0" y="0"/>
                            <a:ext cx="3355340" cy="2501900"/>
                          </a:xfrm>
                          <a:prstGeom prst="rect">
                            <a:avLst/>
                          </a:prstGeom>
                        </pic:spPr>
                      </pic:pic>
                    </a:graphicData>
                  </a:graphic>
                </wp:anchor>
              </w:drawing>
            </w:r>
          </w:p>
          <w:p w14:paraId="6C6295F8">
            <w:pPr>
              <w:widowControl/>
              <w:spacing w:line="380" w:lineRule="exact"/>
              <w:jc w:val="center"/>
              <w:rPr>
                <w:rFonts w:hint="eastAsia" w:ascii="宋体" w:hAnsi="宋体" w:eastAsia="宋体" w:cs="宋体"/>
                <w:color w:val="auto"/>
                <w:kern w:val="0"/>
                <w:szCs w:val="21"/>
                <w:lang w:val="en-US" w:eastAsia="zh-CN"/>
              </w:rPr>
            </w:pPr>
            <w:r>
              <w:rPr>
                <w:rFonts w:hint="eastAsia" w:ascii="宋体" w:hAnsi="宋体" w:eastAsia="宋体" w:cs="宋体"/>
                <w:color w:val="auto"/>
                <w:kern w:val="0"/>
                <w:szCs w:val="21"/>
                <w:lang w:val="en-US" w:eastAsia="zh-CN"/>
              </w:rPr>
              <w:drawing>
                <wp:anchor distT="0" distB="0" distL="114300" distR="114300" simplePos="0" relativeHeight="251663360" behindDoc="1" locked="0" layoutInCell="1" allowOverlap="1">
                  <wp:simplePos x="0" y="0"/>
                  <wp:positionH relativeFrom="column">
                    <wp:posOffset>9525</wp:posOffset>
                  </wp:positionH>
                  <wp:positionV relativeFrom="paragraph">
                    <wp:posOffset>90170</wp:posOffset>
                  </wp:positionV>
                  <wp:extent cx="3355340" cy="2339975"/>
                  <wp:effectExtent l="0" t="0" r="16510" b="0"/>
                  <wp:wrapTight wrapText="bothSides">
                    <wp:wrapPolygon>
                      <wp:start x="0" y="0"/>
                      <wp:lineTo x="0" y="21453"/>
                      <wp:lineTo x="21461" y="21453"/>
                      <wp:lineTo x="21461" y="0"/>
                      <wp:lineTo x="0" y="0"/>
                    </wp:wrapPolygon>
                  </wp:wrapTight>
                  <wp:docPr id="5" name="图片 5" descr="26b6ad90ac2a7dd4c507503033f455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26b6ad90ac2a7dd4c507503033f455e"/>
                          <pic:cNvPicPr>
                            <a:picLocks noChangeAspect="1"/>
                          </pic:cNvPicPr>
                        </pic:nvPicPr>
                        <pic:blipFill>
                          <a:blip r:embed="rId10"/>
                          <a:stretch>
                            <a:fillRect/>
                          </a:stretch>
                        </pic:blipFill>
                        <pic:spPr>
                          <a:xfrm>
                            <a:off x="0" y="0"/>
                            <a:ext cx="3355340" cy="2339975"/>
                          </a:xfrm>
                          <a:prstGeom prst="rect">
                            <a:avLst/>
                          </a:prstGeom>
                        </pic:spPr>
                      </pic:pic>
                    </a:graphicData>
                  </a:graphic>
                </wp:anchor>
              </w:drawing>
            </w:r>
          </w:p>
          <w:p w14:paraId="72C84D43">
            <w:pPr>
              <w:widowControl/>
              <w:spacing w:line="380" w:lineRule="exact"/>
              <w:jc w:val="both"/>
              <w:rPr>
                <w:rFonts w:hint="eastAsia" w:ascii="宋体" w:hAnsi="宋体" w:eastAsia="宋体" w:cs="宋体"/>
                <w:color w:val="auto"/>
                <w:kern w:val="0"/>
                <w:szCs w:val="21"/>
                <w:lang w:val="en-US" w:eastAsia="zh-CN"/>
              </w:rPr>
            </w:pPr>
          </w:p>
          <w:p w14:paraId="2C02B47C">
            <w:pPr>
              <w:widowControl/>
              <w:spacing w:line="380" w:lineRule="exact"/>
              <w:jc w:val="both"/>
              <w:rPr>
                <w:rFonts w:hint="eastAsia" w:ascii="宋体" w:hAnsi="宋体" w:eastAsia="宋体" w:cs="宋体"/>
                <w:color w:val="auto"/>
                <w:kern w:val="0"/>
                <w:szCs w:val="21"/>
                <w:lang w:val="en-US" w:eastAsia="zh-CN"/>
              </w:rPr>
            </w:pPr>
          </w:p>
        </w:tc>
      </w:tr>
      <w:tr w14:paraId="1A91583E">
        <w:tblPrEx>
          <w:tblCellMar>
            <w:top w:w="0" w:type="dxa"/>
            <w:left w:w="108" w:type="dxa"/>
            <w:bottom w:w="0" w:type="dxa"/>
            <w:right w:w="108" w:type="dxa"/>
          </w:tblCellMar>
        </w:tblPrEx>
        <w:trPr>
          <w:trHeight w:val="402" w:hRule="atLeast"/>
          <w:jc w:val="center"/>
        </w:trPr>
        <w:tc>
          <w:tcPr>
            <w:tcW w:w="649" w:type="dxa"/>
            <w:tcBorders>
              <w:top w:val="nil"/>
              <w:left w:val="single" w:color="auto" w:sz="4" w:space="0"/>
              <w:bottom w:val="single" w:color="auto" w:sz="4" w:space="0"/>
              <w:right w:val="single" w:color="auto" w:sz="4" w:space="0"/>
            </w:tcBorders>
            <w:shd w:val="clear" w:color="auto" w:fill="auto"/>
            <w:noWrap/>
            <w:vAlign w:val="center"/>
          </w:tcPr>
          <w:p w14:paraId="46806A5E">
            <w:pPr>
              <w:widowControl/>
              <w:spacing w:line="380" w:lineRule="exact"/>
              <w:jc w:val="center"/>
              <w:rPr>
                <w:rFonts w:hint="default" w:ascii="宋体" w:hAnsi="宋体" w:eastAsia="宋体" w:cs="宋体"/>
                <w:color w:val="auto"/>
                <w:kern w:val="0"/>
                <w:szCs w:val="21"/>
                <w:lang w:val="en-US" w:eastAsia="zh-CN"/>
              </w:rPr>
            </w:pPr>
            <w:r>
              <w:rPr>
                <w:rFonts w:hint="eastAsia" w:ascii="宋体" w:hAnsi="宋体" w:eastAsia="宋体" w:cs="宋体"/>
                <w:color w:val="auto"/>
                <w:kern w:val="0"/>
                <w:szCs w:val="21"/>
                <w:lang w:val="en-US" w:eastAsia="zh-CN"/>
              </w:rPr>
              <w:t>3</w:t>
            </w:r>
          </w:p>
        </w:tc>
        <w:tc>
          <w:tcPr>
            <w:tcW w:w="1635" w:type="dxa"/>
            <w:tcBorders>
              <w:top w:val="nil"/>
              <w:left w:val="nil"/>
              <w:bottom w:val="single" w:color="auto" w:sz="4" w:space="0"/>
              <w:right w:val="single" w:color="auto" w:sz="4" w:space="0"/>
            </w:tcBorders>
            <w:shd w:val="clear" w:color="auto" w:fill="auto"/>
            <w:noWrap/>
            <w:vAlign w:val="center"/>
          </w:tcPr>
          <w:p w14:paraId="6A5F3421">
            <w:pPr>
              <w:widowControl/>
              <w:spacing w:line="380" w:lineRule="exact"/>
              <w:jc w:val="center"/>
              <w:rPr>
                <w:rFonts w:hint="eastAsia" w:ascii="宋体" w:hAnsi="宋体" w:eastAsia="宋体" w:cs="宋体"/>
                <w:color w:val="auto"/>
                <w:kern w:val="0"/>
                <w:szCs w:val="21"/>
              </w:rPr>
            </w:pPr>
            <w:r>
              <w:rPr>
                <w:rFonts w:hint="eastAsia" w:ascii="宋体" w:hAnsi="宋体" w:eastAsia="宋体" w:cs="宋体"/>
                <w:color w:val="auto"/>
                <w:kern w:val="0"/>
                <w:szCs w:val="21"/>
              </w:rPr>
              <w:t>医用氧（气态）</w:t>
            </w:r>
          </w:p>
        </w:tc>
        <w:tc>
          <w:tcPr>
            <w:tcW w:w="825" w:type="dxa"/>
            <w:tcBorders>
              <w:top w:val="nil"/>
              <w:left w:val="nil"/>
              <w:bottom w:val="single" w:color="auto" w:sz="4" w:space="0"/>
              <w:right w:val="single" w:color="auto" w:sz="4" w:space="0"/>
            </w:tcBorders>
            <w:shd w:val="clear" w:color="auto" w:fill="auto"/>
            <w:noWrap/>
            <w:vAlign w:val="center"/>
          </w:tcPr>
          <w:p w14:paraId="0E39DAE5">
            <w:pPr>
              <w:widowControl/>
              <w:spacing w:line="380" w:lineRule="exact"/>
              <w:jc w:val="center"/>
              <w:rPr>
                <w:rFonts w:hint="eastAsia" w:ascii="宋体" w:hAnsi="宋体" w:eastAsia="宋体" w:cs="宋体"/>
                <w:color w:val="auto"/>
                <w:kern w:val="0"/>
                <w:szCs w:val="21"/>
                <w:lang w:eastAsia="zh-CN"/>
              </w:rPr>
            </w:pPr>
            <w:r>
              <w:rPr>
                <w:rFonts w:hint="eastAsia" w:ascii="宋体" w:hAnsi="宋体" w:eastAsia="宋体" w:cs="宋体"/>
                <w:color w:val="auto"/>
                <w:kern w:val="0"/>
                <w:szCs w:val="21"/>
                <w:lang w:eastAsia="zh-CN"/>
              </w:rPr>
              <w:t>瓶</w:t>
            </w:r>
          </w:p>
        </w:tc>
        <w:tc>
          <w:tcPr>
            <w:tcW w:w="1080" w:type="dxa"/>
            <w:tcBorders>
              <w:top w:val="nil"/>
              <w:left w:val="nil"/>
              <w:bottom w:val="single" w:color="auto" w:sz="4" w:space="0"/>
              <w:right w:val="single" w:color="auto" w:sz="4" w:space="0"/>
            </w:tcBorders>
            <w:shd w:val="clear" w:color="auto" w:fill="auto"/>
            <w:noWrap/>
            <w:vAlign w:val="center"/>
          </w:tcPr>
          <w:p w14:paraId="091361C5">
            <w:pPr>
              <w:widowControl/>
              <w:spacing w:line="380" w:lineRule="exact"/>
              <w:jc w:val="center"/>
              <w:rPr>
                <w:rFonts w:hint="default" w:ascii="宋体" w:hAnsi="宋体" w:eastAsia="宋体" w:cs="宋体"/>
                <w:color w:val="auto"/>
                <w:kern w:val="0"/>
                <w:szCs w:val="21"/>
                <w:lang w:val="en-US" w:eastAsia="zh-CN"/>
              </w:rPr>
            </w:pPr>
            <w:r>
              <w:rPr>
                <w:rFonts w:hint="eastAsia" w:ascii="宋体" w:hAnsi="宋体" w:eastAsia="宋体" w:cs="宋体"/>
                <w:color w:val="auto"/>
                <w:kern w:val="0"/>
                <w:szCs w:val="21"/>
                <w:lang w:val="en-US" w:eastAsia="zh-CN"/>
              </w:rPr>
              <w:t>10L</w:t>
            </w:r>
          </w:p>
        </w:tc>
        <w:tc>
          <w:tcPr>
            <w:tcW w:w="5503" w:type="dxa"/>
            <w:tcBorders>
              <w:top w:val="nil"/>
              <w:left w:val="nil"/>
              <w:bottom w:val="single" w:color="auto" w:sz="4" w:space="0"/>
              <w:right w:val="single" w:color="auto" w:sz="4" w:space="0"/>
            </w:tcBorders>
            <w:shd w:val="clear" w:color="auto" w:fill="auto"/>
            <w:noWrap/>
            <w:vAlign w:val="center"/>
          </w:tcPr>
          <w:p w14:paraId="4999F087">
            <w:pPr>
              <w:widowControl/>
              <w:spacing w:line="380" w:lineRule="exact"/>
              <w:jc w:val="both"/>
              <w:rPr>
                <w:rFonts w:hint="eastAsia" w:ascii="宋体" w:hAnsi="宋体" w:eastAsia="宋体" w:cs="宋体"/>
                <w:color w:val="auto"/>
                <w:kern w:val="0"/>
                <w:szCs w:val="21"/>
                <w:lang w:val="en-US" w:eastAsia="zh-CN"/>
              </w:rPr>
            </w:pPr>
          </w:p>
          <w:p w14:paraId="2FA6C743">
            <w:pPr>
              <w:widowControl/>
              <w:spacing w:line="380" w:lineRule="exact"/>
              <w:jc w:val="both"/>
              <w:rPr>
                <w:rFonts w:hint="eastAsia" w:ascii="宋体" w:hAnsi="宋体" w:eastAsia="宋体" w:cs="宋体"/>
                <w:color w:val="auto"/>
                <w:kern w:val="0"/>
                <w:szCs w:val="21"/>
                <w:lang w:val="en-US" w:eastAsia="zh-CN"/>
              </w:rPr>
            </w:pPr>
          </w:p>
          <w:p w14:paraId="7F44A105">
            <w:pPr>
              <w:widowControl/>
              <w:spacing w:line="380" w:lineRule="exact"/>
              <w:jc w:val="both"/>
              <w:rPr>
                <w:rFonts w:hint="eastAsia" w:ascii="宋体" w:hAnsi="宋体" w:eastAsia="宋体" w:cs="宋体"/>
                <w:color w:val="auto"/>
                <w:kern w:val="0"/>
                <w:szCs w:val="21"/>
                <w:lang w:val="en-US" w:eastAsia="zh-CN"/>
              </w:rPr>
            </w:pPr>
          </w:p>
          <w:p w14:paraId="6A945E3E">
            <w:pPr>
              <w:widowControl/>
              <w:spacing w:line="380" w:lineRule="exact"/>
              <w:jc w:val="both"/>
              <w:rPr>
                <w:rFonts w:hint="eastAsia" w:ascii="宋体" w:hAnsi="宋体" w:eastAsia="宋体" w:cs="宋体"/>
                <w:color w:val="auto"/>
                <w:kern w:val="0"/>
                <w:szCs w:val="21"/>
                <w:lang w:val="en-US" w:eastAsia="zh-CN"/>
              </w:rPr>
            </w:pPr>
            <w:r>
              <w:rPr>
                <w:rFonts w:hint="eastAsia" w:ascii="宋体" w:hAnsi="宋体" w:eastAsia="宋体" w:cs="宋体"/>
                <w:color w:val="auto"/>
                <w:kern w:val="0"/>
                <w:szCs w:val="21"/>
                <w:lang w:val="en-US" w:eastAsia="zh-CN"/>
              </w:rPr>
              <w:drawing>
                <wp:anchor distT="0" distB="0" distL="114300" distR="114300" simplePos="0" relativeHeight="251667456" behindDoc="1" locked="0" layoutInCell="1" allowOverlap="1">
                  <wp:simplePos x="0" y="0"/>
                  <wp:positionH relativeFrom="column">
                    <wp:posOffset>-28575</wp:posOffset>
                  </wp:positionH>
                  <wp:positionV relativeFrom="paragraph">
                    <wp:posOffset>86995</wp:posOffset>
                  </wp:positionV>
                  <wp:extent cx="3329305" cy="2496820"/>
                  <wp:effectExtent l="0" t="0" r="4445" b="17780"/>
                  <wp:wrapTight wrapText="bothSides">
                    <wp:wrapPolygon>
                      <wp:start x="0" y="0"/>
                      <wp:lineTo x="0" y="21424"/>
                      <wp:lineTo x="21505" y="21424"/>
                      <wp:lineTo x="21505" y="0"/>
                      <wp:lineTo x="0" y="0"/>
                    </wp:wrapPolygon>
                  </wp:wrapTight>
                  <wp:docPr id="9" name="图片 9" descr="b09c4025147aae8feaedf744092bb2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b09c4025147aae8feaedf744092bb2d"/>
                          <pic:cNvPicPr>
                            <a:picLocks noChangeAspect="1"/>
                          </pic:cNvPicPr>
                        </pic:nvPicPr>
                        <pic:blipFill>
                          <a:blip r:embed="rId11"/>
                          <a:stretch>
                            <a:fillRect/>
                          </a:stretch>
                        </pic:blipFill>
                        <pic:spPr>
                          <a:xfrm>
                            <a:off x="0" y="0"/>
                            <a:ext cx="3329305" cy="2496820"/>
                          </a:xfrm>
                          <a:prstGeom prst="rect">
                            <a:avLst/>
                          </a:prstGeom>
                        </pic:spPr>
                      </pic:pic>
                    </a:graphicData>
                  </a:graphic>
                </wp:anchor>
              </w:drawing>
            </w:r>
          </w:p>
          <w:p w14:paraId="255D274C">
            <w:pPr>
              <w:widowControl/>
              <w:spacing w:line="380" w:lineRule="exact"/>
              <w:jc w:val="both"/>
              <w:rPr>
                <w:rFonts w:hint="eastAsia" w:ascii="宋体" w:hAnsi="宋体" w:eastAsia="宋体" w:cs="宋体"/>
                <w:color w:val="auto"/>
                <w:kern w:val="0"/>
                <w:szCs w:val="21"/>
                <w:lang w:val="en-US" w:eastAsia="zh-CN"/>
              </w:rPr>
            </w:pPr>
          </w:p>
          <w:p w14:paraId="689B50B1">
            <w:pPr>
              <w:widowControl/>
              <w:spacing w:line="380" w:lineRule="exact"/>
              <w:jc w:val="both"/>
              <w:rPr>
                <w:rFonts w:hint="eastAsia" w:ascii="宋体" w:hAnsi="宋体" w:eastAsia="宋体" w:cs="宋体"/>
                <w:color w:val="auto"/>
                <w:kern w:val="0"/>
                <w:szCs w:val="21"/>
                <w:lang w:val="en-US" w:eastAsia="zh-CN"/>
              </w:rPr>
            </w:pPr>
          </w:p>
          <w:p w14:paraId="49D1BF5F">
            <w:pPr>
              <w:widowControl/>
              <w:spacing w:line="380" w:lineRule="exact"/>
              <w:jc w:val="both"/>
              <w:rPr>
                <w:rFonts w:hint="eastAsia" w:ascii="宋体" w:hAnsi="宋体" w:eastAsia="宋体" w:cs="宋体"/>
                <w:color w:val="auto"/>
                <w:kern w:val="0"/>
                <w:szCs w:val="21"/>
                <w:lang w:val="en-US" w:eastAsia="zh-CN"/>
              </w:rPr>
            </w:pPr>
          </w:p>
          <w:p w14:paraId="1105A303">
            <w:pPr>
              <w:widowControl/>
              <w:spacing w:line="380" w:lineRule="exact"/>
              <w:jc w:val="both"/>
              <w:rPr>
                <w:rFonts w:hint="eastAsia" w:ascii="宋体" w:hAnsi="宋体" w:eastAsia="宋体" w:cs="宋体"/>
                <w:color w:val="auto"/>
                <w:kern w:val="0"/>
                <w:szCs w:val="21"/>
                <w:lang w:val="en-US" w:eastAsia="zh-CN"/>
              </w:rPr>
            </w:pPr>
          </w:p>
          <w:p w14:paraId="54BA25CA">
            <w:pPr>
              <w:widowControl/>
              <w:spacing w:line="380" w:lineRule="exact"/>
              <w:jc w:val="both"/>
              <w:rPr>
                <w:rFonts w:hint="eastAsia" w:ascii="宋体" w:hAnsi="宋体" w:eastAsia="宋体" w:cs="宋体"/>
                <w:color w:val="auto"/>
                <w:kern w:val="0"/>
                <w:szCs w:val="21"/>
                <w:lang w:val="en-US" w:eastAsia="zh-CN"/>
              </w:rPr>
            </w:pPr>
            <w:r>
              <w:rPr>
                <w:rFonts w:hint="eastAsia" w:ascii="宋体" w:hAnsi="宋体" w:eastAsia="宋体" w:cs="宋体"/>
                <w:color w:val="auto"/>
                <w:kern w:val="0"/>
                <w:szCs w:val="21"/>
                <w:lang w:val="en-US" w:eastAsia="zh-CN"/>
              </w:rPr>
              <w:drawing>
                <wp:anchor distT="0" distB="0" distL="114300" distR="114300" simplePos="0" relativeHeight="251666432" behindDoc="1" locked="0" layoutInCell="1" allowOverlap="1">
                  <wp:simplePos x="0" y="0"/>
                  <wp:positionH relativeFrom="column">
                    <wp:posOffset>9525</wp:posOffset>
                  </wp:positionH>
                  <wp:positionV relativeFrom="paragraph">
                    <wp:posOffset>21590</wp:posOffset>
                  </wp:positionV>
                  <wp:extent cx="3355340" cy="3569335"/>
                  <wp:effectExtent l="0" t="0" r="16510" b="0"/>
                  <wp:wrapTight wrapText="bothSides">
                    <wp:wrapPolygon>
                      <wp:start x="0" y="0"/>
                      <wp:lineTo x="0" y="21442"/>
                      <wp:lineTo x="21461" y="21442"/>
                      <wp:lineTo x="21461" y="0"/>
                      <wp:lineTo x="0" y="0"/>
                    </wp:wrapPolygon>
                  </wp:wrapTight>
                  <wp:docPr id="8" name="图片 8" descr="78637b65ce88935cecbc851b87c1c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78637b65ce88935cecbc851b87c1c21"/>
                          <pic:cNvPicPr>
                            <a:picLocks noChangeAspect="1"/>
                          </pic:cNvPicPr>
                        </pic:nvPicPr>
                        <pic:blipFill>
                          <a:blip r:embed="rId12"/>
                          <a:stretch>
                            <a:fillRect/>
                          </a:stretch>
                        </pic:blipFill>
                        <pic:spPr>
                          <a:xfrm>
                            <a:off x="0" y="0"/>
                            <a:ext cx="3355340" cy="3569335"/>
                          </a:xfrm>
                          <a:prstGeom prst="rect">
                            <a:avLst/>
                          </a:prstGeom>
                        </pic:spPr>
                      </pic:pic>
                    </a:graphicData>
                  </a:graphic>
                </wp:anchor>
              </w:drawing>
            </w:r>
          </w:p>
          <w:p w14:paraId="029D3919">
            <w:pPr>
              <w:widowControl/>
              <w:spacing w:line="380" w:lineRule="exact"/>
              <w:jc w:val="both"/>
              <w:rPr>
                <w:rFonts w:hint="eastAsia" w:ascii="宋体" w:hAnsi="宋体" w:eastAsia="宋体" w:cs="宋体"/>
                <w:color w:val="auto"/>
                <w:kern w:val="0"/>
                <w:szCs w:val="21"/>
                <w:lang w:val="en-US" w:eastAsia="zh-CN"/>
              </w:rPr>
            </w:pPr>
          </w:p>
          <w:p w14:paraId="7ED1B493">
            <w:pPr>
              <w:widowControl/>
              <w:spacing w:line="380" w:lineRule="exact"/>
              <w:jc w:val="both"/>
              <w:rPr>
                <w:rFonts w:hint="eastAsia" w:ascii="宋体" w:hAnsi="宋体" w:eastAsia="宋体" w:cs="宋体"/>
                <w:color w:val="auto"/>
                <w:kern w:val="0"/>
                <w:szCs w:val="21"/>
                <w:lang w:val="en-US" w:eastAsia="zh-CN"/>
              </w:rPr>
            </w:pPr>
          </w:p>
          <w:p w14:paraId="6368F69C">
            <w:pPr>
              <w:widowControl/>
              <w:spacing w:line="380" w:lineRule="exact"/>
              <w:jc w:val="both"/>
              <w:rPr>
                <w:rFonts w:hint="eastAsia" w:ascii="宋体" w:hAnsi="宋体" w:eastAsia="宋体" w:cs="宋体"/>
                <w:color w:val="auto"/>
                <w:kern w:val="0"/>
                <w:szCs w:val="21"/>
                <w:lang w:val="en-US" w:eastAsia="zh-CN"/>
              </w:rPr>
            </w:pPr>
          </w:p>
        </w:tc>
      </w:tr>
      <w:tr w14:paraId="26E874EC">
        <w:tblPrEx>
          <w:tblCellMar>
            <w:top w:w="0" w:type="dxa"/>
            <w:left w:w="108" w:type="dxa"/>
            <w:bottom w:w="0" w:type="dxa"/>
            <w:right w:w="108" w:type="dxa"/>
          </w:tblCellMar>
        </w:tblPrEx>
        <w:trPr>
          <w:trHeight w:val="12755" w:hRule="atLeast"/>
          <w:jc w:val="center"/>
        </w:trPr>
        <w:tc>
          <w:tcPr>
            <w:tcW w:w="649" w:type="dxa"/>
            <w:tcBorders>
              <w:top w:val="nil"/>
              <w:left w:val="single" w:color="auto" w:sz="4" w:space="0"/>
              <w:bottom w:val="single" w:color="auto" w:sz="4" w:space="0"/>
              <w:right w:val="single" w:color="auto" w:sz="4" w:space="0"/>
            </w:tcBorders>
            <w:shd w:val="clear" w:color="auto" w:fill="auto"/>
            <w:noWrap/>
            <w:vAlign w:val="center"/>
          </w:tcPr>
          <w:p w14:paraId="4A2EB48D">
            <w:pPr>
              <w:widowControl/>
              <w:spacing w:line="380" w:lineRule="exact"/>
              <w:jc w:val="center"/>
              <w:rPr>
                <w:rFonts w:hint="default" w:ascii="宋体" w:hAnsi="宋体" w:eastAsia="宋体" w:cs="宋体"/>
                <w:color w:val="auto"/>
                <w:kern w:val="0"/>
                <w:szCs w:val="21"/>
                <w:lang w:val="en-US" w:eastAsia="zh-CN"/>
              </w:rPr>
            </w:pPr>
            <w:r>
              <w:rPr>
                <w:rFonts w:hint="eastAsia" w:ascii="宋体" w:hAnsi="宋体" w:eastAsia="宋体" w:cs="宋体"/>
                <w:color w:val="auto"/>
                <w:kern w:val="0"/>
                <w:szCs w:val="21"/>
                <w:lang w:val="en-US" w:eastAsia="zh-CN"/>
              </w:rPr>
              <w:t>4</w:t>
            </w:r>
          </w:p>
        </w:tc>
        <w:tc>
          <w:tcPr>
            <w:tcW w:w="1635" w:type="dxa"/>
            <w:tcBorders>
              <w:top w:val="nil"/>
              <w:left w:val="nil"/>
              <w:bottom w:val="single" w:color="auto" w:sz="4" w:space="0"/>
              <w:right w:val="single" w:color="auto" w:sz="4" w:space="0"/>
            </w:tcBorders>
            <w:shd w:val="clear" w:color="auto" w:fill="auto"/>
            <w:noWrap/>
            <w:vAlign w:val="center"/>
          </w:tcPr>
          <w:p w14:paraId="23F6C4A7">
            <w:pPr>
              <w:widowControl/>
              <w:spacing w:line="380" w:lineRule="exact"/>
              <w:jc w:val="center"/>
              <w:rPr>
                <w:rFonts w:ascii="宋体" w:hAnsi="宋体" w:eastAsia="宋体" w:cs="宋体"/>
                <w:color w:val="auto"/>
                <w:kern w:val="0"/>
                <w:szCs w:val="21"/>
              </w:rPr>
            </w:pPr>
            <w:r>
              <w:rPr>
                <w:rFonts w:hint="eastAsia" w:ascii="宋体" w:hAnsi="宋体" w:eastAsia="宋体" w:cs="宋体"/>
                <w:color w:val="auto"/>
                <w:kern w:val="0"/>
                <w:szCs w:val="21"/>
              </w:rPr>
              <w:t>液氮</w:t>
            </w:r>
          </w:p>
        </w:tc>
        <w:tc>
          <w:tcPr>
            <w:tcW w:w="825" w:type="dxa"/>
            <w:tcBorders>
              <w:top w:val="nil"/>
              <w:left w:val="nil"/>
              <w:bottom w:val="single" w:color="auto" w:sz="4" w:space="0"/>
              <w:right w:val="single" w:color="auto" w:sz="4" w:space="0"/>
            </w:tcBorders>
            <w:shd w:val="clear" w:color="auto" w:fill="auto"/>
            <w:noWrap/>
            <w:vAlign w:val="center"/>
          </w:tcPr>
          <w:p w14:paraId="2E2237D9">
            <w:pPr>
              <w:widowControl/>
              <w:spacing w:line="380" w:lineRule="exact"/>
              <w:jc w:val="center"/>
              <w:rPr>
                <w:rFonts w:ascii="宋体" w:hAnsi="宋体" w:eastAsia="宋体" w:cs="宋体"/>
                <w:color w:val="auto"/>
                <w:kern w:val="0"/>
                <w:szCs w:val="21"/>
              </w:rPr>
            </w:pPr>
            <w:r>
              <w:rPr>
                <w:rFonts w:hint="eastAsia" w:ascii="宋体" w:hAnsi="宋体" w:eastAsia="宋体" w:cs="宋体"/>
                <w:color w:val="auto"/>
                <w:kern w:val="0"/>
                <w:szCs w:val="21"/>
              </w:rPr>
              <w:t>罐</w:t>
            </w:r>
          </w:p>
        </w:tc>
        <w:tc>
          <w:tcPr>
            <w:tcW w:w="1080" w:type="dxa"/>
            <w:tcBorders>
              <w:top w:val="nil"/>
              <w:left w:val="nil"/>
              <w:bottom w:val="single" w:color="auto" w:sz="4" w:space="0"/>
              <w:right w:val="single" w:color="auto" w:sz="4" w:space="0"/>
            </w:tcBorders>
            <w:shd w:val="clear" w:color="auto" w:fill="auto"/>
            <w:noWrap/>
            <w:vAlign w:val="center"/>
          </w:tcPr>
          <w:p w14:paraId="32834FBB">
            <w:pPr>
              <w:widowControl/>
              <w:spacing w:line="380" w:lineRule="exact"/>
              <w:jc w:val="center"/>
              <w:rPr>
                <w:rFonts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kern w:val="0"/>
                <w:szCs w:val="21"/>
                <w:lang w:val="en-US" w:eastAsia="zh-CN"/>
              </w:rPr>
              <w:t>5</w:t>
            </w:r>
            <w:r>
              <w:rPr>
                <w:rFonts w:hint="eastAsia" w:ascii="宋体" w:hAnsi="宋体" w:eastAsia="宋体" w:cs="宋体"/>
                <w:color w:val="auto"/>
                <w:kern w:val="0"/>
                <w:szCs w:val="21"/>
              </w:rPr>
              <w:t>升</w:t>
            </w:r>
          </w:p>
        </w:tc>
        <w:tc>
          <w:tcPr>
            <w:tcW w:w="5503" w:type="dxa"/>
            <w:tcBorders>
              <w:top w:val="nil"/>
              <w:left w:val="nil"/>
              <w:bottom w:val="single" w:color="auto" w:sz="4" w:space="0"/>
              <w:right w:val="single" w:color="auto" w:sz="4" w:space="0"/>
            </w:tcBorders>
            <w:shd w:val="clear" w:color="auto" w:fill="auto"/>
            <w:noWrap/>
            <w:vAlign w:val="center"/>
          </w:tcPr>
          <w:p w14:paraId="26C34DD6">
            <w:pPr>
              <w:widowControl/>
              <w:spacing w:line="380" w:lineRule="exact"/>
              <w:jc w:val="both"/>
              <w:rPr>
                <w:rFonts w:hint="eastAsia" w:ascii="宋体" w:hAnsi="宋体" w:eastAsia="宋体" w:cs="宋体"/>
                <w:color w:val="auto"/>
                <w:kern w:val="0"/>
                <w:szCs w:val="21"/>
                <w:lang w:eastAsia="zh-CN"/>
              </w:rPr>
            </w:pPr>
            <w:r>
              <w:rPr>
                <w:rFonts w:hint="eastAsia" w:ascii="宋体" w:hAnsi="宋体" w:eastAsia="宋体" w:cs="宋体"/>
                <w:color w:val="auto"/>
                <w:kern w:val="0"/>
                <w:szCs w:val="21"/>
                <w:lang w:eastAsia="zh-CN"/>
              </w:rPr>
              <w:drawing>
                <wp:anchor distT="0" distB="0" distL="114300" distR="114300" simplePos="0" relativeHeight="251668480" behindDoc="1" locked="0" layoutInCell="1" allowOverlap="1">
                  <wp:simplePos x="0" y="0"/>
                  <wp:positionH relativeFrom="column">
                    <wp:posOffset>9525</wp:posOffset>
                  </wp:positionH>
                  <wp:positionV relativeFrom="paragraph">
                    <wp:posOffset>365125</wp:posOffset>
                  </wp:positionV>
                  <wp:extent cx="3353435" cy="4829175"/>
                  <wp:effectExtent l="0" t="0" r="18415" b="47625"/>
                  <wp:wrapTight wrapText="bothSides">
                    <wp:wrapPolygon>
                      <wp:start x="0" y="0"/>
                      <wp:lineTo x="0" y="21557"/>
                      <wp:lineTo x="21473" y="21557"/>
                      <wp:lineTo x="21473" y="0"/>
                      <wp:lineTo x="0" y="0"/>
                    </wp:wrapPolygon>
                  </wp:wrapTight>
                  <wp:docPr id="10" name="图片 10" descr="8cecd117cb6558d338dc75f164462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8cecd117cb6558d338dc75f164462c2"/>
                          <pic:cNvPicPr>
                            <a:picLocks noChangeAspect="1"/>
                          </pic:cNvPicPr>
                        </pic:nvPicPr>
                        <pic:blipFill>
                          <a:blip r:embed="rId13"/>
                          <a:stretch>
                            <a:fillRect/>
                          </a:stretch>
                        </pic:blipFill>
                        <pic:spPr>
                          <a:xfrm>
                            <a:off x="0" y="0"/>
                            <a:ext cx="3353435" cy="4829175"/>
                          </a:xfrm>
                          <a:prstGeom prst="rect">
                            <a:avLst/>
                          </a:prstGeom>
                        </pic:spPr>
                      </pic:pic>
                    </a:graphicData>
                  </a:graphic>
                </wp:anchor>
              </w:drawing>
            </w:r>
          </w:p>
        </w:tc>
      </w:tr>
    </w:tbl>
    <w:p w14:paraId="21536821">
      <w:pPr>
        <w:adjustRightInd w:val="0"/>
        <w:snapToGrid w:val="0"/>
        <w:spacing w:line="500" w:lineRule="exact"/>
        <w:rPr>
          <w:rFonts w:hint="eastAsia" w:ascii="宋体" w:hAnsi="宋体" w:cs="宋体"/>
          <w:color w:val="000000"/>
          <w:sz w:val="24"/>
          <w:szCs w:val="24"/>
          <w:lang w:eastAsia="zh-CN"/>
        </w:rPr>
      </w:pPr>
    </w:p>
    <w:p w14:paraId="41CE9C28">
      <w:pPr>
        <w:widowControl/>
        <w:spacing w:line="500" w:lineRule="exact"/>
        <w:jc w:val="left"/>
        <w:rPr>
          <w:rFonts w:asciiTheme="minorEastAsia" w:hAnsiTheme="minorEastAsia" w:cstheme="minorEastAsia"/>
          <w:b/>
          <w:bCs/>
          <w:kern w:val="0"/>
          <w:sz w:val="28"/>
          <w:szCs w:val="28"/>
        </w:rPr>
      </w:pPr>
    </w:p>
    <w:p w14:paraId="3E236BF1">
      <w:pPr>
        <w:spacing w:line="500" w:lineRule="exact"/>
        <w:ind w:right="840"/>
        <w:jc w:val="left"/>
        <w:rPr>
          <w:rFonts w:asciiTheme="minorEastAsia" w:hAnsiTheme="minorEastAsia"/>
          <w:szCs w:val="21"/>
        </w:rPr>
      </w:pPr>
    </w:p>
    <w:sectPr>
      <w:pgSz w:w="11906" w:h="16838"/>
      <w:pgMar w:top="1440" w:right="991" w:bottom="709" w:left="99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NhODIwMmY4YmI2ZTdjYzBiZGU2ODBmZjA1NzE3ZTYifQ=="/>
  </w:docVars>
  <w:rsids>
    <w:rsidRoot w:val="00172A27"/>
    <w:rsid w:val="00003BB3"/>
    <w:rsid w:val="00025D7E"/>
    <w:rsid w:val="00033B53"/>
    <w:rsid w:val="00047C0D"/>
    <w:rsid w:val="00052716"/>
    <w:rsid w:val="000612E1"/>
    <w:rsid w:val="000619CA"/>
    <w:rsid w:val="00062B23"/>
    <w:rsid w:val="000656F0"/>
    <w:rsid w:val="0008483D"/>
    <w:rsid w:val="00097933"/>
    <w:rsid w:val="000A075D"/>
    <w:rsid w:val="000A4E23"/>
    <w:rsid w:val="000B5AEC"/>
    <w:rsid w:val="000C1A22"/>
    <w:rsid w:val="000C296F"/>
    <w:rsid w:val="000C44AD"/>
    <w:rsid w:val="000D4DA6"/>
    <w:rsid w:val="0012755B"/>
    <w:rsid w:val="00127A1B"/>
    <w:rsid w:val="001317B0"/>
    <w:rsid w:val="0013287F"/>
    <w:rsid w:val="0015152E"/>
    <w:rsid w:val="00165415"/>
    <w:rsid w:val="00167E39"/>
    <w:rsid w:val="001771EA"/>
    <w:rsid w:val="001827CC"/>
    <w:rsid w:val="00192825"/>
    <w:rsid w:val="001A5B44"/>
    <w:rsid w:val="001B392C"/>
    <w:rsid w:val="001B46D4"/>
    <w:rsid w:val="001C443B"/>
    <w:rsid w:val="001D7351"/>
    <w:rsid w:val="001F63E1"/>
    <w:rsid w:val="001F7C64"/>
    <w:rsid w:val="00210C94"/>
    <w:rsid w:val="00211407"/>
    <w:rsid w:val="00222045"/>
    <w:rsid w:val="00223CFE"/>
    <w:rsid w:val="00231BC5"/>
    <w:rsid w:val="002336B8"/>
    <w:rsid w:val="00236BCD"/>
    <w:rsid w:val="002403DE"/>
    <w:rsid w:val="002452D2"/>
    <w:rsid w:val="0025014F"/>
    <w:rsid w:val="0026714A"/>
    <w:rsid w:val="00267BB1"/>
    <w:rsid w:val="00270070"/>
    <w:rsid w:val="00271584"/>
    <w:rsid w:val="002852D0"/>
    <w:rsid w:val="002945AA"/>
    <w:rsid w:val="002A3ED1"/>
    <w:rsid w:val="002B5A39"/>
    <w:rsid w:val="002C1259"/>
    <w:rsid w:val="002C168B"/>
    <w:rsid w:val="002D076A"/>
    <w:rsid w:val="002E2E07"/>
    <w:rsid w:val="002E6230"/>
    <w:rsid w:val="003013A1"/>
    <w:rsid w:val="0030175E"/>
    <w:rsid w:val="00316432"/>
    <w:rsid w:val="00324217"/>
    <w:rsid w:val="003310D7"/>
    <w:rsid w:val="00334C99"/>
    <w:rsid w:val="00347319"/>
    <w:rsid w:val="00347C79"/>
    <w:rsid w:val="00353F21"/>
    <w:rsid w:val="00357F02"/>
    <w:rsid w:val="003604D5"/>
    <w:rsid w:val="00371E76"/>
    <w:rsid w:val="00372058"/>
    <w:rsid w:val="003812BC"/>
    <w:rsid w:val="00385202"/>
    <w:rsid w:val="00385569"/>
    <w:rsid w:val="003974BF"/>
    <w:rsid w:val="003A1421"/>
    <w:rsid w:val="003B152A"/>
    <w:rsid w:val="003C3562"/>
    <w:rsid w:val="003D1941"/>
    <w:rsid w:val="003D6BF1"/>
    <w:rsid w:val="003E3281"/>
    <w:rsid w:val="003E32F3"/>
    <w:rsid w:val="003E755C"/>
    <w:rsid w:val="003F55CB"/>
    <w:rsid w:val="003F6B24"/>
    <w:rsid w:val="00414EF7"/>
    <w:rsid w:val="00420B63"/>
    <w:rsid w:val="00431CAB"/>
    <w:rsid w:val="00443796"/>
    <w:rsid w:val="004537DB"/>
    <w:rsid w:val="00453E9F"/>
    <w:rsid w:val="00460841"/>
    <w:rsid w:val="00463AA4"/>
    <w:rsid w:val="00464646"/>
    <w:rsid w:val="00482FAC"/>
    <w:rsid w:val="00490745"/>
    <w:rsid w:val="00491ED9"/>
    <w:rsid w:val="004A077E"/>
    <w:rsid w:val="004A5F17"/>
    <w:rsid w:val="004A7685"/>
    <w:rsid w:val="004D6B9C"/>
    <w:rsid w:val="004E6067"/>
    <w:rsid w:val="004F1FEB"/>
    <w:rsid w:val="004F5B68"/>
    <w:rsid w:val="00511413"/>
    <w:rsid w:val="0051212A"/>
    <w:rsid w:val="00512E07"/>
    <w:rsid w:val="00516AA4"/>
    <w:rsid w:val="00526C22"/>
    <w:rsid w:val="005349E8"/>
    <w:rsid w:val="005466B4"/>
    <w:rsid w:val="00547FF9"/>
    <w:rsid w:val="00550498"/>
    <w:rsid w:val="00554A7C"/>
    <w:rsid w:val="0055660F"/>
    <w:rsid w:val="00557841"/>
    <w:rsid w:val="00557AF4"/>
    <w:rsid w:val="00581449"/>
    <w:rsid w:val="00581EA8"/>
    <w:rsid w:val="005834CE"/>
    <w:rsid w:val="00590133"/>
    <w:rsid w:val="00590B17"/>
    <w:rsid w:val="00596D2B"/>
    <w:rsid w:val="005A01BB"/>
    <w:rsid w:val="005A5AEC"/>
    <w:rsid w:val="005B04C9"/>
    <w:rsid w:val="005E01B1"/>
    <w:rsid w:val="005E4198"/>
    <w:rsid w:val="005E5369"/>
    <w:rsid w:val="005E5559"/>
    <w:rsid w:val="005F175A"/>
    <w:rsid w:val="00601B5C"/>
    <w:rsid w:val="00603A9A"/>
    <w:rsid w:val="00611D97"/>
    <w:rsid w:val="0062419F"/>
    <w:rsid w:val="00625CC7"/>
    <w:rsid w:val="006311FC"/>
    <w:rsid w:val="00644395"/>
    <w:rsid w:val="00646BA6"/>
    <w:rsid w:val="00663C26"/>
    <w:rsid w:val="00665BD7"/>
    <w:rsid w:val="00676949"/>
    <w:rsid w:val="006804F5"/>
    <w:rsid w:val="006806E1"/>
    <w:rsid w:val="006946A9"/>
    <w:rsid w:val="006A1290"/>
    <w:rsid w:val="006A37A7"/>
    <w:rsid w:val="006A4667"/>
    <w:rsid w:val="006B5992"/>
    <w:rsid w:val="006C09BC"/>
    <w:rsid w:val="006C13D3"/>
    <w:rsid w:val="006C36D4"/>
    <w:rsid w:val="006C395A"/>
    <w:rsid w:val="006C60BB"/>
    <w:rsid w:val="006E384B"/>
    <w:rsid w:val="00701102"/>
    <w:rsid w:val="0071026D"/>
    <w:rsid w:val="00723BD5"/>
    <w:rsid w:val="00724E63"/>
    <w:rsid w:val="00740442"/>
    <w:rsid w:val="007471F8"/>
    <w:rsid w:val="00761A5E"/>
    <w:rsid w:val="007750C4"/>
    <w:rsid w:val="00776A7A"/>
    <w:rsid w:val="00795C66"/>
    <w:rsid w:val="007B33A7"/>
    <w:rsid w:val="00806DEF"/>
    <w:rsid w:val="00832C0E"/>
    <w:rsid w:val="0084028C"/>
    <w:rsid w:val="0085059F"/>
    <w:rsid w:val="00861016"/>
    <w:rsid w:val="00862B90"/>
    <w:rsid w:val="00873D8F"/>
    <w:rsid w:val="00894532"/>
    <w:rsid w:val="008A4B79"/>
    <w:rsid w:val="008B08B3"/>
    <w:rsid w:val="008B6EB3"/>
    <w:rsid w:val="008C0334"/>
    <w:rsid w:val="008C4B6B"/>
    <w:rsid w:val="008D0904"/>
    <w:rsid w:val="008D6CE0"/>
    <w:rsid w:val="008E3CF7"/>
    <w:rsid w:val="008E589B"/>
    <w:rsid w:val="008E664E"/>
    <w:rsid w:val="0091330A"/>
    <w:rsid w:val="0094216D"/>
    <w:rsid w:val="00952799"/>
    <w:rsid w:val="00961ED6"/>
    <w:rsid w:val="0096581A"/>
    <w:rsid w:val="009708C2"/>
    <w:rsid w:val="0098457D"/>
    <w:rsid w:val="00994317"/>
    <w:rsid w:val="009A09B6"/>
    <w:rsid w:val="009C30A4"/>
    <w:rsid w:val="009D064B"/>
    <w:rsid w:val="009D2323"/>
    <w:rsid w:val="009D6678"/>
    <w:rsid w:val="009D6F9A"/>
    <w:rsid w:val="009D7304"/>
    <w:rsid w:val="009E70C7"/>
    <w:rsid w:val="00A100E0"/>
    <w:rsid w:val="00A60A4E"/>
    <w:rsid w:val="00A6460D"/>
    <w:rsid w:val="00A70048"/>
    <w:rsid w:val="00A74D6A"/>
    <w:rsid w:val="00A82B22"/>
    <w:rsid w:val="00A95CA4"/>
    <w:rsid w:val="00A97A2D"/>
    <w:rsid w:val="00AB0D2B"/>
    <w:rsid w:val="00AB73C2"/>
    <w:rsid w:val="00AC352A"/>
    <w:rsid w:val="00AC49CF"/>
    <w:rsid w:val="00AD16DF"/>
    <w:rsid w:val="00AF7B80"/>
    <w:rsid w:val="00B17B9C"/>
    <w:rsid w:val="00B20522"/>
    <w:rsid w:val="00B231F3"/>
    <w:rsid w:val="00B23432"/>
    <w:rsid w:val="00B2464A"/>
    <w:rsid w:val="00B27FDA"/>
    <w:rsid w:val="00B5707D"/>
    <w:rsid w:val="00B63772"/>
    <w:rsid w:val="00B72163"/>
    <w:rsid w:val="00B72E39"/>
    <w:rsid w:val="00B800C1"/>
    <w:rsid w:val="00B8727A"/>
    <w:rsid w:val="00B9182D"/>
    <w:rsid w:val="00B95D56"/>
    <w:rsid w:val="00BA4CDF"/>
    <w:rsid w:val="00BB0B36"/>
    <w:rsid w:val="00BB248E"/>
    <w:rsid w:val="00BE13BC"/>
    <w:rsid w:val="00C01B46"/>
    <w:rsid w:val="00C0474A"/>
    <w:rsid w:val="00C10126"/>
    <w:rsid w:val="00C170A3"/>
    <w:rsid w:val="00C4094C"/>
    <w:rsid w:val="00C4779E"/>
    <w:rsid w:val="00C563DE"/>
    <w:rsid w:val="00C6030F"/>
    <w:rsid w:val="00C63F13"/>
    <w:rsid w:val="00C71357"/>
    <w:rsid w:val="00C739AE"/>
    <w:rsid w:val="00C920DE"/>
    <w:rsid w:val="00C92F1B"/>
    <w:rsid w:val="00CB177A"/>
    <w:rsid w:val="00CB5020"/>
    <w:rsid w:val="00CC4288"/>
    <w:rsid w:val="00CD49A3"/>
    <w:rsid w:val="00CD60A0"/>
    <w:rsid w:val="00CE00F4"/>
    <w:rsid w:val="00CE0AC8"/>
    <w:rsid w:val="00CE221F"/>
    <w:rsid w:val="00D1617B"/>
    <w:rsid w:val="00D27407"/>
    <w:rsid w:val="00D55D09"/>
    <w:rsid w:val="00D57B76"/>
    <w:rsid w:val="00D60E60"/>
    <w:rsid w:val="00D66A2A"/>
    <w:rsid w:val="00D85C8A"/>
    <w:rsid w:val="00D87BAA"/>
    <w:rsid w:val="00D909BB"/>
    <w:rsid w:val="00D92EB3"/>
    <w:rsid w:val="00D95BB8"/>
    <w:rsid w:val="00DA12A2"/>
    <w:rsid w:val="00DA5091"/>
    <w:rsid w:val="00DA73F6"/>
    <w:rsid w:val="00DC6443"/>
    <w:rsid w:val="00DD0DDB"/>
    <w:rsid w:val="00DD137E"/>
    <w:rsid w:val="00DD428A"/>
    <w:rsid w:val="00DF6CD1"/>
    <w:rsid w:val="00DF7D45"/>
    <w:rsid w:val="00E11BE4"/>
    <w:rsid w:val="00E31E36"/>
    <w:rsid w:val="00E60612"/>
    <w:rsid w:val="00E661D3"/>
    <w:rsid w:val="00E70C20"/>
    <w:rsid w:val="00E738B3"/>
    <w:rsid w:val="00E80FF2"/>
    <w:rsid w:val="00E84DA5"/>
    <w:rsid w:val="00E876F7"/>
    <w:rsid w:val="00EA3F2C"/>
    <w:rsid w:val="00EA4AC8"/>
    <w:rsid w:val="00EA6A14"/>
    <w:rsid w:val="00EB6FC9"/>
    <w:rsid w:val="00EB7675"/>
    <w:rsid w:val="00EB7C73"/>
    <w:rsid w:val="00EC07BF"/>
    <w:rsid w:val="00EC7627"/>
    <w:rsid w:val="00ED2E5E"/>
    <w:rsid w:val="00EE275A"/>
    <w:rsid w:val="00EE48BF"/>
    <w:rsid w:val="00EE6BBF"/>
    <w:rsid w:val="00EF198C"/>
    <w:rsid w:val="00EF4AA4"/>
    <w:rsid w:val="00F0557E"/>
    <w:rsid w:val="00F077E4"/>
    <w:rsid w:val="00F07FF1"/>
    <w:rsid w:val="00F20AA8"/>
    <w:rsid w:val="00F3187E"/>
    <w:rsid w:val="00F354D8"/>
    <w:rsid w:val="00F378C9"/>
    <w:rsid w:val="00F42036"/>
    <w:rsid w:val="00F478A5"/>
    <w:rsid w:val="00F5518B"/>
    <w:rsid w:val="00F571CC"/>
    <w:rsid w:val="00F65EE2"/>
    <w:rsid w:val="00F7028E"/>
    <w:rsid w:val="00F76628"/>
    <w:rsid w:val="00F811B7"/>
    <w:rsid w:val="00F825A2"/>
    <w:rsid w:val="00F95766"/>
    <w:rsid w:val="00FA65C0"/>
    <w:rsid w:val="00FB0C4A"/>
    <w:rsid w:val="00FC375E"/>
    <w:rsid w:val="00FD6733"/>
    <w:rsid w:val="00FD7B94"/>
    <w:rsid w:val="00FE0053"/>
    <w:rsid w:val="00FE3AC0"/>
    <w:rsid w:val="00FE596F"/>
    <w:rsid w:val="00FF0DA2"/>
    <w:rsid w:val="00FF4168"/>
    <w:rsid w:val="00FF638B"/>
    <w:rsid w:val="0514288D"/>
    <w:rsid w:val="0B130E5B"/>
    <w:rsid w:val="0C897696"/>
    <w:rsid w:val="12453629"/>
    <w:rsid w:val="1C3C16F1"/>
    <w:rsid w:val="2EBB3315"/>
    <w:rsid w:val="3479414E"/>
    <w:rsid w:val="3521198C"/>
    <w:rsid w:val="39720878"/>
    <w:rsid w:val="3AFE7C50"/>
    <w:rsid w:val="45995171"/>
    <w:rsid w:val="4D464096"/>
    <w:rsid w:val="525A4EB1"/>
    <w:rsid w:val="53437018"/>
    <w:rsid w:val="56832E6C"/>
    <w:rsid w:val="5BED5AD9"/>
    <w:rsid w:val="64B7496F"/>
    <w:rsid w:val="71A5772E"/>
    <w:rsid w:val="74917C0F"/>
    <w:rsid w:val="7C7C525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6"/>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7"/>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18"/>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19"/>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6">
    <w:name w:val="footer"/>
    <w:basedOn w:val="1"/>
    <w:link w:val="15"/>
    <w:unhideWhenUsed/>
    <w:qFormat/>
    <w:uiPriority w:val="99"/>
    <w:pPr>
      <w:tabs>
        <w:tab w:val="center" w:pos="4153"/>
        <w:tab w:val="right" w:pos="8306"/>
      </w:tabs>
      <w:snapToGrid w:val="0"/>
      <w:jc w:val="left"/>
    </w:pPr>
    <w:rPr>
      <w:sz w:val="18"/>
      <w:szCs w:val="18"/>
    </w:rPr>
  </w:style>
  <w:style w:type="paragraph" w:styleId="7">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next w:val="1"/>
    <w:qFormat/>
    <w:uiPriority w:val="99"/>
    <w:pPr>
      <w:widowControl/>
      <w:spacing w:before="100" w:beforeAutospacing="1" w:after="100" w:afterAutospacing="1"/>
      <w:jc w:val="left"/>
    </w:pPr>
    <w:rPr>
      <w:rFonts w:ascii="宋体" w:hAnsi="宋体" w:eastAsia="宋体" w:cs="Times New Roman"/>
      <w:color w:val="000000"/>
      <w:kern w:val="0"/>
      <w:sz w:val="24"/>
      <w:szCs w:val="24"/>
    </w:rPr>
  </w:style>
  <w:style w:type="table" w:styleId="10">
    <w:name w:val="Table Grid"/>
    <w:basedOn w:val="9"/>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12">
    <w:name w:val="Strong"/>
    <w:basedOn w:val="11"/>
    <w:qFormat/>
    <w:uiPriority w:val="22"/>
    <w:rPr>
      <w:b/>
    </w:rPr>
  </w:style>
  <w:style w:type="character" w:styleId="13">
    <w:name w:val="Hyperlink"/>
    <w:basedOn w:val="11"/>
    <w:unhideWhenUsed/>
    <w:qFormat/>
    <w:uiPriority w:val="99"/>
    <w:rPr>
      <w:color w:val="0000FF" w:themeColor="hyperlink"/>
      <w:u w:val="single"/>
      <w14:textFill>
        <w14:solidFill>
          <w14:schemeClr w14:val="hlink"/>
        </w14:solidFill>
      </w14:textFill>
    </w:rPr>
  </w:style>
  <w:style w:type="character" w:customStyle="1" w:styleId="14">
    <w:name w:val="页眉 字符"/>
    <w:basedOn w:val="11"/>
    <w:link w:val="7"/>
    <w:qFormat/>
    <w:uiPriority w:val="99"/>
    <w:rPr>
      <w:sz w:val="18"/>
      <w:szCs w:val="18"/>
    </w:rPr>
  </w:style>
  <w:style w:type="character" w:customStyle="1" w:styleId="15">
    <w:name w:val="页脚 字符"/>
    <w:basedOn w:val="11"/>
    <w:link w:val="6"/>
    <w:qFormat/>
    <w:uiPriority w:val="99"/>
    <w:rPr>
      <w:sz w:val="18"/>
      <w:szCs w:val="18"/>
    </w:rPr>
  </w:style>
  <w:style w:type="character" w:customStyle="1" w:styleId="16">
    <w:name w:val="标题 1 字符"/>
    <w:basedOn w:val="11"/>
    <w:link w:val="2"/>
    <w:qFormat/>
    <w:uiPriority w:val="9"/>
    <w:rPr>
      <w:b/>
      <w:bCs/>
      <w:kern w:val="44"/>
      <w:sz w:val="44"/>
      <w:szCs w:val="44"/>
    </w:rPr>
  </w:style>
  <w:style w:type="character" w:customStyle="1" w:styleId="17">
    <w:name w:val="标题 2 字符"/>
    <w:basedOn w:val="11"/>
    <w:link w:val="3"/>
    <w:qFormat/>
    <w:uiPriority w:val="9"/>
    <w:rPr>
      <w:rFonts w:asciiTheme="majorHAnsi" w:hAnsiTheme="majorHAnsi" w:eastAsiaTheme="majorEastAsia" w:cstheme="majorBidi"/>
      <w:b/>
      <w:bCs/>
      <w:sz w:val="32"/>
      <w:szCs w:val="32"/>
    </w:rPr>
  </w:style>
  <w:style w:type="character" w:customStyle="1" w:styleId="18">
    <w:name w:val="标题 3 字符"/>
    <w:basedOn w:val="11"/>
    <w:link w:val="4"/>
    <w:qFormat/>
    <w:uiPriority w:val="9"/>
    <w:rPr>
      <w:b/>
      <w:bCs/>
      <w:sz w:val="32"/>
      <w:szCs w:val="32"/>
    </w:rPr>
  </w:style>
  <w:style w:type="character" w:customStyle="1" w:styleId="19">
    <w:name w:val="标题 4 字符"/>
    <w:basedOn w:val="11"/>
    <w:link w:val="5"/>
    <w:qFormat/>
    <w:uiPriority w:val="9"/>
    <w:rPr>
      <w:rFonts w:asciiTheme="majorHAnsi" w:hAnsiTheme="majorHAnsi" w:eastAsiaTheme="majorEastAsia" w:cstheme="majorBidi"/>
      <w:b/>
      <w:bCs/>
      <w:sz w:val="28"/>
      <w:szCs w:val="28"/>
    </w:rPr>
  </w:style>
  <w:style w:type="paragraph" w:styleId="20">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image" Target="media/image10.jpeg"/><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Company>
  <Pages>7</Pages>
  <Words>2212</Words>
  <Characters>2298</Characters>
  <Lines>28</Lines>
  <Paragraphs>7</Paragraphs>
  <TotalTime>1</TotalTime>
  <ScaleCrop>false</ScaleCrop>
  <LinksUpToDate>false</LinksUpToDate>
  <CharactersWithSpaces>2303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2024-10-11T13:38:00Z</dcterms:created>
  <dc:creator>xz1</dc:creator>
  <cp:lastModifiedBy>18924981193</cp:lastModifiedBy>
  <cp:lastPrinted>2020-03-20T03:24:00Z</cp:lastPrinted>
  <dcterms:modified xsi:type="dcterms:W3CDTF">2026-10-21T03:55:45Z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CDF312A692B44A8CA4783A8BA91DFC41_13</vt:lpwstr>
  </property>
  <property fmtid="{D5CDD505-2E9C-101B-9397-08002B2CF9AE}" pid="4" name="KSOTemplateDocerSaveRecord">
    <vt:lpwstr>eyJoZGlkIjoiMDI1YTQ0MGQ2NDc4NmQ3MjU4NTFkMzZmNDA5NDM5ODgiLCJ1c2VySWQiOiI3MDcxOTEyNjEifQ==</vt:lpwstr>
  </property>
</Properties>
</file>