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AC25D">
      <w:pPr>
        <w:numPr>
          <w:ilvl w:val="0"/>
          <w:numId w:val="0"/>
        </w:numPr>
        <w:spacing w:line="360" w:lineRule="auto"/>
        <w:ind w:left="454" w:leftChars="215" w:hanging="3" w:hangingChars="1"/>
        <w:jc w:val="center"/>
        <w:rPr>
          <w:rFonts w:hint="eastAsia" w:ascii="方正小标宋简体" w:hAnsi="方正小标宋简体" w:eastAsia="方正小标宋简体" w:cs="方正小标宋简体"/>
          <w:bCs/>
          <w:color w:val="000000"/>
          <w:sz w:val="32"/>
          <w:szCs w:val="32"/>
          <w:lang w:val="en-US" w:eastAsia="zh-CN"/>
        </w:rPr>
      </w:pPr>
      <w:r>
        <w:rPr>
          <w:rFonts w:hint="eastAsia" w:ascii="方正小标宋简体" w:hAnsi="方正小标宋简体" w:eastAsia="方正小标宋简体" w:cs="方正小标宋简体"/>
          <w:bCs/>
          <w:color w:val="000000"/>
          <w:sz w:val="32"/>
          <w:szCs w:val="32"/>
          <w:lang w:val="en-US" w:eastAsia="zh-CN"/>
        </w:rPr>
        <w:t>2026年中山市东升医院工会会员及退休职工</w:t>
      </w:r>
    </w:p>
    <w:p w14:paraId="1B6036B1">
      <w:pPr>
        <w:numPr>
          <w:ilvl w:val="0"/>
          <w:numId w:val="0"/>
        </w:numPr>
        <w:spacing w:line="360" w:lineRule="auto"/>
        <w:ind w:left="454" w:leftChars="215" w:hanging="3" w:hangingChars="1"/>
        <w:jc w:val="center"/>
        <w:rPr>
          <w:rFonts w:hint="eastAsia" w:ascii="方正小标宋简体" w:hAnsi="方正小标宋简体" w:eastAsia="方正小标宋简体" w:cs="方正小标宋简体"/>
          <w:b w:val="0"/>
          <w:bCs w:val="0"/>
          <w:color w:val="auto"/>
          <w:sz w:val="28"/>
          <w:szCs w:val="28"/>
          <w:highlight w:val="none"/>
          <w:lang w:eastAsia="zh-CN"/>
        </w:rPr>
      </w:pPr>
      <w:r>
        <w:rPr>
          <w:rFonts w:hint="eastAsia" w:ascii="方正小标宋简体" w:hAnsi="方正小标宋简体" w:eastAsia="方正小标宋简体" w:cs="方正小标宋简体"/>
          <w:bCs/>
          <w:color w:val="000000"/>
          <w:sz w:val="32"/>
          <w:szCs w:val="32"/>
          <w:lang w:val="en-US" w:eastAsia="zh-CN"/>
        </w:rPr>
        <w:t>中秋慰问品</w:t>
      </w:r>
      <w:r>
        <w:rPr>
          <w:rFonts w:hint="eastAsia" w:ascii="方正小标宋简体" w:hAnsi="方正小标宋简体" w:eastAsia="方正小标宋简体" w:cs="方正小标宋简体"/>
          <w:color w:val="000000"/>
          <w:sz w:val="32"/>
          <w:szCs w:val="32"/>
        </w:rPr>
        <w:t>采购需求</w:t>
      </w:r>
      <w:r>
        <w:rPr>
          <w:rFonts w:hint="eastAsia" w:ascii="方正小标宋简体" w:hAnsi="方正小标宋简体" w:eastAsia="方正小标宋简体" w:cs="方正小标宋简体"/>
          <w:color w:val="000000"/>
          <w:sz w:val="32"/>
          <w:szCs w:val="32"/>
          <w:lang w:eastAsia="zh-CN"/>
        </w:rPr>
        <w:t>（暂定</w:t>
      </w:r>
      <w:bookmarkStart w:id="0" w:name="_GoBack"/>
      <w:bookmarkEnd w:id="0"/>
      <w:r>
        <w:rPr>
          <w:rFonts w:hint="eastAsia" w:ascii="方正小标宋简体" w:hAnsi="方正小标宋简体" w:eastAsia="方正小标宋简体" w:cs="方正小标宋简体"/>
          <w:color w:val="000000"/>
          <w:sz w:val="32"/>
          <w:szCs w:val="32"/>
          <w:lang w:eastAsia="zh-CN"/>
        </w:rPr>
        <w:t>）</w:t>
      </w:r>
    </w:p>
    <w:p w14:paraId="0FAB4E2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outlineLvl w:val="1"/>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一、项目概况</w:t>
      </w:r>
    </w:p>
    <w:p w14:paraId="3F336C18">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kern w:val="2"/>
          <w:sz w:val="28"/>
          <w:szCs w:val="28"/>
          <w:lang w:val="en-US" w:eastAsia="zh-CN" w:bidi="ar-SA"/>
        </w:rPr>
        <w:t>1.</w:t>
      </w:r>
      <w:r>
        <w:rPr>
          <w:rFonts w:hint="eastAsia" w:ascii="宋体" w:hAnsi="宋体" w:eastAsia="宋体" w:cs="宋体"/>
          <w:b w:val="0"/>
          <w:bCs w:val="0"/>
          <w:color w:val="auto"/>
          <w:sz w:val="28"/>
          <w:szCs w:val="28"/>
          <w:highlight w:val="none"/>
          <w:lang w:eastAsia="zh-CN"/>
        </w:rPr>
        <w:t>项目名称：</w:t>
      </w:r>
      <w:r>
        <w:rPr>
          <w:rFonts w:hint="eastAsia" w:ascii="宋体" w:hAnsi="宋体" w:eastAsia="宋体" w:cs="宋体"/>
          <w:bCs/>
          <w:color w:val="000000"/>
          <w:sz w:val="28"/>
          <w:szCs w:val="28"/>
          <w:lang w:val="en-US" w:eastAsia="zh-CN"/>
        </w:rPr>
        <w:t>2026年中山市东升医院工会会员及退休职工中秋慰问品项目</w:t>
      </w:r>
    </w:p>
    <w:p w14:paraId="7FEC39A6">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kern w:val="2"/>
          <w:sz w:val="28"/>
          <w:szCs w:val="28"/>
          <w:lang w:val="en-US" w:eastAsia="zh-CN" w:bidi="ar-SA"/>
        </w:rPr>
        <w:t>2.</w:t>
      </w:r>
      <w:r>
        <w:rPr>
          <w:rFonts w:hint="eastAsia" w:ascii="宋体" w:hAnsi="宋体" w:eastAsia="宋体" w:cs="宋体"/>
          <w:bCs/>
          <w:color w:val="000000"/>
          <w:sz w:val="28"/>
          <w:szCs w:val="28"/>
          <w:lang w:val="en-US" w:eastAsia="zh-CN"/>
        </w:rPr>
        <w:t>采购单位：(1)</w:t>
      </w:r>
      <w:r>
        <w:rPr>
          <w:rFonts w:hint="eastAsia" w:ascii="宋体" w:hAnsi="宋体" w:eastAsia="宋体" w:cs="宋体"/>
          <w:sz w:val="28"/>
          <w:szCs w:val="28"/>
          <w:lang w:eastAsia="zh-CN"/>
        </w:rPr>
        <w:t>中山市东升医院工会委员会</w:t>
      </w:r>
    </w:p>
    <w:p w14:paraId="5C1DCC0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sz w:val="28"/>
          <w:szCs w:val="28"/>
          <w:lang w:val="en-US" w:eastAsia="zh-CN"/>
        </w:rPr>
        <w:t xml:space="preserve">            (2)</w:t>
      </w:r>
      <w:r>
        <w:rPr>
          <w:rFonts w:hint="eastAsia" w:ascii="宋体" w:hAnsi="宋体" w:eastAsia="宋体" w:cs="宋体"/>
          <w:sz w:val="28"/>
          <w:szCs w:val="28"/>
          <w:lang w:eastAsia="zh-CN"/>
        </w:rPr>
        <w:t>中山市东升医院</w:t>
      </w:r>
    </w:p>
    <w:p w14:paraId="1A88CF97">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kern w:val="2"/>
          <w:sz w:val="28"/>
          <w:szCs w:val="28"/>
          <w:lang w:val="en-US" w:eastAsia="zh-CN" w:bidi="ar-SA"/>
        </w:rPr>
        <w:t>3.</w:t>
      </w:r>
      <w:r>
        <w:rPr>
          <w:rFonts w:hint="eastAsia" w:ascii="宋体" w:hAnsi="宋体" w:eastAsia="宋体" w:cs="宋体"/>
          <w:b w:val="0"/>
          <w:bCs w:val="0"/>
          <w:color w:val="auto"/>
          <w:sz w:val="28"/>
          <w:szCs w:val="28"/>
          <w:highlight w:val="none"/>
          <w:lang w:eastAsia="zh-CN"/>
        </w:rPr>
        <w:t>配送</w:t>
      </w:r>
      <w:r>
        <w:rPr>
          <w:rFonts w:hint="eastAsia" w:ascii="宋体" w:hAnsi="宋体" w:eastAsia="宋体" w:cs="宋体"/>
          <w:b w:val="0"/>
          <w:bCs w:val="0"/>
          <w:color w:val="auto"/>
          <w:sz w:val="28"/>
          <w:szCs w:val="28"/>
          <w:highlight w:val="none"/>
          <w:lang w:val="en-US" w:eastAsia="zh-CN"/>
        </w:rPr>
        <w:t>方式：120份按采购方提供的人员清单及对应地址邮寄到个人（国内邮件），其余配送到</w:t>
      </w:r>
      <w:r>
        <w:rPr>
          <w:rFonts w:hint="eastAsia" w:ascii="宋体" w:hAnsi="宋体" w:eastAsia="宋体" w:cs="宋体"/>
          <w:b w:val="0"/>
          <w:bCs w:val="0"/>
          <w:color w:val="auto"/>
          <w:sz w:val="28"/>
          <w:szCs w:val="28"/>
          <w:highlight w:val="none"/>
          <w:lang w:eastAsia="zh-CN"/>
        </w:rPr>
        <w:t>中山市东升医院内（按医院要求配送到各楼层）</w:t>
      </w:r>
    </w:p>
    <w:p w14:paraId="17CC767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000000"/>
          <w:sz w:val="28"/>
          <w:szCs w:val="28"/>
          <w:lang w:eastAsia="zh-CN"/>
        </w:rPr>
      </w:pPr>
      <w:r>
        <w:rPr>
          <w:rFonts w:hint="eastAsia" w:ascii="宋体" w:hAnsi="宋体" w:eastAsia="宋体" w:cs="宋体"/>
          <w:b w:val="0"/>
          <w:bCs w:val="0"/>
          <w:color w:val="auto"/>
          <w:kern w:val="2"/>
          <w:sz w:val="28"/>
          <w:szCs w:val="28"/>
          <w:lang w:val="en-US" w:eastAsia="zh-CN" w:bidi="ar-SA"/>
        </w:rPr>
        <w:t>4.</w:t>
      </w:r>
      <w:r>
        <w:rPr>
          <w:rFonts w:hint="eastAsia" w:ascii="宋体" w:hAnsi="宋体" w:eastAsia="宋体" w:cs="宋体"/>
          <w:b w:val="0"/>
          <w:bCs w:val="0"/>
          <w:color w:val="auto"/>
          <w:sz w:val="28"/>
          <w:szCs w:val="28"/>
          <w:highlight w:val="none"/>
          <w:lang w:eastAsia="zh-CN"/>
        </w:rPr>
        <w:t>预算金额：</w:t>
      </w:r>
      <w:r>
        <w:rPr>
          <w:rFonts w:hint="eastAsia" w:ascii="宋体" w:hAnsi="宋体" w:eastAsia="宋体" w:cs="宋体"/>
          <w:b/>
          <w:bCs/>
          <w:color w:val="000000"/>
          <w:sz w:val="28"/>
          <w:szCs w:val="28"/>
          <w:highlight w:val="none"/>
          <w:lang w:val="en-US" w:eastAsia="zh-CN"/>
        </w:rPr>
        <w:t>129600</w:t>
      </w:r>
      <w:r>
        <w:rPr>
          <w:rFonts w:hint="eastAsia" w:ascii="宋体" w:hAnsi="宋体" w:eastAsia="宋体" w:cs="宋体"/>
          <w:b/>
          <w:bCs/>
          <w:color w:val="000000"/>
          <w:sz w:val="28"/>
          <w:szCs w:val="28"/>
          <w:highlight w:val="none"/>
        </w:rPr>
        <w:t>元</w:t>
      </w:r>
      <w:r>
        <w:rPr>
          <w:rFonts w:hint="eastAsia" w:ascii="宋体" w:hAnsi="宋体" w:eastAsia="宋体" w:cs="宋体"/>
          <w:b/>
          <w:bCs/>
          <w:color w:val="000000"/>
          <w:sz w:val="28"/>
          <w:szCs w:val="28"/>
          <w:highlight w:val="none"/>
          <w:lang w:eastAsia="zh-CN"/>
        </w:rPr>
        <w:t>，</w:t>
      </w:r>
      <w:r>
        <w:rPr>
          <w:rFonts w:hint="eastAsia" w:ascii="宋体" w:hAnsi="宋体" w:eastAsia="宋体" w:cs="宋体"/>
          <w:color w:val="000000"/>
          <w:sz w:val="28"/>
          <w:szCs w:val="28"/>
          <w:lang w:eastAsia="zh-CN"/>
        </w:rPr>
        <w:t>预算情况如下：</w:t>
      </w:r>
    </w:p>
    <w:tbl>
      <w:tblPr>
        <w:tblStyle w:val="11"/>
        <w:tblW w:w="7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450"/>
        <w:gridCol w:w="1450"/>
        <w:gridCol w:w="1329"/>
        <w:gridCol w:w="2328"/>
      </w:tblGrid>
      <w:tr w14:paraId="0DEE9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627" w:type="dxa"/>
            <w:vAlign w:val="top"/>
          </w:tcPr>
          <w:p w14:paraId="3684F1FB">
            <w:pPr>
              <w:pStyle w:val="10"/>
              <w:spacing w:before="143" w:line="229" w:lineRule="auto"/>
              <w:ind w:left="137"/>
              <w:jc w:val="both"/>
              <w:rPr>
                <w:rFonts w:hint="eastAsia" w:ascii="宋体" w:hAnsi="宋体" w:eastAsia="宋体" w:cs="宋体"/>
              </w:rPr>
            </w:pPr>
            <w:r>
              <w:rPr>
                <w:rFonts w:hint="eastAsia" w:ascii="宋体" w:hAnsi="宋体" w:eastAsia="宋体" w:cs="宋体"/>
                <w:b/>
                <w:bCs/>
                <w:spacing w:val="-6"/>
              </w:rPr>
              <w:t>序号</w:t>
            </w:r>
          </w:p>
        </w:tc>
        <w:tc>
          <w:tcPr>
            <w:tcW w:w="1450" w:type="dxa"/>
            <w:vAlign w:val="center"/>
          </w:tcPr>
          <w:p w14:paraId="1C77B161">
            <w:pPr>
              <w:pStyle w:val="10"/>
              <w:spacing w:before="26" w:line="225" w:lineRule="auto"/>
              <w:ind w:left="488" w:right="364" w:hanging="122"/>
              <w:jc w:val="center"/>
              <w:rPr>
                <w:rFonts w:hint="eastAsia" w:ascii="宋体" w:hAnsi="宋体" w:eastAsia="宋体" w:cs="宋体"/>
              </w:rPr>
            </w:pPr>
            <w:r>
              <w:rPr>
                <w:rFonts w:hint="eastAsia" w:ascii="宋体" w:hAnsi="宋体" w:eastAsia="宋体" w:cs="宋体"/>
                <w:b/>
                <w:bCs/>
                <w:spacing w:val="-4"/>
              </w:rPr>
              <w:t>数量</w:t>
            </w:r>
            <w:r>
              <w:rPr>
                <w:rFonts w:hint="eastAsia" w:ascii="宋体" w:hAnsi="宋体" w:eastAsia="宋体" w:cs="宋体"/>
                <w:b/>
                <w:bCs/>
                <w:spacing w:val="-15"/>
              </w:rPr>
              <w:t>（份）</w:t>
            </w:r>
          </w:p>
        </w:tc>
        <w:tc>
          <w:tcPr>
            <w:tcW w:w="1450" w:type="dxa"/>
            <w:vAlign w:val="top"/>
          </w:tcPr>
          <w:p w14:paraId="22D71E46">
            <w:pPr>
              <w:pStyle w:val="10"/>
              <w:spacing w:before="26" w:line="225" w:lineRule="auto"/>
              <w:ind w:left="368" w:right="362" w:firstLine="3"/>
              <w:jc w:val="both"/>
              <w:rPr>
                <w:rFonts w:hint="eastAsia" w:ascii="宋体" w:hAnsi="宋体" w:eastAsia="宋体" w:cs="宋体"/>
              </w:rPr>
            </w:pPr>
            <w:r>
              <w:rPr>
                <w:rFonts w:hint="eastAsia" w:ascii="宋体" w:hAnsi="宋体" w:eastAsia="宋体" w:cs="宋体"/>
                <w:b/>
                <w:bCs/>
                <w:spacing w:val="-5"/>
              </w:rPr>
              <w:t>单价上限</w:t>
            </w:r>
            <w:r>
              <w:rPr>
                <w:rFonts w:hint="eastAsia" w:ascii="宋体" w:hAnsi="宋体" w:eastAsia="宋体" w:cs="宋体"/>
                <w:b/>
                <w:bCs/>
                <w:spacing w:val="-22"/>
              </w:rPr>
              <w:t>（元/份）</w:t>
            </w:r>
          </w:p>
        </w:tc>
        <w:tc>
          <w:tcPr>
            <w:tcW w:w="1329" w:type="dxa"/>
            <w:vAlign w:val="top"/>
          </w:tcPr>
          <w:p w14:paraId="5411D72E">
            <w:pPr>
              <w:pStyle w:val="10"/>
              <w:spacing w:before="26" w:line="225" w:lineRule="auto"/>
              <w:ind w:left="430" w:right="302" w:hanging="118"/>
              <w:jc w:val="both"/>
              <w:rPr>
                <w:rFonts w:hint="eastAsia" w:ascii="宋体" w:hAnsi="宋体" w:eastAsia="宋体" w:cs="宋体"/>
              </w:rPr>
            </w:pPr>
            <w:r>
              <w:rPr>
                <w:rFonts w:hint="eastAsia" w:ascii="宋体" w:hAnsi="宋体" w:eastAsia="宋体" w:cs="宋体"/>
                <w:b/>
                <w:bCs/>
                <w:spacing w:val="-5"/>
              </w:rPr>
              <w:t>总额上限</w:t>
            </w:r>
            <w:r>
              <w:rPr>
                <w:rFonts w:hint="eastAsia" w:ascii="宋体" w:hAnsi="宋体" w:eastAsia="宋体" w:cs="宋体"/>
                <w:b/>
                <w:bCs/>
                <w:spacing w:val="-15"/>
              </w:rPr>
              <w:t>（元）</w:t>
            </w:r>
          </w:p>
        </w:tc>
        <w:tc>
          <w:tcPr>
            <w:tcW w:w="2328" w:type="dxa"/>
            <w:vAlign w:val="top"/>
          </w:tcPr>
          <w:p w14:paraId="785E5EA8">
            <w:pPr>
              <w:pStyle w:val="10"/>
              <w:spacing w:before="143" w:line="228" w:lineRule="auto"/>
              <w:ind w:left="987"/>
              <w:jc w:val="both"/>
              <w:rPr>
                <w:rFonts w:hint="eastAsia" w:ascii="宋体" w:hAnsi="宋体" w:eastAsia="宋体" w:cs="宋体"/>
              </w:rPr>
            </w:pPr>
            <w:r>
              <w:rPr>
                <w:rFonts w:hint="eastAsia" w:ascii="宋体" w:hAnsi="宋体" w:eastAsia="宋体" w:cs="宋体"/>
                <w:b/>
                <w:bCs/>
                <w:spacing w:val="-5"/>
              </w:rPr>
              <w:t>备注</w:t>
            </w:r>
          </w:p>
        </w:tc>
      </w:tr>
      <w:tr w14:paraId="1065E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627" w:type="dxa"/>
            <w:vAlign w:val="top"/>
          </w:tcPr>
          <w:p w14:paraId="066C2EAE">
            <w:pPr>
              <w:spacing w:before="112" w:line="252" w:lineRule="exact"/>
              <w:ind w:left="275"/>
              <w:jc w:val="both"/>
              <w:rPr>
                <w:rFonts w:hint="eastAsia" w:ascii="宋体" w:hAnsi="宋体" w:eastAsia="宋体" w:cs="宋体"/>
                <w:sz w:val="18"/>
                <w:szCs w:val="18"/>
              </w:rPr>
            </w:pPr>
            <w:r>
              <w:rPr>
                <w:rFonts w:hint="eastAsia" w:ascii="宋体" w:hAnsi="宋体" w:eastAsia="宋体" w:cs="宋体"/>
                <w:position w:val="1"/>
                <w:sz w:val="18"/>
                <w:szCs w:val="18"/>
              </w:rPr>
              <w:t>1</w:t>
            </w:r>
          </w:p>
        </w:tc>
        <w:tc>
          <w:tcPr>
            <w:tcW w:w="1450" w:type="dxa"/>
            <w:vAlign w:val="top"/>
          </w:tcPr>
          <w:p w14:paraId="5B2DB11B">
            <w:pPr>
              <w:spacing w:before="112" w:line="251" w:lineRule="exact"/>
              <w:ind w:left="552"/>
              <w:jc w:val="both"/>
              <w:rPr>
                <w:rFonts w:hint="eastAsia" w:ascii="宋体" w:hAnsi="宋体" w:eastAsia="宋体" w:cs="宋体"/>
                <w:sz w:val="18"/>
                <w:szCs w:val="18"/>
                <w:lang w:val="en-US" w:eastAsia="zh-CN"/>
              </w:rPr>
            </w:pPr>
            <w:r>
              <w:rPr>
                <w:rFonts w:hint="eastAsia" w:ascii="宋体" w:hAnsi="宋体" w:eastAsia="宋体" w:cs="宋体"/>
                <w:spacing w:val="-4"/>
                <w:position w:val="1"/>
                <w:sz w:val="18"/>
                <w:szCs w:val="18"/>
                <w:lang w:val="en-US" w:eastAsia="zh-CN"/>
              </w:rPr>
              <w:t>648</w:t>
            </w:r>
          </w:p>
        </w:tc>
        <w:tc>
          <w:tcPr>
            <w:tcW w:w="1450" w:type="dxa"/>
            <w:vAlign w:val="top"/>
          </w:tcPr>
          <w:p w14:paraId="3D219E1E">
            <w:pPr>
              <w:spacing w:before="112" w:line="251" w:lineRule="exact"/>
              <w:ind w:left="595"/>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200</w:t>
            </w:r>
          </w:p>
        </w:tc>
        <w:tc>
          <w:tcPr>
            <w:tcW w:w="1329" w:type="dxa"/>
            <w:vAlign w:val="top"/>
          </w:tcPr>
          <w:p w14:paraId="5DFEBA63">
            <w:pPr>
              <w:spacing w:before="112" w:line="251" w:lineRule="exact"/>
              <w:ind w:left="401"/>
              <w:jc w:val="both"/>
              <w:rPr>
                <w:rFonts w:hint="eastAsia" w:ascii="宋体" w:hAnsi="宋体" w:eastAsia="宋体" w:cs="宋体"/>
                <w:sz w:val="18"/>
                <w:szCs w:val="18"/>
                <w:lang w:val="en-US" w:eastAsia="zh-CN"/>
              </w:rPr>
            </w:pPr>
            <w:r>
              <w:rPr>
                <w:rFonts w:hint="eastAsia" w:ascii="宋体" w:hAnsi="宋体" w:eastAsia="宋体" w:cs="宋体"/>
                <w:spacing w:val="-2"/>
                <w:position w:val="2"/>
                <w:sz w:val="18"/>
                <w:szCs w:val="18"/>
                <w:lang w:val="en-US" w:eastAsia="zh-CN"/>
              </w:rPr>
              <w:t>129600</w:t>
            </w:r>
          </w:p>
        </w:tc>
        <w:tc>
          <w:tcPr>
            <w:tcW w:w="2328" w:type="dxa"/>
            <w:vAlign w:val="top"/>
          </w:tcPr>
          <w:p w14:paraId="54E7BB73">
            <w:pPr>
              <w:spacing w:before="112" w:line="238" w:lineRule="auto"/>
              <w:ind w:left="381"/>
              <w:jc w:val="both"/>
              <w:rPr>
                <w:rFonts w:hint="eastAsia" w:ascii="宋体" w:hAnsi="宋体" w:eastAsia="宋体" w:cs="宋体"/>
                <w:sz w:val="18"/>
                <w:szCs w:val="18"/>
              </w:rPr>
            </w:pPr>
            <w:r>
              <w:rPr>
                <w:rFonts w:hint="eastAsia" w:ascii="宋体" w:hAnsi="宋体" w:eastAsia="宋体" w:cs="宋体"/>
                <w:spacing w:val="-4"/>
                <w:sz w:val="18"/>
                <w:szCs w:val="18"/>
              </w:rPr>
              <w:t>以实际发放量结算。</w:t>
            </w:r>
          </w:p>
        </w:tc>
      </w:tr>
    </w:tbl>
    <w:p w14:paraId="62F124F6">
      <w:pPr>
        <w:keepNext w:val="0"/>
        <w:keepLines w:val="0"/>
        <w:pageBreakBefore w:val="0"/>
        <w:widowControl w:val="0"/>
        <w:numPr>
          <w:ilvl w:val="0"/>
          <w:numId w:val="0"/>
        </w:numPr>
        <w:kinsoku/>
        <w:wordWrap/>
        <w:overflowPunct/>
        <w:topLinePunct w:val="0"/>
        <w:autoSpaceDE/>
        <w:autoSpaceDN/>
        <w:bidi w:val="0"/>
        <w:adjustRightInd/>
        <w:snapToGrid/>
        <w:spacing w:line="480" w:lineRule="exact"/>
        <w:rPr>
          <w:rFonts w:hint="default" w:ascii="仿宋" w:hAnsi="仿宋" w:eastAsia="仿宋" w:cs="仿宋"/>
          <w:color w:val="000000"/>
          <w:sz w:val="18"/>
          <w:szCs w:val="18"/>
          <w:lang w:val="en-US" w:eastAsia="zh-CN"/>
        </w:rPr>
      </w:pPr>
      <w:r>
        <w:rPr>
          <w:rFonts w:hint="eastAsia" w:ascii="宋体" w:hAnsi="宋体" w:eastAsia="宋体" w:cs="宋体"/>
          <w:color w:val="000000"/>
          <w:sz w:val="18"/>
          <w:szCs w:val="18"/>
          <w:lang w:val="en-US" w:eastAsia="zh-CN"/>
        </w:rPr>
        <w:t xml:space="preserve">      注：工会535份，退休职工113份，</w:t>
      </w:r>
      <w:r>
        <w:rPr>
          <w:rFonts w:hint="eastAsia" w:ascii="宋体" w:hAnsi="宋体" w:eastAsia="宋体" w:cs="宋体"/>
          <w:spacing w:val="-4"/>
          <w:sz w:val="18"/>
          <w:szCs w:val="18"/>
        </w:rPr>
        <w:t>采购金额为预计发生量，结算时以实际发生量为准</w:t>
      </w:r>
    </w:p>
    <w:p w14:paraId="72272FF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80" w:lineRule="exact"/>
        <w:ind w:left="0" w:right="0" w:firstLine="0"/>
        <w:textAlignment w:val="baseline"/>
        <w:rPr>
          <w:rFonts w:ascii="Helvetica LT Pro" w:hAnsi="Helvetica LT Pro" w:eastAsia="Helvetica LT Pro" w:cs="Helvetica LT Pro"/>
          <w:b/>
          <w:bCs/>
          <w:i w:val="0"/>
          <w:iCs w:val="0"/>
          <w:caps w:val="0"/>
          <w:color w:val="000000"/>
          <w:spacing w:val="0"/>
          <w:sz w:val="27"/>
          <w:szCs w:val="27"/>
        </w:rPr>
      </w:pPr>
      <w:r>
        <w:rPr>
          <w:rStyle w:val="9"/>
          <w:rFonts w:hint="eastAsia" w:ascii="宋体" w:hAnsi="宋体" w:eastAsia="宋体" w:cs="宋体"/>
          <w:b/>
          <w:bCs/>
          <w:i w:val="0"/>
          <w:iCs w:val="0"/>
          <w:caps w:val="0"/>
          <w:color w:val="000000"/>
          <w:spacing w:val="15"/>
          <w:sz w:val="28"/>
          <w:szCs w:val="28"/>
          <w:shd w:val="clear" w:fill="FFFFFF"/>
          <w:vertAlign w:val="baseline"/>
        </w:rPr>
        <w:t>二、供应商的资格要求</w:t>
      </w:r>
    </w:p>
    <w:p w14:paraId="1CB61F24">
      <w:pPr>
        <w:keepNext w:val="0"/>
        <w:keepLines w:val="0"/>
        <w:pageBreakBefore w:val="0"/>
        <w:widowControl w:val="0"/>
        <w:kinsoku/>
        <w:wordWrap/>
        <w:overflowPunct/>
        <w:topLinePunct w:val="0"/>
        <w:autoSpaceDE/>
        <w:autoSpaceDN/>
        <w:bidi w:val="0"/>
        <w:adjustRightInd/>
        <w:snapToGrid/>
        <w:spacing w:line="480" w:lineRule="exact"/>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1.</w:t>
      </w:r>
      <w:r>
        <w:rPr>
          <w:rFonts w:hint="eastAsia" w:ascii="宋体" w:hAnsi="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响应供应商必须是</w:t>
      </w:r>
      <w:r>
        <w:rPr>
          <w:rFonts w:hint="eastAsia" w:ascii="宋体" w:hAnsi="宋体" w:eastAsia="宋体" w:cs="宋体"/>
          <w:sz w:val="28"/>
          <w:szCs w:val="28"/>
        </w:rPr>
        <w:t>具有独立承担民事责任的能力：在中华人民共和国境内注册的法人或其他组织或自然人，投标（响应）时提交营业执照（或事业法人登记证或身份证等相关证明）复印件。分支机构投标的，须提供总公司和分公司营业执照复印件，总公司出具给分支机构的授权书。</w:t>
      </w:r>
    </w:p>
    <w:p w14:paraId="51E4764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2.</w:t>
      </w:r>
      <w:r>
        <w:rPr>
          <w:rFonts w:hint="eastAsia" w:ascii="宋体" w:hAnsi="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响应供应商须具有效的且具备相关经营范围的营业执照；</w:t>
      </w:r>
    </w:p>
    <w:p w14:paraId="059588B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lang w:val="en-US" w:eastAsia="zh-CN"/>
        </w:rPr>
        <w:t>3</w:t>
      </w:r>
      <w:r>
        <w:rPr>
          <w:rFonts w:hint="eastAsia" w:ascii="宋体" w:hAnsi="宋体" w:eastAsia="宋体" w:cs="宋体"/>
          <w:i w:val="0"/>
          <w:iCs w:val="0"/>
          <w:caps w:val="0"/>
          <w:color w:val="000000"/>
          <w:spacing w:val="0"/>
          <w:sz w:val="28"/>
          <w:szCs w:val="28"/>
        </w:rPr>
        <w:t>.</w:t>
      </w:r>
      <w:r>
        <w:rPr>
          <w:rFonts w:hint="eastAsia" w:ascii="宋体" w:hAnsi="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响应供应商应具有项目的承接能力、合同的履约能力、售后供应能力和良好的信誉；</w:t>
      </w:r>
    </w:p>
    <w:p w14:paraId="27C356C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0"/>
        <w:jc w:val="both"/>
        <w:textAlignment w:val="baseline"/>
        <w:rPr>
          <w:rFonts w:ascii="黑体" w:hAnsi="黑体" w:eastAsia="黑体" w:cs="黑体"/>
          <w:b/>
          <w:bCs/>
          <w:spacing w:val="-3"/>
          <w:position w:val="1"/>
          <w:sz w:val="25"/>
          <w:szCs w:val="25"/>
        </w:rPr>
      </w:pPr>
      <w:r>
        <w:rPr>
          <w:rFonts w:hint="eastAsia" w:ascii="宋体" w:hAnsi="宋体" w:eastAsia="宋体" w:cs="宋体"/>
          <w:i w:val="0"/>
          <w:iCs w:val="0"/>
          <w:caps w:val="0"/>
          <w:color w:val="000000"/>
          <w:spacing w:val="0"/>
          <w:sz w:val="28"/>
          <w:szCs w:val="28"/>
          <w:shd w:val="clear" w:fill="FFFFFF"/>
          <w:vertAlign w:val="baseline"/>
          <w:lang w:val="en-US" w:eastAsia="zh-CN"/>
        </w:rPr>
        <w:t>4</w:t>
      </w:r>
      <w:r>
        <w:rPr>
          <w:rFonts w:hint="eastAsia" w:ascii="宋体" w:hAnsi="宋体" w:eastAsia="宋体" w:cs="宋体"/>
          <w:i w:val="0"/>
          <w:iCs w:val="0"/>
          <w:caps w:val="0"/>
          <w:color w:val="000000"/>
          <w:spacing w:val="0"/>
          <w:sz w:val="28"/>
          <w:szCs w:val="28"/>
          <w:shd w:val="clear" w:fill="FFFFFF"/>
          <w:vertAlign w:val="baseline"/>
        </w:rPr>
        <w:t>.</w:t>
      </w:r>
      <w:r>
        <w:rPr>
          <w:rFonts w:hint="eastAsia" w:ascii="宋体" w:hAnsi="宋体" w:cs="宋体"/>
          <w:i w:val="0"/>
          <w:iCs w:val="0"/>
          <w:caps w:val="0"/>
          <w:color w:val="000000"/>
          <w:spacing w:val="0"/>
          <w:sz w:val="28"/>
          <w:szCs w:val="28"/>
          <w:shd w:val="clear" w:fill="FFFFFF"/>
          <w:vertAlign w:val="baseline"/>
          <w:lang w:val="en-US" w:eastAsia="zh-CN"/>
        </w:rPr>
        <w:t xml:space="preserve"> </w:t>
      </w:r>
      <w:r>
        <w:rPr>
          <w:rFonts w:hint="eastAsia" w:ascii="宋体" w:hAnsi="宋体" w:eastAsia="宋体" w:cs="宋体"/>
          <w:i w:val="0"/>
          <w:iCs w:val="0"/>
          <w:caps w:val="0"/>
          <w:color w:val="000000"/>
          <w:spacing w:val="0"/>
          <w:sz w:val="28"/>
          <w:szCs w:val="28"/>
          <w:shd w:val="clear" w:fill="FFFFFF"/>
          <w:vertAlign w:val="baseline"/>
        </w:rPr>
        <w:t>响应供应商在参与公开招标活动中未有违法违纪行为并受过处罚，响应供应商无围标、串标行为。</w:t>
      </w:r>
    </w:p>
    <w:p w14:paraId="7EEFA360">
      <w:pPr>
        <w:pStyle w:val="3"/>
        <w:keepNext w:val="0"/>
        <w:keepLines w:val="0"/>
        <w:pageBreakBefore w:val="0"/>
        <w:widowControl w:val="0"/>
        <w:kinsoku/>
        <w:wordWrap/>
        <w:overflowPunct/>
        <w:topLinePunct w:val="0"/>
        <w:autoSpaceDE/>
        <w:autoSpaceDN/>
        <w:bidi w:val="0"/>
        <w:adjustRightInd/>
        <w:snapToGrid/>
        <w:spacing w:before="226" w:line="480" w:lineRule="exact"/>
        <w:outlineLvl w:val="1"/>
        <w:rPr>
          <w:rFonts w:hint="eastAsia" w:ascii="宋体" w:hAnsi="宋体" w:eastAsia="宋体" w:cs="宋体"/>
          <w:b/>
          <w:bCs/>
          <w:sz w:val="28"/>
          <w:szCs w:val="28"/>
        </w:rPr>
      </w:pPr>
      <w:r>
        <w:rPr>
          <w:rFonts w:hint="eastAsia" w:ascii="宋体" w:hAnsi="宋体" w:eastAsia="宋体" w:cs="宋体"/>
          <w:b/>
          <w:bCs/>
          <w:spacing w:val="-3"/>
          <w:position w:val="1"/>
          <w:sz w:val="28"/>
          <w:szCs w:val="28"/>
        </w:rPr>
        <w:t>三、</w:t>
      </w:r>
      <w:r>
        <w:rPr>
          <w:rFonts w:hint="eastAsia" w:ascii="宋体" w:hAnsi="宋体" w:eastAsia="宋体" w:cs="宋体"/>
          <w:b/>
          <w:bCs/>
          <w:spacing w:val="-76"/>
          <w:position w:val="1"/>
          <w:sz w:val="28"/>
          <w:szCs w:val="28"/>
        </w:rPr>
        <w:t xml:space="preserve"> </w:t>
      </w:r>
      <w:r>
        <w:rPr>
          <w:rFonts w:hint="eastAsia" w:ascii="宋体" w:hAnsi="宋体" w:eastAsia="宋体" w:cs="宋体"/>
          <w:b/>
          <w:bCs/>
          <w:sz w:val="28"/>
          <w:szCs w:val="28"/>
          <w:lang w:eastAsia="zh-CN"/>
        </w:rPr>
        <w:t>服务内容</w:t>
      </w:r>
    </w:p>
    <w:p w14:paraId="5753ABE0">
      <w:pPr>
        <w:pStyle w:val="3"/>
        <w:keepNext w:val="0"/>
        <w:keepLines w:val="0"/>
        <w:pageBreakBefore w:val="0"/>
        <w:widowControl w:val="0"/>
        <w:kinsoku/>
        <w:wordWrap/>
        <w:overflowPunct/>
        <w:topLinePunct w:val="0"/>
        <w:autoSpaceDE/>
        <w:autoSpaceDN/>
        <w:bidi w:val="0"/>
        <w:adjustRightInd/>
        <w:snapToGrid/>
        <w:spacing w:before="116" w:line="480" w:lineRule="exact"/>
        <w:ind w:right="573"/>
        <w:rPr>
          <w:rFonts w:hint="eastAsia" w:ascii="宋体" w:hAnsi="宋体" w:eastAsia="宋体" w:cs="宋体"/>
          <w:sz w:val="28"/>
          <w:szCs w:val="28"/>
        </w:rPr>
      </w:pPr>
      <w:r>
        <w:rPr>
          <w:rFonts w:hint="eastAsia" w:ascii="宋体" w:hAnsi="宋体" w:eastAsia="宋体" w:cs="宋体"/>
          <w:spacing w:val="-2"/>
          <w:sz w:val="28"/>
          <w:szCs w:val="28"/>
        </w:rPr>
        <w:t>1</w:t>
      </w:r>
      <w:r>
        <w:rPr>
          <w:rFonts w:hint="eastAsia" w:ascii="宋体" w:hAnsi="宋体" w:eastAsia="宋体" w:cs="宋体"/>
          <w:spacing w:val="-2"/>
          <w:sz w:val="28"/>
          <w:szCs w:val="28"/>
          <w:lang w:val="en-US" w:eastAsia="zh-CN"/>
        </w:rPr>
        <w:t>.</w:t>
      </w:r>
      <w:r>
        <w:rPr>
          <w:rFonts w:hint="eastAsia" w:ascii="宋体" w:hAnsi="宋体" w:eastAsia="宋体" w:cs="宋体"/>
          <w:spacing w:val="-2"/>
          <w:sz w:val="28"/>
          <w:szCs w:val="28"/>
        </w:rPr>
        <w:t>本采购项目为采购协议供货资格的取得，并不代表采购人采购本需求书上限采购数</w:t>
      </w:r>
      <w:r>
        <w:rPr>
          <w:rFonts w:hint="eastAsia" w:ascii="宋体" w:hAnsi="宋体" w:eastAsia="宋体" w:cs="宋体"/>
          <w:spacing w:val="-1"/>
          <w:sz w:val="28"/>
          <w:szCs w:val="28"/>
        </w:rPr>
        <w:t>量。响应供应商中标后，采购人将按照签订合同时实际发放量和金额结算。</w:t>
      </w:r>
    </w:p>
    <w:p w14:paraId="1B20F761">
      <w:pPr>
        <w:pStyle w:val="3"/>
        <w:keepNext w:val="0"/>
        <w:keepLines w:val="0"/>
        <w:pageBreakBefore w:val="0"/>
        <w:widowControl w:val="0"/>
        <w:kinsoku/>
        <w:wordWrap/>
        <w:overflowPunct/>
        <w:topLinePunct w:val="0"/>
        <w:autoSpaceDE/>
        <w:autoSpaceDN/>
        <w:bidi w:val="0"/>
        <w:adjustRightInd/>
        <w:snapToGrid/>
        <w:spacing w:before="4" w:line="480" w:lineRule="exact"/>
        <w:rPr>
          <w:rFonts w:hint="eastAsia" w:ascii="宋体" w:hAnsi="宋体" w:eastAsia="宋体" w:cs="宋体"/>
          <w:sz w:val="28"/>
          <w:szCs w:val="28"/>
        </w:rPr>
      </w:pPr>
      <w:r>
        <w:rPr>
          <w:rFonts w:hint="eastAsia" w:ascii="宋体" w:hAnsi="宋体" w:eastAsia="宋体" w:cs="宋体"/>
          <w:spacing w:val="-8"/>
          <w:sz w:val="28"/>
          <w:szCs w:val="28"/>
          <w:lang w:val="en-US" w:eastAsia="zh-CN"/>
        </w:rPr>
        <w:t>2.</w:t>
      </w:r>
      <w:r>
        <w:rPr>
          <w:rFonts w:hint="eastAsia" w:ascii="宋体" w:hAnsi="宋体" w:eastAsia="宋体" w:cs="宋体"/>
          <w:spacing w:val="-8"/>
          <w:sz w:val="28"/>
          <w:szCs w:val="28"/>
        </w:rPr>
        <w:t>产品清单</w:t>
      </w:r>
    </w:p>
    <w:p w14:paraId="27772F55">
      <w:pPr>
        <w:keepNext w:val="0"/>
        <w:keepLines w:val="0"/>
        <w:pageBreakBefore w:val="0"/>
        <w:widowControl w:val="0"/>
        <w:kinsoku/>
        <w:wordWrap/>
        <w:overflowPunct/>
        <w:topLinePunct w:val="0"/>
        <w:autoSpaceDE/>
        <w:autoSpaceDN/>
        <w:bidi w:val="0"/>
        <w:adjustRightInd/>
        <w:snapToGrid/>
        <w:spacing w:line="480" w:lineRule="exact"/>
        <w:ind w:firstLine="552"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本项</w:t>
      </w:r>
      <w:r>
        <w:rPr>
          <w:rFonts w:hint="eastAsia" w:ascii="宋体" w:hAnsi="宋体" w:eastAsia="宋体" w:cs="宋体"/>
          <w:spacing w:val="-57"/>
          <w:sz w:val="28"/>
          <w:szCs w:val="28"/>
        </w:rPr>
        <w:t xml:space="preserve"> </w:t>
      </w:r>
      <w:r>
        <w:rPr>
          <w:rFonts w:hint="eastAsia" w:ascii="宋体" w:hAnsi="宋体" w:eastAsia="宋体" w:cs="宋体"/>
          <w:spacing w:val="-2"/>
          <w:sz w:val="28"/>
          <w:szCs w:val="28"/>
        </w:rPr>
        <w:t>目</w:t>
      </w:r>
      <w:r>
        <w:rPr>
          <w:rFonts w:hint="eastAsia" w:ascii="宋体" w:hAnsi="宋体" w:eastAsia="宋体" w:cs="宋体"/>
          <w:sz w:val="28"/>
          <w:szCs w:val="28"/>
        </w:rPr>
        <w:t>产品要求：响应供应商自选产品品牌</w:t>
      </w:r>
      <w:r>
        <w:rPr>
          <w:rFonts w:hint="eastAsia" w:ascii="宋体" w:hAnsi="宋体" w:eastAsia="宋体" w:cs="宋体"/>
          <w:spacing w:val="-1"/>
          <w:sz w:val="28"/>
          <w:szCs w:val="28"/>
        </w:rPr>
        <w:t>，响应供应</w:t>
      </w:r>
      <w:r>
        <w:rPr>
          <w:rFonts w:hint="eastAsia" w:ascii="宋体" w:hAnsi="宋体" w:eastAsia="宋体" w:cs="宋体"/>
          <w:sz w:val="28"/>
          <w:szCs w:val="28"/>
        </w:rPr>
        <w:t>商根据产品清单规格、要求搭配产品，提供的产品品质需高于或等于参考图片、</w:t>
      </w:r>
      <w:r>
        <w:rPr>
          <w:rFonts w:hint="eastAsia" w:ascii="宋体" w:hAnsi="宋体" w:eastAsia="宋体" w:cs="宋体"/>
          <w:spacing w:val="-1"/>
          <w:sz w:val="28"/>
          <w:szCs w:val="28"/>
        </w:rPr>
        <w:t>参考品牌的</w:t>
      </w:r>
      <w:r>
        <w:rPr>
          <w:rFonts w:hint="eastAsia" w:ascii="宋体" w:hAnsi="宋体" w:eastAsia="宋体" w:cs="宋体"/>
          <w:sz w:val="28"/>
          <w:szCs w:val="28"/>
        </w:rPr>
        <w:t>产品品质，产品原包装上全部具有食品生产许可的相关信息，产品在淘宝天猫、</w:t>
      </w:r>
      <w:r>
        <w:rPr>
          <w:rFonts w:hint="eastAsia" w:ascii="宋体" w:hAnsi="宋体" w:eastAsia="宋体" w:cs="宋体"/>
          <w:spacing w:val="-1"/>
          <w:sz w:val="28"/>
          <w:szCs w:val="28"/>
        </w:rPr>
        <w:t>京东旗舰店</w:t>
      </w:r>
      <w:r>
        <w:rPr>
          <w:rFonts w:hint="eastAsia" w:ascii="宋体" w:hAnsi="宋体" w:eastAsia="宋体" w:cs="宋体"/>
          <w:spacing w:val="-2"/>
          <w:sz w:val="28"/>
          <w:szCs w:val="28"/>
        </w:rPr>
        <w:t>/自营店等官网电商平台，或中山市区内大型连锁超市提供销售。</w:t>
      </w:r>
    </w:p>
    <w:tbl>
      <w:tblPr>
        <w:tblStyle w:val="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15"/>
        <w:gridCol w:w="750"/>
        <w:gridCol w:w="2494"/>
        <w:gridCol w:w="556"/>
        <w:gridCol w:w="1647"/>
        <w:gridCol w:w="1657"/>
      </w:tblGrid>
      <w:tr w14:paraId="306B5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113E6">
            <w:pPr>
              <w:keepNext w:val="0"/>
              <w:keepLines w:val="0"/>
              <w:widowControl/>
              <w:suppressLineNumbers w:val="0"/>
              <w:jc w:val="center"/>
              <w:textAlignment w:val="center"/>
              <w:rPr>
                <w:rFonts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品类</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7182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品牌</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7AD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品名</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C0F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单位</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C0C3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规格</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D18C3">
            <w:pPr>
              <w:keepNext w:val="0"/>
              <w:keepLines w:val="0"/>
              <w:widowControl/>
              <w:suppressLineNumbers w:val="0"/>
              <w:jc w:val="center"/>
              <w:textAlignment w:val="center"/>
              <w:rPr>
                <w:rFonts w:hint="default" w:ascii="微软雅黑" w:hAnsi="微软雅黑" w:eastAsia="微软雅黑" w:cs="微软雅黑"/>
                <w:b/>
                <w:bCs/>
                <w:i w:val="0"/>
                <w:iCs w:val="0"/>
                <w:color w:val="000000"/>
                <w:kern w:val="0"/>
                <w:sz w:val="24"/>
                <w:szCs w:val="24"/>
                <w:u w:val="none"/>
                <w:lang w:val="en-US" w:eastAsia="zh-CN" w:bidi="ar"/>
              </w:rPr>
            </w:pPr>
            <w:r>
              <w:rPr>
                <w:rFonts w:hint="eastAsia" w:ascii="微软雅黑" w:hAnsi="微软雅黑" w:eastAsia="微软雅黑" w:cs="微软雅黑"/>
                <w:b/>
                <w:bCs/>
                <w:i w:val="0"/>
                <w:iCs w:val="0"/>
                <w:color w:val="000000"/>
                <w:kern w:val="0"/>
                <w:sz w:val="24"/>
                <w:szCs w:val="24"/>
                <w:u w:val="none"/>
                <w:lang w:val="en-US" w:eastAsia="zh-CN" w:bidi="ar"/>
              </w:rPr>
              <w:t>参考图片</w:t>
            </w:r>
          </w:p>
        </w:tc>
      </w:tr>
      <w:tr w14:paraId="14D25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3B68943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牛奶</w:t>
            </w:r>
          </w:p>
          <w:p w14:paraId="2E614C07">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A2A6">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伊利</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E84F">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250ml×10 伊利金典有机纯牛奶 (梦幻盖)</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61E7">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50FBF">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10×250ml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032B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01700" cy="905510"/>
                  <wp:effectExtent l="0" t="0" r="12700" b="8890"/>
                  <wp:docPr id="2" name="图片 2" descr="aca529ceb1d35bb8a4d873ae1f524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ca529ceb1d35bb8a4d873ae1f52443a"/>
                          <pic:cNvPicPr>
                            <a:picLocks noChangeAspect="1"/>
                          </pic:cNvPicPr>
                        </pic:nvPicPr>
                        <pic:blipFill>
                          <a:blip r:embed="rId5"/>
                          <a:stretch>
                            <a:fillRect/>
                          </a:stretch>
                        </pic:blipFill>
                        <pic:spPr>
                          <a:xfrm>
                            <a:off x="0" y="0"/>
                            <a:ext cx="901700" cy="905510"/>
                          </a:xfrm>
                          <a:prstGeom prst="rect">
                            <a:avLst/>
                          </a:prstGeom>
                        </pic:spPr>
                      </pic:pic>
                    </a:graphicData>
                  </a:graphic>
                </wp:inline>
              </w:drawing>
            </w:r>
          </w:p>
        </w:tc>
      </w:tr>
      <w:tr w14:paraId="716FB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3DD0D603">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10F9">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蒙牛</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B2561">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eastAsia" w:ascii="微软雅黑" w:hAnsi="微软雅黑" w:eastAsia="微软雅黑" w:cs="微软雅黑"/>
                <w:i w:val="0"/>
                <w:iCs w:val="0"/>
                <w:color w:val="000000"/>
                <w:kern w:val="0"/>
                <w:sz w:val="24"/>
                <w:szCs w:val="24"/>
                <w:u w:val="none"/>
                <w:lang w:val="en-US" w:eastAsia="zh-CN" w:bidi="ar"/>
              </w:rPr>
              <w:t>250ml×10 特仑苏纯牛奶全脂灭菌乳梦幻盖（3.8g乳蛋白）</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8B190">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0F070">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10×250ml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DDA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3765" cy="920750"/>
                  <wp:effectExtent l="0" t="0" r="635" b="12700"/>
                  <wp:docPr id="3" name="图片 3" descr="d3243604e59aae90c7b4af9aef087b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3243604e59aae90c7b4af9aef087b94"/>
                          <pic:cNvPicPr>
                            <a:picLocks noChangeAspect="1"/>
                          </pic:cNvPicPr>
                        </pic:nvPicPr>
                        <pic:blipFill>
                          <a:blip r:embed="rId6"/>
                          <a:stretch>
                            <a:fillRect/>
                          </a:stretch>
                        </pic:blipFill>
                        <pic:spPr>
                          <a:xfrm>
                            <a:off x="0" y="0"/>
                            <a:ext cx="913765" cy="920750"/>
                          </a:xfrm>
                          <a:prstGeom prst="rect">
                            <a:avLst/>
                          </a:prstGeom>
                        </pic:spPr>
                      </pic:pic>
                    </a:graphicData>
                  </a:graphic>
                </wp:inline>
              </w:drawing>
            </w:r>
          </w:p>
        </w:tc>
      </w:tr>
      <w:tr w14:paraId="58E3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624ABB9A">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3A4E">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燕塘</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5B37">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燕塘超高温灭菌全脂纯牛奶</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CC899">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5DE2C">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24*250ml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0F283">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drawing>
                <wp:inline distT="0" distB="0" distL="114300" distR="114300">
                  <wp:extent cx="914400" cy="1040130"/>
                  <wp:effectExtent l="0" t="0" r="0" b="7620"/>
                  <wp:docPr id="4" name="图片 4" descr="995af43fd9d98de662398e5ce4ace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95af43fd9d98de662398e5ce4ace505"/>
                          <pic:cNvPicPr>
                            <a:picLocks noChangeAspect="1"/>
                          </pic:cNvPicPr>
                        </pic:nvPicPr>
                        <pic:blipFill>
                          <a:blip r:embed="rId7"/>
                          <a:stretch>
                            <a:fillRect/>
                          </a:stretch>
                        </pic:blipFill>
                        <pic:spPr>
                          <a:xfrm>
                            <a:off x="0" y="0"/>
                            <a:ext cx="914400" cy="1040130"/>
                          </a:xfrm>
                          <a:prstGeom prst="rect">
                            <a:avLst/>
                          </a:prstGeom>
                        </pic:spPr>
                      </pic:pic>
                    </a:graphicData>
                  </a:graphic>
                </wp:inline>
              </w:drawing>
            </w:r>
          </w:p>
        </w:tc>
      </w:tr>
      <w:tr w14:paraId="2E058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73021B7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食用油</w:t>
            </w:r>
          </w:p>
          <w:p w14:paraId="02FDF7F0">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864D4">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金龙鱼</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2310">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5L 金龙鱼浓香花生油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8BAFA">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4442F">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E8A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21385"/>
                  <wp:effectExtent l="0" t="0" r="0" b="12065"/>
                  <wp:docPr id="7" name="图片 7" descr="16d6144a709633bdd8e86bf58637a1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d6144a709633bdd8e86bf58637a1ec"/>
                          <pic:cNvPicPr>
                            <a:picLocks noChangeAspect="1"/>
                          </pic:cNvPicPr>
                        </pic:nvPicPr>
                        <pic:blipFill>
                          <a:blip r:embed="rId8"/>
                          <a:stretch>
                            <a:fillRect/>
                          </a:stretch>
                        </pic:blipFill>
                        <pic:spPr>
                          <a:xfrm>
                            <a:off x="0" y="0"/>
                            <a:ext cx="914400" cy="921385"/>
                          </a:xfrm>
                          <a:prstGeom prst="rect">
                            <a:avLst/>
                          </a:prstGeom>
                        </pic:spPr>
                      </pic:pic>
                    </a:graphicData>
                  </a:graphic>
                </wp:inline>
              </w:drawing>
            </w:r>
          </w:p>
        </w:tc>
      </w:tr>
      <w:tr w14:paraId="2D595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572F7EA4">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6B34">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胡姬花</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93718">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5.436L 胡姬花古法花生油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887BD">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E9782">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5.436L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7FD8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16305"/>
                  <wp:effectExtent l="0" t="0" r="0" b="17145"/>
                  <wp:docPr id="8" name="图片 8" descr="92178476007c03b1b6bacf3312962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2178476007c03b1b6bacf3312962c45"/>
                          <pic:cNvPicPr>
                            <a:picLocks noChangeAspect="1"/>
                          </pic:cNvPicPr>
                        </pic:nvPicPr>
                        <pic:blipFill>
                          <a:blip r:embed="rId9"/>
                          <a:stretch>
                            <a:fillRect/>
                          </a:stretch>
                        </pic:blipFill>
                        <pic:spPr>
                          <a:xfrm>
                            <a:off x="0" y="0"/>
                            <a:ext cx="914400" cy="916305"/>
                          </a:xfrm>
                          <a:prstGeom prst="rect">
                            <a:avLst/>
                          </a:prstGeom>
                        </pic:spPr>
                      </pic:pic>
                    </a:graphicData>
                  </a:graphic>
                </wp:inline>
              </w:drawing>
            </w:r>
          </w:p>
        </w:tc>
      </w:tr>
      <w:tr w14:paraId="05FE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38F273E1">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891EA">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鲁花</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1A1CE">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5L 鲁花 5S 压榨一级花生油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C25D8">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7102D">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AA4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15670"/>
                  <wp:effectExtent l="0" t="0" r="0" b="17780"/>
                  <wp:docPr id="9" name="图片 9" descr="93715fc04ac2e0faa6e4d60fda3d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3715fc04ac2e0faa6e4d60fda3d1996"/>
                          <pic:cNvPicPr>
                            <a:picLocks noChangeAspect="1"/>
                          </pic:cNvPicPr>
                        </pic:nvPicPr>
                        <pic:blipFill>
                          <a:blip r:embed="rId10"/>
                          <a:stretch>
                            <a:fillRect/>
                          </a:stretch>
                        </pic:blipFill>
                        <pic:spPr>
                          <a:xfrm>
                            <a:off x="0" y="0"/>
                            <a:ext cx="914400" cy="915670"/>
                          </a:xfrm>
                          <a:prstGeom prst="rect">
                            <a:avLst/>
                          </a:prstGeom>
                        </pic:spPr>
                      </pic:pic>
                    </a:graphicData>
                  </a:graphic>
                </wp:inline>
              </w:drawing>
            </w:r>
          </w:p>
        </w:tc>
      </w:tr>
      <w:tr w14:paraId="0F138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22D690F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t>大米</w:t>
            </w:r>
          </w:p>
          <w:p w14:paraId="79A38EC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3DA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太粮</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9160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 太粮靓虾王香软米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375C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6304">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280C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18845"/>
                  <wp:effectExtent l="0" t="0" r="0" b="14605"/>
                  <wp:docPr id="10" name="图片 10" descr="1faa67d552862412ebbde0fee3a094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faa67d552862412ebbde0fee3a094a0"/>
                          <pic:cNvPicPr>
                            <a:picLocks noChangeAspect="1"/>
                          </pic:cNvPicPr>
                        </pic:nvPicPr>
                        <pic:blipFill>
                          <a:blip r:embed="rId11"/>
                          <a:stretch>
                            <a:fillRect/>
                          </a:stretch>
                        </pic:blipFill>
                        <pic:spPr>
                          <a:xfrm>
                            <a:off x="0" y="0"/>
                            <a:ext cx="914400" cy="918845"/>
                          </a:xfrm>
                          <a:prstGeom prst="rect">
                            <a:avLst/>
                          </a:prstGeom>
                        </pic:spPr>
                      </pic:pic>
                    </a:graphicData>
                  </a:graphic>
                </wp:inline>
              </w:drawing>
            </w:r>
          </w:p>
        </w:tc>
      </w:tr>
      <w:tr w14:paraId="219C2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51723BB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4B4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金象</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4CD14">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 金象牌精选泰国茉莉香米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69A0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9AB8F">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6C3B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15670"/>
                  <wp:effectExtent l="0" t="0" r="0" b="17780"/>
                  <wp:docPr id="11" name="图片 11" descr="555fd74ef5e8f0b16fcec482d9515c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55fd74ef5e8f0b16fcec482d9515cec"/>
                          <pic:cNvPicPr>
                            <a:picLocks noChangeAspect="1"/>
                          </pic:cNvPicPr>
                        </pic:nvPicPr>
                        <pic:blipFill>
                          <a:blip r:embed="rId12"/>
                          <a:stretch>
                            <a:fillRect/>
                          </a:stretch>
                        </pic:blipFill>
                        <pic:spPr>
                          <a:xfrm>
                            <a:off x="0" y="0"/>
                            <a:ext cx="914400" cy="915670"/>
                          </a:xfrm>
                          <a:prstGeom prst="rect">
                            <a:avLst/>
                          </a:prstGeom>
                        </pic:spPr>
                      </pic:pic>
                    </a:graphicData>
                  </a:graphic>
                </wp:inline>
              </w:drawing>
            </w:r>
          </w:p>
        </w:tc>
      </w:tr>
      <w:tr w14:paraId="2E836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7953424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7B92">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自然农法</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7F88">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 自然农法五常大米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A9ED">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D4C1B">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4"/>
                <w:szCs w:val="24"/>
                <w:u w:val="none"/>
                <w:lang w:val="en-US" w:eastAsia="zh-CN" w:bidi="ar-SA"/>
              </w:rPr>
            </w:pPr>
            <w:r>
              <w:rPr>
                <w:rFonts w:hint="eastAsia" w:ascii="微软雅黑" w:hAnsi="微软雅黑" w:eastAsia="微软雅黑" w:cs="微软雅黑"/>
                <w:i w:val="0"/>
                <w:iCs w:val="0"/>
                <w:color w:val="000000"/>
                <w:kern w:val="0"/>
                <w:sz w:val="24"/>
                <w:szCs w:val="24"/>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2FD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4"/>
                <w:szCs w:val="24"/>
                <w:u w:val="none"/>
                <w:lang w:val="en-US" w:eastAsia="zh-CN" w:bidi="ar"/>
              </w:rPr>
            </w:pPr>
            <w:r>
              <w:rPr>
                <w:rFonts w:hint="eastAsia" w:ascii="微软雅黑" w:hAnsi="微软雅黑" w:eastAsia="微软雅黑" w:cs="微软雅黑"/>
                <w:i w:val="0"/>
                <w:iCs w:val="0"/>
                <w:color w:val="000000"/>
                <w:kern w:val="0"/>
                <w:sz w:val="24"/>
                <w:szCs w:val="24"/>
                <w:u w:val="none"/>
                <w:lang w:val="en-US" w:eastAsia="zh-CN" w:bidi="ar"/>
              </w:rPr>
              <w:drawing>
                <wp:inline distT="0" distB="0" distL="114300" distR="114300">
                  <wp:extent cx="914400" cy="915670"/>
                  <wp:effectExtent l="0" t="0" r="0" b="17780"/>
                  <wp:docPr id="12" name="图片 12" descr="491ab00f773501e9460a1b1a04f635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91ab00f773501e9460a1b1a04f635e3"/>
                          <pic:cNvPicPr>
                            <a:picLocks noChangeAspect="1"/>
                          </pic:cNvPicPr>
                        </pic:nvPicPr>
                        <pic:blipFill>
                          <a:blip r:embed="rId13"/>
                          <a:stretch>
                            <a:fillRect/>
                          </a:stretch>
                        </pic:blipFill>
                        <pic:spPr>
                          <a:xfrm>
                            <a:off x="0" y="0"/>
                            <a:ext cx="914400" cy="915670"/>
                          </a:xfrm>
                          <a:prstGeom prst="rect">
                            <a:avLst/>
                          </a:prstGeom>
                        </pic:spPr>
                      </pic:pic>
                    </a:graphicData>
                  </a:graphic>
                </wp:inline>
              </w:drawing>
            </w:r>
          </w:p>
        </w:tc>
      </w:tr>
    </w:tbl>
    <w:p w14:paraId="505BF1DB">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eastAsia="zh-CN"/>
        </w:rPr>
      </w:pPr>
      <w:r>
        <w:rPr>
          <w:rFonts w:ascii="宋体" w:hAnsi="宋体" w:eastAsia="宋体" w:cs="宋体"/>
          <w:sz w:val="24"/>
          <w:szCs w:val="24"/>
        </w:rPr>
        <w:t>成套供货要求：每份慰问品标配为一箱牛奶、一桶食用油、一袋大米。牛奶、食用油、大米三大品类，每类均需在本表格所列3个参考品牌中选择其中一个品牌供货</w:t>
      </w:r>
      <w:r>
        <w:rPr>
          <w:rFonts w:hint="eastAsia" w:ascii="宋体" w:hAnsi="宋体" w:eastAsia="宋体" w:cs="宋体"/>
          <w:sz w:val="24"/>
          <w:szCs w:val="24"/>
          <w:lang w:eastAsia="zh-CN"/>
        </w:rPr>
        <w:t>。</w:t>
      </w:r>
    </w:p>
    <w:p w14:paraId="2C102832">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四、报价要求</w:t>
      </w:r>
    </w:p>
    <w:p w14:paraId="5224F64F">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★1.响应供应商需根据产品清单对单价预算金额200元总下浮率，下浮率在0% (含本数）-50%（含本数）范围内取值，若报价超出此范围则响应无效。</w:t>
      </w:r>
    </w:p>
    <w:p w14:paraId="74B60DE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2.供应商报价应为人民币含税全包价，包含货物、包装费、运杂费、保险费、卸车费、配合费、检测费、配送费、税金及供应商认为需要的所有费用，采购人不再单独支付其他费用。</w:t>
      </w:r>
    </w:p>
    <w:p w14:paraId="534AA5B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协议供货期间的价格：成交价=200元×（1-响应下浮率）。在合同期内，产品清单中的成交价即是采购人的交货价，也是合同期间的最终价格，合同期内，成交价不再随着市场同类商品市场价格的调整而进行调整。</w:t>
      </w:r>
    </w:p>
    <w:p w14:paraId="5AB77DD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五、产品总体要求</w:t>
      </w:r>
    </w:p>
    <w:p w14:paraId="48300EEE">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★1.所投产品为厂家出售原包装产品，不允许为散装、拆装产品，产品外包装干净、完整、精美大方，符合节日气氛。</w:t>
      </w:r>
    </w:p>
    <w:p w14:paraId="553D76B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★2.所提供产品须在保质期内，国产产品在交付时的剩余保质期应达到85%及以上的时间，进口产品在交付时的剩余保质期应达到60%及以上的时间。</w:t>
      </w:r>
    </w:p>
    <w:p w14:paraId="59D110A9">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★3.本采购项目产品均要求正规渠道进货；进口产品，必须为国内行货，通过正规渠道进口，具有齐全的入境检验证明材料、产品合格证明材料和相关的检测报告，在国内市场享受到完整的售后服务及质量保证。</w:t>
      </w:r>
    </w:p>
    <w:p w14:paraId="6F7F530F">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4.所供产品质量要求和技术标准必须符合国家检测相关技术标准，确保产品质量稳定，绿色安全。从加工、包装、运输、贮存到销售全部符合国家规定标准。</w:t>
      </w:r>
    </w:p>
    <w:p w14:paraId="20E95C26">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5.每种产品的包装均需列明品牌、生产厂家、规格、成分、生产日期等信息。中标后，成交供应商应严格按需求书要求供应产品，不得未经采购人同意而变更供应，否则，采购人有权拒收。</w:t>
      </w:r>
    </w:p>
    <w:p w14:paraId="7EB8691A">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6.所供产品在运输交付过程中产生损坏的，成交供应商须承诺坏一赔一，7个工作日内赔付。</w:t>
      </w:r>
    </w:p>
    <w:p w14:paraId="206D0163">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7.成交供应商在实际供货时，若被发现提供的货物未能达到响应文件中的有关要求，将按有关法规进行处罚，采购人将有权单方面终止合同的执行，并追究因成交供应商所提供的未达到所承诺准确率产品而产生的所有损失和责任。</w:t>
      </w:r>
    </w:p>
    <w:p w14:paraId="31F3457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六、样品</w:t>
      </w:r>
    </w:p>
    <w:p w14:paraId="284D2A15">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★1.响应供应商在递交响应文件的同时应提交产品清单中的供货产品、外包装袋设计图案等样品，产品清单中提供可试吃的产品，采购人能进行试吃和拆开包装。</w:t>
      </w:r>
    </w:p>
    <w:p w14:paraId="1FDB4DAF">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2.样品与响应文件分开独立封装。为方便评标，响应供应商须在所提供的样品表面或显著位置标注响应供应商的名称、样品名称等信息。</w:t>
      </w:r>
    </w:p>
    <w:p w14:paraId="2A208835">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本项目招标任务完结之后，成交供应商的样品封存于采购人单位，作为实物样品。采购人对响应供应商所递交样品的破损或质量不负任何责任。非成交供应商应在本项目中标公告发布之日起7个工作日内到采购人处取回样品。逾期不取回样品的，则视为自动放弃样品的所有权，采购人有权自行处置相关样品。</w:t>
      </w:r>
    </w:p>
    <w:p w14:paraId="56B86FA4">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七、商务要求</w:t>
      </w:r>
    </w:p>
    <w:p w14:paraId="2A9788D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★1.响应供应商具有独立承担民事责任的能力且在中华人民共和国境内合法注册的独立法人，具备有效营业执照，同时具备食品经营许可证或食品药品经营许可证或仅销售预包装食品经营者备案等证件。</w:t>
      </w:r>
    </w:p>
    <w:p w14:paraId="12031597">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2.响应供应商参加本次招采前三年内在行业无不良记录，在经营活动中没有重大违法记录，具有良好商业信誉和健全财务会计制度，能提供近三年财务审计报告或财务报表。</w:t>
      </w:r>
    </w:p>
    <w:p w14:paraId="4CF62399">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3.响应供应商参加本次招采前三年内有同等规模成功案例，具有履行合同所必需的货物储备、运输、协调能力，且具备较强的创意策划、整体协调、沟通能力，可提供相关证明材料（例如合同或发票复印件）。</w:t>
      </w:r>
    </w:p>
    <w:p w14:paraId="36CC958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highlight w:val="none"/>
          <w:lang w:val="en-US" w:eastAsia="zh-CN"/>
        </w:rPr>
      </w:pPr>
      <w:r>
        <w:rPr>
          <w:rFonts w:hint="eastAsia" w:ascii="宋体" w:hAnsi="宋体" w:eastAsia="宋体" w:cs="宋体"/>
          <w:spacing w:val="-2"/>
          <w:sz w:val="28"/>
          <w:szCs w:val="28"/>
          <w:highlight w:val="none"/>
          <w:lang w:val="en-US" w:eastAsia="zh-CN"/>
        </w:rPr>
        <w:t>4.响应供应商有实体仓库或办公点，能在6小时内响应采购人的服务要求（起始位置：响应供应商仓库或办公点，终点位置：中山市东升医院）</w:t>
      </w:r>
    </w:p>
    <w:p w14:paraId="06BF751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八、交货地点和交货期</w:t>
      </w:r>
    </w:p>
    <w:p w14:paraId="788CFD2A">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★1.交货地点：中山市东升医院内和</w:t>
      </w:r>
      <w:r>
        <w:rPr>
          <w:rFonts w:hint="eastAsia" w:ascii="宋体" w:hAnsi="宋体" w:eastAsia="宋体" w:cs="宋体"/>
          <w:b w:val="0"/>
          <w:bCs w:val="0"/>
          <w:color w:val="auto"/>
          <w:sz w:val="28"/>
          <w:szCs w:val="28"/>
          <w:highlight w:val="none"/>
          <w:lang w:val="en-US" w:eastAsia="zh-CN"/>
        </w:rPr>
        <w:t>120份按采购方提供的人员清单及对应地址邮寄到个人</w:t>
      </w:r>
      <w:r>
        <w:rPr>
          <w:rFonts w:hint="eastAsia" w:ascii="宋体" w:hAnsi="宋体" w:eastAsia="宋体" w:cs="宋体"/>
          <w:spacing w:val="-2"/>
          <w:sz w:val="28"/>
          <w:szCs w:val="28"/>
          <w:lang w:val="en-US" w:eastAsia="zh-CN"/>
        </w:rPr>
        <w:t>，采购人指定地点，成交供应商须按照采购人指定地点送货上门。</w:t>
      </w:r>
    </w:p>
    <w:p w14:paraId="6D4A1A0A">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2.交货期：成交供应商应当在中标通知书发出之日起5个工作日内按投标文件确定的事项与采购人签订合同，签订合同后15个自然日内完成交货及</w:t>
      </w:r>
      <w:r>
        <w:rPr>
          <w:rFonts w:hint="eastAsia" w:ascii="宋体" w:hAnsi="宋体" w:eastAsia="宋体" w:cs="宋体"/>
          <w:b w:val="0"/>
          <w:bCs w:val="0"/>
          <w:color w:val="auto"/>
          <w:sz w:val="28"/>
          <w:szCs w:val="28"/>
          <w:highlight w:val="none"/>
          <w:lang w:val="en-US" w:eastAsia="zh-CN"/>
        </w:rPr>
        <w:t>邮寄到个人</w:t>
      </w:r>
      <w:r>
        <w:rPr>
          <w:rFonts w:hint="eastAsia" w:ascii="宋体" w:hAnsi="宋体" w:eastAsia="宋体" w:cs="宋体"/>
          <w:spacing w:val="-2"/>
          <w:sz w:val="28"/>
          <w:szCs w:val="28"/>
          <w:lang w:val="en-US" w:eastAsia="zh-CN"/>
        </w:rPr>
        <w:t>。</w:t>
      </w:r>
    </w:p>
    <w:p w14:paraId="440FEAE9">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九、付款方式</w:t>
      </w:r>
    </w:p>
    <w:p w14:paraId="27D8A08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成交供应商按合同规定时间提供货物并完成派发，采购人验收合格后，开具全额增值税普通发票，采购人确认无误后于6个月内全额支付成交供应商货款。</w:t>
      </w:r>
    </w:p>
    <w:p w14:paraId="7DC82607">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w:t>
      </w:r>
      <w:r>
        <w:rPr>
          <w:rFonts w:hint="eastAsia" w:ascii="宋体" w:hAnsi="宋体" w:eastAsia="宋体" w:cs="宋体"/>
          <w:b/>
          <w:bCs/>
          <w:spacing w:val="-2"/>
          <w:sz w:val="28"/>
          <w:szCs w:val="28"/>
          <w:lang w:val="en-US" w:eastAsia="zh-CN"/>
        </w:rPr>
        <w:t>十、验收要求</w:t>
      </w:r>
    </w:p>
    <w:p w14:paraId="6298522A">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采购人按供货要求对成交供应商所配送货物的包装、质量、数量和保质期时限等进行现场抽查，抽查内容必须与报名阶段响应文件一致，成交供应商须对其提供的产品质量全面负责，如发现问题，采购人有权拒收，成交供应商要在两天之内给予明确答复，如无则取消供货资格。</w:t>
      </w:r>
    </w:p>
    <w:p w14:paraId="6E77CDCB">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十一、违约责任</w:t>
      </w:r>
    </w:p>
    <w:p w14:paraId="785CEFC6">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1.成交供应商交付的货物不符合合同规定的（如包装有损坏或有严重污渍、国产产品剩余保质期不足85%及进口产品保质期不足60%等情形的），采购人有权拒收。成交供应商应在一个工作 日内进行更换后再验收，超过一个工作日未更换进行的，成交供应商须向采购人支付合同总货款的5%的违约金。</w:t>
      </w:r>
    </w:p>
    <w:p w14:paraId="7A3C8C6F">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2.出现下列情况的，采购人有权向成交供应商要求支付合同总货款10%的违约金：</w:t>
      </w:r>
    </w:p>
    <w:p w14:paraId="41FBE1F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（1）未按合同约定的时间交付货物的，每逾期一日，成交供应商应当按照合同总货款的1%向采购人支付违约金，逾期超过3个工作日的，采购人有权解除合同并要求支付该违约金；</w:t>
      </w:r>
    </w:p>
    <w:p w14:paraId="29AD1D2E">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（2）成交供应商提供产品存在假冒伪劣、过期或其他质量安全问题的；</w:t>
      </w:r>
    </w:p>
    <w:p w14:paraId="65547DAC">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（3）成交供应商交付的产品或提供的服务不符合招标文件、成交供应商投标文件或合同规定的；</w:t>
      </w:r>
    </w:p>
    <w:p w14:paraId="35613881">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（4）在采购人抽检中发现有质量问题，解决态度不积极的；</w:t>
      </w:r>
    </w:p>
    <w:p w14:paraId="4F915DB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（5）成交供应商提供的产品，实际价值明显低于市场流通渠道或平台价值，或供货价格高于门店销售正价的。</w:t>
      </w:r>
    </w:p>
    <w:p w14:paraId="6D6D848C">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3.因成交供应商提供的商品在食用或使用后出现不良反应，造成有效投诉的，其一切后果均由成交供应商负责并赔偿采购人损失，采购人不负任何责任并有权取消其供货资格。</w:t>
      </w:r>
    </w:p>
    <w:p w14:paraId="7BFA53BB">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4.如上级部门发文取消有关节假日慰问品发放许可，合同自动取消，采购人不承担任何责任。</w:t>
      </w:r>
    </w:p>
    <w:p w14:paraId="4195FEB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t>十二、其它要求</w:t>
      </w:r>
    </w:p>
    <w:p w14:paraId="24F9A3AD">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1.响应供应商具有产品安全（质量）追溯能力，能实现对配送产品的安全追溯，响应文件中应明确产品安全（质量）追溯的措施及具体方案。</w:t>
      </w:r>
    </w:p>
    <w:p w14:paraId="3AAAA995">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2.响应供应商在响应文件中可列明在项目实施过程中要求响应供应商提供的配合条件，所列配合条件响应供应商将尽量配合解决，但不代表采购人全部接受，采购人有权全部或部分拒绝响应供应商提出的配合条件。</w:t>
      </w:r>
    </w:p>
    <w:p w14:paraId="56BACFD7">
      <w:pPr>
        <w:keepNext w:val="0"/>
        <w:keepLines w:val="0"/>
        <w:pageBreakBefore w:val="0"/>
        <w:widowControl w:val="0"/>
        <w:kinsoku/>
        <w:wordWrap/>
        <w:overflowPunct/>
        <w:topLinePunct w:val="0"/>
        <w:autoSpaceDE/>
        <w:autoSpaceDN/>
        <w:bidi w:val="0"/>
        <w:adjustRightInd/>
        <w:snapToGrid/>
        <w:spacing w:line="480" w:lineRule="exact"/>
        <w:jc w:val="left"/>
        <w:rPr>
          <w:rFonts w:hint="eastAsia"/>
          <w:spacing w:val="-2"/>
          <w:lang w:val="en-US" w:eastAsia="zh-CN"/>
        </w:rPr>
      </w:pPr>
      <w:r>
        <w:rPr>
          <w:rFonts w:hint="eastAsia" w:ascii="宋体" w:hAnsi="宋体" w:eastAsia="宋体" w:cs="宋体"/>
          <w:spacing w:val="-2"/>
          <w:sz w:val="28"/>
          <w:szCs w:val="28"/>
          <w:lang w:val="en-US" w:eastAsia="zh-CN"/>
        </w:rPr>
        <w:t>3.本招标文件未明确的其它约定事项或条款，待采购人与成交供应商签订合同时，由双方协商订立。</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Helvetica LT Pro">
    <w:altName w:val="Segoe Script"/>
    <w:panose1 w:val="020B0504020202020204"/>
    <w:charset w:val="00"/>
    <w:family w:val="auto"/>
    <w:pitch w:val="default"/>
    <w:sig w:usb0="00000000" w:usb1="00000000" w:usb2="00000000" w:usb3="00000000" w:csb0="20000097" w:csb1="00000000"/>
  </w:font>
  <w:font w:name="Segoe Script">
    <w:panose1 w:val="020B0504020000000003"/>
    <w:charset w:val="00"/>
    <w:family w:val="auto"/>
    <w:pitch w:val="default"/>
    <w:sig w:usb0="0000028F" w:usb1="00000000" w:usb2="00000000" w:usb3="00000000" w:csb0="000000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95FF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F9A51">
                          <w:pPr>
                            <w:pStyle w:val="4"/>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8F9A51">
                    <w:pPr>
                      <w:pStyle w:val="4"/>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1YTQ0MGQ2NDc4NmQ3MjU4NTFkMzZmNDA5NDM5ODgifQ=="/>
  </w:docVars>
  <w:rsids>
    <w:rsidRoot w:val="3FE64CFF"/>
    <w:rsid w:val="08BA4446"/>
    <w:rsid w:val="0BDA6CED"/>
    <w:rsid w:val="10A64E54"/>
    <w:rsid w:val="16106E90"/>
    <w:rsid w:val="17DD25D0"/>
    <w:rsid w:val="1D3C09DC"/>
    <w:rsid w:val="1EF95283"/>
    <w:rsid w:val="224F63C8"/>
    <w:rsid w:val="23256CB7"/>
    <w:rsid w:val="25C73B97"/>
    <w:rsid w:val="2A16115C"/>
    <w:rsid w:val="2DA509EF"/>
    <w:rsid w:val="32B30866"/>
    <w:rsid w:val="352549E8"/>
    <w:rsid w:val="35B741D7"/>
    <w:rsid w:val="36930C62"/>
    <w:rsid w:val="36C52F59"/>
    <w:rsid w:val="3707679F"/>
    <w:rsid w:val="3E624F3E"/>
    <w:rsid w:val="3EDB0451"/>
    <w:rsid w:val="3FE64CFF"/>
    <w:rsid w:val="40F8601C"/>
    <w:rsid w:val="49533EF4"/>
    <w:rsid w:val="499819B0"/>
    <w:rsid w:val="4FB73AC2"/>
    <w:rsid w:val="51707DF7"/>
    <w:rsid w:val="5C97586A"/>
    <w:rsid w:val="60C0354A"/>
    <w:rsid w:val="65A014F3"/>
    <w:rsid w:val="65D379C4"/>
    <w:rsid w:val="666E7E1D"/>
    <w:rsid w:val="67D11582"/>
    <w:rsid w:val="745B3729"/>
    <w:rsid w:val="784E0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24"/>
      <w:szCs w:val="24"/>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widowControl/>
      <w:spacing w:beforeAutospacing="1" w:afterAutospacing="1"/>
      <w:jc w:val="left"/>
    </w:pPr>
    <w:rPr>
      <w:rFonts w:ascii="宋体" w:hAnsi="宋体"/>
      <w:color w:val="000000"/>
      <w:kern w:val="0"/>
      <w:sz w:val="24"/>
    </w:rPr>
  </w:style>
  <w:style w:type="character" w:styleId="9">
    <w:name w:val="Strong"/>
    <w:basedOn w:val="8"/>
    <w:qFormat/>
    <w:uiPriority w:val="0"/>
    <w:rPr>
      <w:b/>
    </w:rPr>
  </w:style>
  <w:style w:type="paragraph" w:customStyle="1" w:styleId="10">
    <w:name w:val="Table Text"/>
    <w:basedOn w:val="1"/>
    <w:semiHidden/>
    <w:qFormat/>
    <w:uiPriority w:val="0"/>
    <w:rPr>
      <w:rFonts w:ascii="黑体" w:hAnsi="黑体" w:eastAsia="黑体" w:cs="黑体"/>
      <w:sz w:val="18"/>
      <w:szCs w:val="18"/>
      <w:lang w:val="en-US" w:eastAsia="en-US" w:bidi="ar-SA"/>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3370</Words>
  <Characters>3515</Characters>
  <Lines>0</Lines>
  <Paragraphs>0</Paragraphs>
  <TotalTime>19</TotalTime>
  <ScaleCrop>false</ScaleCrop>
  <LinksUpToDate>false</LinksUpToDate>
  <CharactersWithSpaces>3552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2024-08-27T07:26:00Z</dcterms:created>
  <dc:creator>小军</dc:creator>
  <cp:lastModifiedBy>18924981193</cp:lastModifiedBy>
  <cp:lastPrinted>2024-12-06T00:40:00Z</cp:lastPrinted>
  <dcterms:modified xsi:type="dcterms:W3CDTF">2026-08-11T08:55:04Z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E830F2B7B446494FA740782928EA95A2_13</vt:lpwstr>
  </property>
  <property fmtid="{D5CDD505-2E9C-101B-9397-08002B2CF9AE}" pid="4" name="KSOTemplateDocerSaveRecord">
    <vt:lpwstr>eyJoZGlkIjoiMDI1YTQ0MGQ2NDc4NmQ3MjU4NTFkMzZmNDA5NDM5ODgiLCJ1c2VySWQiOiI3MDcxOTEyNjEifQ==</vt:lpwstr>
  </property>
</Properties>
</file>