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1C949E">
      <w:pPr>
        <w:jc w:val="center"/>
        <w:rPr>
          <w:rFonts w:hint="eastAsia" w:ascii="宋体" w:hAnsi="宋体" w:eastAsia="宋体" w:cs="宋体"/>
          <w:bCs/>
          <w:color w:val="000000"/>
          <w:sz w:val="36"/>
          <w:szCs w:val="36"/>
          <w:lang w:val="en-US" w:eastAsia="zh-CN"/>
        </w:rPr>
      </w:pPr>
      <w:r>
        <w:rPr>
          <w:rFonts w:hint="eastAsia" w:ascii="宋体" w:hAnsi="宋体" w:eastAsia="宋体" w:cs="宋体"/>
          <w:b/>
          <w:bCs w:val="0"/>
          <w:color w:val="000000"/>
          <w:sz w:val="36"/>
          <w:szCs w:val="36"/>
          <w:lang w:val="en-US" w:eastAsia="zh-CN"/>
        </w:rPr>
        <w:t>中山市东升医院2026年桶装水和支装水协议供货项目（二次）调研公告</w:t>
      </w:r>
    </w:p>
    <w:p w14:paraId="47A60B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555"/>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为更好地开展项目需要了解当前市场状况，我院拟</w:t>
      </w:r>
      <w:r>
        <w:rPr>
          <w:rFonts w:hint="eastAsia" w:ascii="宋体" w:hAnsi="宋体" w:eastAsia="宋体" w:cs="宋体"/>
          <w:i w:val="0"/>
          <w:iCs w:val="0"/>
          <w:caps w:val="0"/>
          <w:color w:val="000000"/>
          <w:spacing w:val="0"/>
          <w:sz w:val="28"/>
          <w:szCs w:val="28"/>
          <w:shd w:val="clear" w:fill="FFFFFF"/>
          <w:lang w:eastAsia="zh-CN"/>
        </w:rPr>
        <w:t>对</w:t>
      </w:r>
      <w:r>
        <w:rPr>
          <w:rFonts w:hint="eastAsia" w:ascii="宋体" w:hAnsi="宋体" w:eastAsia="宋体" w:cs="宋体"/>
          <w:i w:val="0"/>
          <w:iCs w:val="0"/>
          <w:caps w:val="0"/>
          <w:color w:val="000000"/>
          <w:spacing w:val="0"/>
          <w:sz w:val="28"/>
          <w:szCs w:val="28"/>
          <w:shd w:val="clear" w:fill="FFFFFF"/>
          <w:lang w:val="en-US" w:eastAsia="zh-CN"/>
        </w:rPr>
        <w:t>中山市东升医院2026年桶装水和支装水协议供货项目</w:t>
      </w:r>
      <w:r>
        <w:rPr>
          <w:rFonts w:hint="eastAsia" w:ascii="宋体" w:hAnsi="宋体" w:eastAsia="宋体" w:cs="宋体"/>
          <w:i w:val="0"/>
          <w:iCs w:val="0"/>
          <w:caps w:val="0"/>
          <w:color w:val="000000"/>
          <w:spacing w:val="0"/>
          <w:sz w:val="28"/>
          <w:szCs w:val="28"/>
          <w:shd w:val="clear" w:fill="FFFFFF"/>
        </w:rPr>
        <w:t>进行公开调研，诚邀各符合条件的供应商报名参与并提出宝贵意见。本次调研为业务</w:t>
      </w:r>
      <w:r>
        <w:rPr>
          <w:rFonts w:hint="eastAsia" w:ascii="宋体" w:hAnsi="宋体" w:eastAsia="宋体" w:cs="宋体"/>
          <w:i w:val="0"/>
          <w:iCs w:val="0"/>
          <w:caps w:val="0"/>
          <w:color w:val="000000"/>
          <w:spacing w:val="0"/>
          <w:sz w:val="28"/>
          <w:szCs w:val="28"/>
          <w:shd w:val="clear" w:fill="FFFFFF"/>
          <w:lang w:eastAsia="zh-CN"/>
        </w:rPr>
        <w:t>开</w:t>
      </w:r>
      <w:r>
        <w:rPr>
          <w:rFonts w:hint="eastAsia" w:ascii="宋体" w:hAnsi="宋体" w:eastAsia="宋体" w:cs="宋体"/>
          <w:i w:val="0"/>
          <w:iCs w:val="0"/>
          <w:caps w:val="0"/>
          <w:color w:val="000000"/>
          <w:spacing w:val="0"/>
          <w:sz w:val="28"/>
          <w:szCs w:val="28"/>
          <w:shd w:val="clear" w:fill="FFFFFF"/>
        </w:rPr>
        <w:t>展的初步意向，后续采购及招标事宜待调研结束后严格依照国家省市相关招标采购法律法规及院内制度执行。</w:t>
      </w:r>
    </w:p>
    <w:p w14:paraId="55BAD20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right="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一、</w:t>
      </w:r>
      <w:r>
        <w:rPr>
          <w:rStyle w:val="7"/>
          <w:rFonts w:hint="eastAsia" w:ascii="宋体" w:hAnsi="宋体" w:eastAsia="宋体" w:cs="宋体"/>
          <w:i w:val="0"/>
          <w:iCs w:val="0"/>
          <w:caps w:val="0"/>
          <w:color w:val="000000"/>
          <w:spacing w:val="0"/>
          <w:sz w:val="28"/>
          <w:szCs w:val="28"/>
          <w:shd w:val="clear" w:fill="FFFFFF"/>
        </w:rPr>
        <w:t>项目概况：</w:t>
      </w:r>
    </w:p>
    <w:p w14:paraId="5FB69E7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right="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1.项目名称：</w:t>
      </w:r>
      <w:r>
        <w:rPr>
          <w:rFonts w:hint="eastAsia" w:ascii="宋体" w:hAnsi="宋体" w:eastAsia="宋体" w:cs="宋体"/>
          <w:i w:val="0"/>
          <w:iCs w:val="0"/>
          <w:caps w:val="0"/>
          <w:color w:val="000000"/>
          <w:spacing w:val="0"/>
          <w:sz w:val="28"/>
          <w:szCs w:val="28"/>
          <w:shd w:val="clear" w:fill="FFFFFF"/>
          <w:lang w:val="en-US" w:eastAsia="zh-CN"/>
        </w:rPr>
        <w:t>中山市东升医院2026年桶装水和支装水协议供货项目</w:t>
      </w:r>
      <w:bookmarkStart w:id="0" w:name="_GoBack"/>
      <w:bookmarkEnd w:id="0"/>
    </w:p>
    <w:p w14:paraId="4E9373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right="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2.配送地点：中山市东升医院内指定地点</w:t>
      </w:r>
    </w:p>
    <w:p w14:paraId="5D9744E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right="0"/>
        <w:jc w:val="both"/>
        <w:textAlignment w:val="auto"/>
        <w:rPr>
          <w:rFonts w:hint="eastAsia" w:ascii="宋体" w:hAnsi="宋体" w:eastAsia="宋体" w:cs="宋体"/>
          <w:i w:val="0"/>
          <w:iCs w:val="0"/>
          <w:caps w:val="0"/>
          <w:color w:val="000000"/>
          <w:spacing w:val="0"/>
          <w:sz w:val="28"/>
          <w:szCs w:val="28"/>
          <w:shd w:val="clear" w:fill="FFFFFF"/>
        </w:rPr>
      </w:pPr>
      <w:r>
        <w:rPr>
          <w:rFonts w:hint="eastAsia" w:ascii="宋体" w:hAnsi="宋体" w:eastAsia="宋体" w:cs="宋体"/>
          <w:i w:val="0"/>
          <w:iCs w:val="0"/>
          <w:caps w:val="0"/>
          <w:color w:val="000000"/>
          <w:spacing w:val="0"/>
          <w:sz w:val="28"/>
          <w:szCs w:val="28"/>
          <w:shd w:val="clear" w:fill="FFFFFF"/>
        </w:rPr>
        <w:t>3.</w:t>
      </w:r>
      <w:r>
        <w:rPr>
          <w:rFonts w:hint="eastAsia" w:ascii="宋体" w:hAnsi="宋体" w:eastAsia="宋体" w:cs="宋体"/>
          <w:i w:val="0"/>
          <w:iCs w:val="0"/>
          <w:caps w:val="0"/>
          <w:color w:val="000000"/>
          <w:spacing w:val="0"/>
          <w:sz w:val="28"/>
          <w:szCs w:val="28"/>
          <w:shd w:val="clear" w:fill="FFFFFF"/>
          <w:lang w:eastAsia="zh-CN"/>
        </w:rPr>
        <w:t>项目</w:t>
      </w:r>
      <w:r>
        <w:rPr>
          <w:rFonts w:hint="eastAsia" w:ascii="宋体" w:hAnsi="宋体" w:eastAsia="宋体" w:cs="宋体"/>
          <w:i w:val="0"/>
          <w:iCs w:val="0"/>
          <w:caps w:val="0"/>
          <w:color w:val="000000"/>
          <w:spacing w:val="0"/>
          <w:sz w:val="28"/>
          <w:szCs w:val="28"/>
          <w:shd w:val="clear" w:fill="FFFFFF"/>
        </w:rPr>
        <w:t>清单：</w:t>
      </w:r>
    </w:p>
    <w:tbl>
      <w:tblPr>
        <w:tblStyle w:val="5"/>
        <w:tblW w:w="1024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58"/>
        <w:gridCol w:w="683"/>
        <w:gridCol w:w="3342"/>
        <w:gridCol w:w="396"/>
        <w:gridCol w:w="799"/>
        <w:gridCol w:w="1188"/>
        <w:gridCol w:w="438"/>
        <w:gridCol w:w="1036"/>
        <w:gridCol w:w="778"/>
        <w:gridCol w:w="1225"/>
      </w:tblGrid>
      <w:tr w14:paraId="46BF12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2" w:hRule="atLeast"/>
          <w:jc w:val="center"/>
        </w:trPr>
        <w:tc>
          <w:tcPr>
            <w:tcW w:w="358"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4085F506">
            <w:pPr>
              <w:keepNext w:val="0"/>
              <w:keepLines w:val="0"/>
              <w:widowControl/>
              <w:suppressLineNumbers w:val="0"/>
              <w:jc w:val="center"/>
              <w:textAlignment w:val="center"/>
              <w:rPr>
                <w:rStyle w:val="9"/>
                <w:rFonts w:hint="default"/>
                <w:sz w:val="21"/>
                <w:szCs w:val="21"/>
                <w:lang w:val="en-US" w:eastAsia="zh-CN" w:bidi="ar"/>
              </w:rPr>
            </w:pPr>
            <w:r>
              <w:rPr>
                <w:rStyle w:val="9"/>
                <w:rFonts w:hint="eastAsia"/>
                <w:sz w:val="21"/>
                <w:szCs w:val="21"/>
                <w:lang w:val="en-US" w:eastAsia="zh-CN" w:bidi="ar"/>
              </w:rPr>
              <w:t>序号</w:t>
            </w:r>
          </w:p>
        </w:tc>
        <w:tc>
          <w:tcPr>
            <w:tcW w:w="683"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FBCA99D">
            <w:pPr>
              <w:keepNext w:val="0"/>
              <w:keepLines w:val="0"/>
              <w:widowControl/>
              <w:suppressLineNumbers w:val="0"/>
              <w:jc w:val="center"/>
              <w:textAlignment w:val="center"/>
              <w:rPr>
                <w:rStyle w:val="9"/>
                <w:sz w:val="21"/>
                <w:szCs w:val="21"/>
                <w:lang w:val="en-US" w:eastAsia="zh-CN" w:bidi="ar"/>
              </w:rPr>
            </w:pPr>
            <w:r>
              <w:rPr>
                <w:rStyle w:val="9"/>
                <w:sz w:val="21"/>
                <w:szCs w:val="21"/>
                <w:lang w:val="en-US" w:eastAsia="zh-CN" w:bidi="ar"/>
              </w:rPr>
              <w:t>采购</w:t>
            </w:r>
          </w:p>
          <w:p w14:paraId="0B91D42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Style w:val="9"/>
                <w:sz w:val="21"/>
                <w:szCs w:val="21"/>
                <w:lang w:val="en-US" w:eastAsia="zh-CN" w:bidi="ar"/>
              </w:rPr>
              <w:t>物品</w:t>
            </w:r>
          </w:p>
        </w:tc>
        <w:tc>
          <w:tcPr>
            <w:tcW w:w="3342" w:type="dxa"/>
            <w:tcBorders>
              <w:top w:val="single" w:color="000000" w:sz="4" w:space="0"/>
              <w:left w:val="single" w:color="000000" w:sz="4" w:space="0"/>
              <w:bottom w:val="single" w:color="auto" w:sz="4" w:space="0"/>
              <w:right w:val="single" w:color="auto" w:sz="4" w:space="0"/>
            </w:tcBorders>
            <w:shd w:val="clear" w:color="auto" w:fill="FFFFFF"/>
            <w:noWrap w:val="0"/>
            <w:vAlign w:val="center"/>
          </w:tcPr>
          <w:p w14:paraId="12AFAE57">
            <w:pPr>
              <w:keepNext w:val="0"/>
              <w:keepLines w:val="0"/>
              <w:widowControl/>
              <w:suppressLineNumbers w:val="0"/>
              <w:jc w:val="center"/>
              <w:textAlignment w:val="center"/>
              <w:rPr>
                <w:rFonts w:hint="default"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技术参数要求</w:t>
            </w:r>
          </w:p>
        </w:tc>
        <w:tc>
          <w:tcPr>
            <w:tcW w:w="396" w:type="dxa"/>
            <w:tcBorders>
              <w:top w:val="single" w:color="000000" w:sz="4" w:space="0"/>
              <w:left w:val="single" w:color="auto" w:sz="4" w:space="0"/>
              <w:bottom w:val="single" w:color="auto" w:sz="4" w:space="0"/>
              <w:right w:val="single" w:color="000000" w:sz="4" w:space="0"/>
            </w:tcBorders>
            <w:shd w:val="clear" w:color="auto" w:fill="FFFFFF"/>
            <w:noWrap w:val="0"/>
            <w:vAlign w:val="center"/>
          </w:tcPr>
          <w:p w14:paraId="28CD3E84">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Style w:val="9"/>
                <w:sz w:val="21"/>
                <w:szCs w:val="21"/>
                <w:lang w:val="en-US" w:eastAsia="zh-CN" w:bidi="ar"/>
              </w:rPr>
              <w:t>单位</w:t>
            </w:r>
          </w:p>
        </w:tc>
        <w:tc>
          <w:tcPr>
            <w:tcW w:w="799" w:type="dxa"/>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587D6446">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color w:val="000000" w:themeColor="text1"/>
                <w:kern w:val="0"/>
                <w:sz w:val="21"/>
                <w:szCs w:val="21"/>
                <w:vertAlign w:val="baseline"/>
                <w:lang w:val="en-US" w:eastAsia="zh-CN" w:bidi="ar"/>
                <w14:textFill>
                  <w14:solidFill>
                    <w14:schemeClr w14:val="tx1"/>
                  </w14:solidFill>
                </w14:textFill>
              </w:rPr>
              <w:t>预估数量</w:t>
            </w:r>
          </w:p>
        </w:tc>
        <w:tc>
          <w:tcPr>
            <w:tcW w:w="1188" w:type="dxa"/>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0AAD2ECD">
            <w:pPr>
              <w:keepNext w:val="0"/>
              <w:keepLines w:val="0"/>
              <w:widowControl/>
              <w:suppressLineNumbers w:val="0"/>
              <w:jc w:val="center"/>
              <w:textAlignment w:val="center"/>
              <w:rPr>
                <w:rFonts w:hint="default" w:ascii="宋体" w:hAnsi="宋体" w:cs="宋体"/>
                <w:b/>
                <w:bCs/>
                <w:i w:val="0"/>
                <w:iCs w:val="0"/>
                <w:color w:val="000000"/>
                <w:kern w:val="0"/>
                <w:sz w:val="21"/>
                <w:szCs w:val="21"/>
                <w:u w:val="none"/>
                <w:lang w:val="en-US" w:eastAsia="zh-CN" w:bidi="ar"/>
              </w:rPr>
            </w:pPr>
            <w:r>
              <w:rPr>
                <w:rFonts w:hint="eastAsia" w:ascii="宋体" w:hAnsi="宋体" w:cs="宋体"/>
                <w:b/>
                <w:bCs/>
                <w:i w:val="0"/>
                <w:iCs w:val="0"/>
                <w:color w:val="000000"/>
                <w:kern w:val="0"/>
                <w:sz w:val="21"/>
                <w:szCs w:val="21"/>
                <w:u w:val="none"/>
                <w:lang w:val="en-US" w:eastAsia="zh-CN" w:bidi="ar"/>
              </w:rPr>
              <w:t>参数响应</w:t>
            </w:r>
          </w:p>
          <w:p w14:paraId="717BE555">
            <w:pPr>
              <w:keepNext w:val="0"/>
              <w:keepLines w:val="0"/>
              <w:widowControl/>
              <w:suppressLineNumbers w:val="0"/>
              <w:jc w:val="center"/>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cs="宋体"/>
                <w:b/>
                <w:bCs/>
                <w:i w:val="0"/>
                <w:iCs w:val="0"/>
                <w:color w:val="000000"/>
                <w:kern w:val="0"/>
                <w:sz w:val="21"/>
                <w:szCs w:val="21"/>
                <w:u w:val="none"/>
                <w:lang w:val="en-US" w:eastAsia="zh-CN" w:bidi="ar"/>
              </w:rPr>
              <w:t>(完全响应/正偏离/负偏离)</w:t>
            </w:r>
          </w:p>
        </w:tc>
        <w:tc>
          <w:tcPr>
            <w:tcW w:w="438" w:type="dxa"/>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0952B97A">
            <w:pPr>
              <w:keepNext w:val="0"/>
              <w:keepLines w:val="0"/>
              <w:widowControl/>
              <w:suppressLineNumbers w:val="0"/>
              <w:jc w:val="center"/>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cs="宋体"/>
                <w:b/>
                <w:bCs/>
                <w:i w:val="0"/>
                <w:iCs w:val="0"/>
                <w:color w:val="000000"/>
                <w:kern w:val="0"/>
                <w:sz w:val="21"/>
                <w:szCs w:val="21"/>
                <w:u w:val="none"/>
                <w:lang w:val="en-US" w:eastAsia="zh-CN" w:bidi="ar"/>
              </w:rPr>
              <w:t>响应品牌</w:t>
            </w:r>
          </w:p>
        </w:tc>
        <w:tc>
          <w:tcPr>
            <w:tcW w:w="1036" w:type="dxa"/>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1BAD64BD">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响应</w:t>
            </w:r>
          </w:p>
          <w:p w14:paraId="39164090">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产品</w:t>
            </w:r>
          </w:p>
          <w:p w14:paraId="6A8468D5">
            <w:pPr>
              <w:keepNext w:val="0"/>
              <w:keepLines w:val="0"/>
              <w:widowControl/>
              <w:suppressLineNumbers w:val="0"/>
              <w:jc w:val="center"/>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规格</w:t>
            </w:r>
          </w:p>
        </w:tc>
        <w:tc>
          <w:tcPr>
            <w:tcW w:w="778" w:type="dxa"/>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21CCAE2E">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响应</w:t>
            </w:r>
          </w:p>
          <w:p w14:paraId="1685AF27">
            <w:pPr>
              <w:keepNext w:val="0"/>
              <w:keepLines w:val="0"/>
              <w:widowControl/>
              <w:suppressLineNumbers w:val="0"/>
              <w:jc w:val="center"/>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单价</w:t>
            </w:r>
          </w:p>
          <w:p w14:paraId="0522492C">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（元）</w:t>
            </w:r>
          </w:p>
        </w:tc>
        <w:tc>
          <w:tcPr>
            <w:tcW w:w="1225" w:type="dxa"/>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3F34CB21">
            <w:pPr>
              <w:keepNext w:val="0"/>
              <w:keepLines w:val="0"/>
              <w:widowControl/>
              <w:suppressLineNumbers w:val="0"/>
              <w:jc w:val="center"/>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合计（元）</w:t>
            </w:r>
          </w:p>
        </w:tc>
      </w:tr>
      <w:tr w14:paraId="4A10B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7" w:hRule="atLeast"/>
          <w:jc w:val="center"/>
        </w:trPr>
        <w:tc>
          <w:tcPr>
            <w:tcW w:w="358" w:type="dxa"/>
            <w:tcBorders>
              <w:top w:val="single" w:color="auto" w:sz="4" w:space="0"/>
              <w:left w:val="single" w:color="auto" w:sz="4" w:space="0"/>
              <w:bottom w:val="single" w:color="auto" w:sz="4" w:space="0"/>
              <w:right w:val="single" w:color="000000" w:sz="4" w:space="0"/>
            </w:tcBorders>
            <w:noWrap w:val="0"/>
            <w:vAlign w:val="center"/>
          </w:tcPr>
          <w:p w14:paraId="6B7A2891">
            <w:pPr>
              <w:keepNext w:val="0"/>
              <w:keepLines w:val="0"/>
              <w:widowControl/>
              <w:suppressLineNumbers w:val="0"/>
              <w:jc w:val="center"/>
              <w:textAlignment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683" w:type="dxa"/>
            <w:tcBorders>
              <w:top w:val="single" w:color="auto" w:sz="4" w:space="0"/>
              <w:left w:val="single" w:color="auto" w:sz="4" w:space="0"/>
              <w:bottom w:val="single" w:color="auto" w:sz="4" w:space="0"/>
              <w:right w:val="single" w:color="000000" w:sz="4" w:space="0"/>
            </w:tcBorders>
            <w:noWrap w:val="0"/>
            <w:vAlign w:val="center"/>
          </w:tcPr>
          <w:p w14:paraId="36B07EB9">
            <w:pPr>
              <w:keepNext w:val="0"/>
              <w:keepLines w:val="0"/>
              <w:widowControl/>
              <w:suppressLineNumbers w:val="0"/>
              <w:jc w:val="center"/>
              <w:textAlignment w:val="center"/>
              <w:rPr>
                <w:rStyle w:val="12"/>
                <w:rFonts w:hint="eastAsia" w:ascii="宋体" w:hAnsi="宋体" w:eastAsia="宋体" w:cs="宋体"/>
                <w:sz w:val="21"/>
                <w:szCs w:val="21"/>
                <w:lang w:val="en-US" w:eastAsia="zh-CN" w:bidi="ar"/>
              </w:rPr>
            </w:pPr>
            <w:r>
              <w:rPr>
                <w:rFonts w:hint="eastAsia" w:ascii="宋体" w:hAnsi="宋体" w:eastAsia="宋体" w:cs="宋体"/>
                <w:color w:val="auto"/>
                <w:sz w:val="21"/>
                <w:szCs w:val="21"/>
                <w:lang w:val="en-US" w:eastAsia="zh-CN"/>
              </w:rPr>
              <w:t>桶装水</w:t>
            </w:r>
          </w:p>
        </w:tc>
        <w:tc>
          <w:tcPr>
            <w:tcW w:w="3342" w:type="dxa"/>
            <w:tcBorders>
              <w:top w:val="single" w:color="auto" w:sz="4" w:space="0"/>
              <w:left w:val="single" w:color="000000" w:sz="4" w:space="0"/>
              <w:bottom w:val="single" w:color="auto" w:sz="4" w:space="0"/>
              <w:right w:val="single" w:color="auto" w:sz="4" w:space="0"/>
            </w:tcBorders>
            <w:noWrap w:val="0"/>
            <w:vAlign w:val="center"/>
          </w:tcPr>
          <w:p w14:paraId="30DD8F4A">
            <w:pPr>
              <w:pStyle w:val="11"/>
              <w:numPr>
                <w:ilvl w:val="0"/>
                <w:numId w:val="0"/>
              </w:numPr>
              <w:spacing w:line="360" w:lineRule="auto"/>
              <w:ind w:left="420" w:leftChars="0" w:hanging="42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SA"/>
              </w:rPr>
              <w:t>1.</w:t>
            </w:r>
            <w:r>
              <w:rPr>
                <w:rFonts w:hint="eastAsia" w:ascii="宋体" w:hAnsi="宋体" w:eastAsia="宋体" w:cs="宋体"/>
                <w:sz w:val="21"/>
                <w:szCs w:val="21"/>
              </w:rPr>
              <w:t>容量：1</w:t>
            </w:r>
            <w:r>
              <w:rPr>
                <w:rFonts w:hint="eastAsia" w:ascii="宋体" w:hAnsi="宋体" w:eastAsia="宋体" w:cs="宋体"/>
                <w:sz w:val="21"/>
                <w:szCs w:val="21"/>
                <w:lang w:val="en-US" w:eastAsia="zh-CN"/>
              </w:rPr>
              <w:t>6</w:t>
            </w:r>
            <w:r>
              <w:rPr>
                <w:rFonts w:hint="eastAsia" w:ascii="宋体" w:hAnsi="宋体" w:eastAsia="宋体" w:cs="宋体"/>
                <w:sz w:val="21"/>
                <w:szCs w:val="21"/>
              </w:rPr>
              <w:t>～19L</w:t>
            </w:r>
            <w:r>
              <w:rPr>
                <w:rFonts w:hint="eastAsia" w:ascii="宋体" w:hAnsi="宋体" w:eastAsia="宋体" w:cs="宋体"/>
                <w:sz w:val="21"/>
                <w:szCs w:val="21"/>
                <w:lang w:val="en-US" w:eastAsia="zh-CN"/>
              </w:rPr>
              <w:t>/桶</w:t>
            </w:r>
            <w:r>
              <w:rPr>
                <w:rFonts w:hint="eastAsia" w:ascii="宋体" w:hAnsi="宋体" w:eastAsia="宋体" w:cs="宋体"/>
                <w:sz w:val="21"/>
                <w:szCs w:val="21"/>
              </w:rPr>
              <w:t>；</w:t>
            </w:r>
          </w:p>
          <w:p w14:paraId="1F79199D">
            <w:pPr>
              <w:pStyle w:val="11"/>
              <w:numPr>
                <w:ilvl w:val="0"/>
                <w:numId w:val="0"/>
              </w:numPr>
              <w:spacing w:line="360" w:lineRule="auto"/>
              <w:ind w:left="420" w:leftChars="0" w:hanging="42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SA"/>
              </w:rPr>
              <w:t>2.</w:t>
            </w:r>
            <w:r>
              <w:rPr>
                <w:rFonts w:hint="eastAsia" w:ascii="宋体" w:hAnsi="宋体" w:eastAsia="宋体" w:cs="宋体"/>
                <w:sz w:val="21"/>
                <w:szCs w:val="21"/>
              </w:rPr>
              <w:t>色度：色度≤5，不得呈现其他异色；</w:t>
            </w:r>
          </w:p>
          <w:p w14:paraId="06B9A890">
            <w:pPr>
              <w:pStyle w:val="11"/>
              <w:numPr>
                <w:ilvl w:val="0"/>
                <w:numId w:val="0"/>
              </w:numPr>
              <w:spacing w:line="360" w:lineRule="auto"/>
              <w:ind w:left="420" w:leftChars="0" w:hanging="420" w:firstLineChars="0"/>
              <w:jc w:val="left"/>
              <w:rPr>
                <w:rFonts w:hint="eastAsia" w:ascii="宋体" w:hAnsi="宋体" w:eastAsia="宋体" w:cs="宋体"/>
                <w:color w:val="auto"/>
                <w:sz w:val="21"/>
                <w:szCs w:val="21"/>
              </w:rPr>
            </w:pPr>
            <w:r>
              <w:rPr>
                <w:rFonts w:hint="eastAsia" w:ascii="宋体" w:hAnsi="宋体" w:eastAsia="宋体" w:cs="宋体"/>
                <w:kern w:val="0"/>
                <w:sz w:val="21"/>
                <w:szCs w:val="21"/>
                <w:lang w:val="en-US" w:eastAsia="zh-CN" w:bidi="ar-SA"/>
              </w:rPr>
              <w:t>3</w:t>
            </w:r>
            <w:r>
              <w:rPr>
                <w:rFonts w:hint="eastAsia" w:ascii="宋体" w:hAnsi="宋体" w:eastAsia="宋体" w:cs="宋体"/>
                <w:color w:val="auto"/>
                <w:kern w:val="0"/>
                <w:sz w:val="21"/>
                <w:szCs w:val="21"/>
                <w:lang w:val="en-US" w:eastAsia="zh-CN" w:bidi="ar-SA"/>
              </w:rPr>
              <w:t>.浑</w:t>
            </w:r>
            <w:r>
              <w:rPr>
                <w:rFonts w:hint="eastAsia" w:ascii="宋体" w:hAnsi="宋体" w:eastAsia="宋体" w:cs="宋体"/>
                <w:color w:val="auto"/>
                <w:sz w:val="21"/>
                <w:szCs w:val="21"/>
              </w:rPr>
              <w:t>浊度：</w:t>
            </w:r>
            <w:r>
              <w:rPr>
                <w:rFonts w:hint="eastAsia" w:ascii="宋体" w:hAnsi="宋体" w:eastAsia="宋体" w:cs="宋体"/>
                <w:color w:val="auto"/>
                <w:sz w:val="21"/>
                <w:szCs w:val="21"/>
                <w:lang w:val="en-US" w:eastAsia="zh-CN"/>
              </w:rPr>
              <w:t>浑</w:t>
            </w:r>
            <w:r>
              <w:rPr>
                <w:rFonts w:hint="eastAsia" w:ascii="宋体" w:hAnsi="宋体" w:eastAsia="宋体" w:cs="宋体"/>
                <w:color w:val="auto"/>
                <w:sz w:val="21"/>
                <w:szCs w:val="21"/>
              </w:rPr>
              <w:t>浊度≤1；</w:t>
            </w:r>
          </w:p>
          <w:p w14:paraId="6F65ACC6">
            <w:pPr>
              <w:numPr>
                <w:ilvl w:val="0"/>
                <w:numId w:val="0"/>
              </w:numPr>
              <w:spacing w:line="360" w:lineRule="auto"/>
              <w:ind w:left="420" w:leftChars="0" w:hanging="420" w:firstLineChars="0"/>
              <w:jc w:val="left"/>
              <w:rPr>
                <w:rFonts w:hint="eastAsia" w:ascii="宋体" w:hAnsi="宋体" w:eastAsia="宋体" w:cs="宋体"/>
                <w:color w:val="auto"/>
                <w:sz w:val="21"/>
                <w:szCs w:val="21"/>
              </w:rPr>
            </w:pPr>
            <w:r>
              <w:rPr>
                <w:rFonts w:hint="eastAsia" w:ascii="宋体" w:hAnsi="宋体" w:eastAsia="宋体" w:cs="宋体"/>
                <w:color w:val="auto"/>
                <w:kern w:val="2"/>
                <w:sz w:val="21"/>
                <w:szCs w:val="21"/>
                <w:lang w:val="en-US" w:eastAsia="zh-CN" w:bidi="ar-SA"/>
              </w:rPr>
              <w:t>4.</w:t>
            </w:r>
            <w:r>
              <w:rPr>
                <w:rFonts w:hint="eastAsia" w:ascii="宋体" w:hAnsi="宋体" w:eastAsia="宋体" w:cs="宋体"/>
                <w:color w:val="auto"/>
                <w:sz w:val="21"/>
                <w:szCs w:val="21"/>
                <w:lang w:val="en-US" w:eastAsia="zh-CN"/>
              </w:rPr>
              <w:t>滋味、气味</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无异味、无异嗅</w:t>
            </w:r>
            <w:r>
              <w:rPr>
                <w:rFonts w:hint="eastAsia" w:ascii="宋体" w:hAnsi="宋体" w:eastAsia="宋体" w:cs="宋体"/>
                <w:color w:val="auto"/>
                <w:sz w:val="21"/>
                <w:szCs w:val="21"/>
              </w:rPr>
              <w:t>；</w:t>
            </w:r>
          </w:p>
          <w:p w14:paraId="7F528827">
            <w:pPr>
              <w:numPr>
                <w:ilvl w:val="0"/>
                <w:numId w:val="0"/>
              </w:numPr>
              <w:spacing w:line="360" w:lineRule="auto"/>
              <w:ind w:left="420" w:leftChars="0" w:hanging="420" w:firstLineChars="0"/>
              <w:jc w:val="left"/>
              <w:rPr>
                <w:rFonts w:hint="eastAsia" w:ascii="宋体" w:hAnsi="宋体" w:eastAsia="宋体" w:cs="宋体"/>
                <w:color w:val="auto"/>
                <w:sz w:val="21"/>
                <w:szCs w:val="21"/>
              </w:rPr>
            </w:pPr>
            <w:r>
              <w:rPr>
                <w:rFonts w:hint="eastAsia" w:ascii="宋体" w:hAnsi="宋体" w:eastAsia="宋体" w:cs="宋体"/>
                <w:color w:val="auto"/>
                <w:kern w:val="2"/>
                <w:sz w:val="21"/>
                <w:szCs w:val="21"/>
                <w:lang w:val="en-US" w:eastAsia="zh-CN" w:bidi="ar-SA"/>
              </w:rPr>
              <w:t>5.状态：</w:t>
            </w:r>
            <w:r>
              <w:rPr>
                <w:rFonts w:hint="eastAsia" w:ascii="宋体" w:hAnsi="宋体" w:eastAsia="宋体" w:cs="宋体"/>
                <w:color w:val="auto"/>
                <w:sz w:val="21"/>
                <w:szCs w:val="21"/>
              </w:rPr>
              <w:t>无正常视力可见外来异物；</w:t>
            </w:r>
          </w:p>
          <w:p w14:paraId="7F7A3C0C">
            <w:pPr>
              <w:numPr>
                <w:ilvl w:val="0"/>
                <w:numId w:val="0"/>
              </w:numPr>
              <w:spacing w:line="360" w:lineRule="auto"/>
              <w:ind w:left="420" w:leftChars="0" w:hanging="420" w:firstLineChars="0"/>
              <w:jc w:val="left"/>
              <w:rPr>
                <w:rFonts w:hint="eastAsia" w:ascii="宋体" w:hAnsi="宋体" w:eastAsia="宋体" w:cs="宋体"/>
                <w:color w:val="auto"/>
                <w:sz w:val="21"/>
                <w:szCs w:val="21"/>
              </w:rPr>
            </w:pPr>
            <w:r>
              <w:rPr>
                <w:rFonts w:hint="eastAsia" w:ascii="宋体" w:hAnsi="宋体" w:eastAsia="宋体" w:cs="宋体"/>
                <w:color w:val="auto"/>
                <w:kern w:val="2"/>
                <w:sz w:val="21"/>
                <w:szCs w:val="21"/>
                <w:lang w:val="en-US" w:eastAsia="zh-CN" w:bidi="ar-SA"/>
              </w:rPr>
              <w:t>6.</w:t>
            </w:r>
            <w:r>
              <w:rPr>
                <w:rFonts w:hint="eastAsia" w:ascii="宋体" w:hAnsi="宋体" w:eastAsia="宋体" w:cs="宋体"/>
                <w:color w:val="auto"/>
                <w:sz w:val="21"/>
                <w:szCs w:val="21"/>
              </w:rPr>
              <w:t>溴酸盐≤0.01mg/L；</w:t>
            </w:r>
          </w:p>
          <w:p w14:paraId="2859C27C">
            <w:pPr>
              <w:numPr>
                <w:ilvl w:val="0"/>
                <w:numId w:val="0"/>
              </w:numPr>
              <w:spacing w:line="360" w:lineRule="auto"/>
              <w:ind w:left="420" w:leftChars="0" w:hanging="420" w:firstLineChars="0"/>
              <w:jc w:val="left"/>
              <w:rPr>
                <w:rFonts w:hint="eastAsia" w:ascii="宋体" w:hAnsi="宋体" w:eastAsia="宋体" w:cs="宋体"/>
                <w:color w:val="auto"/>
                <w:sz w:val="21"/>
                <w:szCs w:val="21"/>
              </w:rPr>
            </w:pPr>
            <w:r>
              <w:rPr>
                <w:rFonts w:hint="eastAsia" w:ascii="宋体" w:hAnsi="宋体" w:eastAsia="宋体" w:cs="宋体"/>
                <w:color w:val="auto"/>
                <w:kern w:val="2"/>
                <w:sz w:val="21"/>
                <w:szCs w:val="21"/>
                <w:lang w:val="en-US" w:eastAsia="zh-CN" w:bidi="ar-SA"/>
              </w:rPr>
              <w:t>7.</w:t>
            </w:r>
            <w:r>
              <w:rPr>
                <w:rFonts w:hint="eastAsia" w:ascii="宋体" w:hAnsi="宋体" w:eastAsia="宋体" w:cs="宋体"/>
                <w:color w:val="auto"/>
                <w:sz w:val="21"/>
                <w:szCs w:val="21"/>
              </w:rPr>
              <w:t>电导率≤10us/cm；</w:t>
            </w:r>
          </w:p>
          <w:p w14:paraId="2FA8C4F4">
            <w:pPr>
              <w:numPr>
                <w:ilvl w:val="0"/>
                <w:numId w:val="0"/>
              </w:numPr>
              <w:spacing w:line="360" w:lineRule="auto"/>
              <w:ind w:left="420" w:leftChars="0" w:hanging="420" w:firstLineChars="0"/>
              <w:jc w:val="left"/>
              <w:rPr>
                <w:rFonts w:hint="eastAsia" w:ascii="宋体" w:hAnsi="宋体" w:eastAsia="宋体" w:cs="宋体"/>
                <w:color w:val="auto"/>
                <w:sz w:val="21"/>
                <w:szCs w:val="21"/>
                <w:lang w:eastAsia="zh-CN"/>
              </w:rPr>
            </w:pPr>
            <w:r>
              <w:rPr>
                <w:rFonts w:hint="eastAsia" w:ascii="宋体" w:hAnsi="宋体" w:eastAsia="宋体" w:cs="宋体"/>
                <w:color w:val="auto"/>
                <w:kern w:val="2"/>
                <w:sz w:val="21"/>
                <w:szCs w:val="21"/>
                <w:lang w:val="en-US" w:eastAsia="zh-CN" w:bidi="ar-SA"/>
              </w:rPr>
              <w:t>8.</w:t>
            </w:r>
            <w:r>
              <w:rPr>
                <w:rFonts w:hint="eastAsia" w:ascii="宋体" w:hAnsi="宋体" w:eastAsia="宋体" w:cs="宋体"/>
                <w:color w:val="auto"/>
                <w:sz w:val="21"/>
                <w:szCs w:val="21"/>
              </w:rPr>
              <w:t>耗氧量≤2.0mg/L</w:t>
            </w:r>
            <w:r>
              <w:rPr>
                <w:rFonts w:hint="eastAsia" w:ascii="宋体" w:hAnsi="宋体" w:eastAsia="宋体" w:cs="宋体"/>
                <w:color w:val="auto"/>
                <w:sz w:val="21"/>
                <w:szCs w:val="21"/>
                <w:lang w:eastAsia="zh-CN"/>
              </w:rPr>
              <w:t>；</w:t>
            </w:r>
          </w:p>
          <w:p w14:paraId="500CDE97">
            <w:pPr>
              <w:numPr>
                <w:ilvl w:val="0"/>
                <w:numId w:val="0"/>
              </w:numPr>
              <w:spacing w:line="360" w:lineRule="auto"/>
              <w:ind w:left="420" w:leftChars="0" w:hanging="420" w:firstLineChars="0"/>
              <w:jc w:val="left"/>
              <w:rPr>
                <w:rFonts w:hint="eastAsia" w:ascii="宋体" w:hAnsi="宋体" w:eastAsia="宋体" w:cs="宋体"/>
                <w:color w:val="auto"/>
                <w:sz w:val="21"/>
                <w:szCs w:val="21"/>
              </w:rPr>
            </w:pPr>
            <w:r>
              <w:rPr>
                <w:rFonts w:hint="eastAsia" w:ascii="宋体" w:hAnsi="宋体" w:eastAsia="宋体" w:cs="宋体"/>
                <w:color w:val="auto"/>
                <w:kern w:val="2"/>
                <w:sz w:val="21"/>
                <w:szCs w:val="21"/>
                <w:lang w:val="en-US" w:eastAsia="zh-CN" w:bidi="ar-SA"/>
              </w:rPr>
              <w:t>9.</w:t>
            </w:r>
            <w:r>
              <w:rPr>
                <w:rFonts w:hint="eastAsia" w:ascii="宋体" w:hAnsi="宋体" w:eastAsia="宋体" w:cs="宋体"/>
                <w:color w:val="auto"/>
                <w:sz w:val="21"/>
                <w:szCs w:val="21"/>
              </w:rPr>
              <w:t>余氯（游离氯）≤0.05mg/L；</w:t>
            </w:r>
          </w:p>
          <w:p w14:paraId="68BFCA50">
            <w:pPr>
              <w:numPr>
                <w:ilvl w:val="0"/>
                <w:numId w:val="0"/>
              </w:numPr>
              <w:spacing w:line="360" w:lineRule="auto"/>
              <w:ind w:left="420" w:leftChars="0" w:hanging="420" w:firstLineChars="0"/>
              <w:jc w:val="left"/>
              <w:rPr>
                <w:rFonts w:hint="eastAsia" w:ascii="宋体" w:hAnsi="宋体" w:eastAsia="宋体" w:cs="宋体"/>
                <w:color w:val="auto"/>
                <w:sz w:val="21"/>
                <w:szCs w:val="21"/>
              </w:rPr>
            </w:pPr>
            <w:r>
              <w:rPr>
                <w:rFonts w:hint="eastAsia" w:ascii="宋体" w:hAnsi="宋体" w:eastAsia="宋体" w:cs="宋体"/>
                <w:color w:val="auto"/>
                <w:kern w:val="2"/>
                <w:sz w:val="21"/>
                <w:szCs w:val="21"/>
                <w:lang w:val="en-US" w:eastAsia="zh-CN" w:bidi="ar-SA"/>
              </w:rPr>
              <w:t>10.</w:t>
            </w:r>
            <w:r>
              <w:rPr>
                <w:rFonts w:hint="eastAsia" w:ascii="宋体" w:hAnsi="宋体" w:eastAsia="宋体" w:cs="宋体"/>
                <w:color w:val="auto"/>
                <w:sz w:val="21"/>
                <w:szCs w:val="21"/>
              </w:rPr>
              <w:t>三氯甲烷≤0.02mg/L；</w:t>
            </w:r>
          </w:p>
          <w:p w14:paraId="3DA67F27">
            <w:pPr>
              <w:numPr>
                <w:ilvl w:val="0"/>
                <w:numId w:val="0"/>
              </w:numPr>
              <w:spacing w:line="360" w:lineRule="auto"/>
              <w:ind w:left="420" w:leftChars="0" w:hanging="420" w:firstLineChars="0"/>
              <w:jc w:val="left"/>
              <w:rPr>
                <w:rFonts w:hint="eastAsia" w:ascii="宋体" w:hAnsi="宋体" w:eastAsia="宋体" w:cs="宋体"/>
                <w:color w:val="auto"/>
                <w:sz w:val="21"/>
                <w:szCs w:val="21"/>
              </w:rPr>
            </w:pPr>
            <w:r>
              <w:rPr>
                <w:rFonts w:hint="eastAsia" w:ascii="宋体" w:hAnsi="宋体" w:eastAsia="宋体" w:cs="宋体"/>
                <w:color w:val="auto"/>
                <w:kern w:val="2"/>
                <w:sz w:val="21"/>
                <w:szCs w:val="21"/>
                <w:lang w:val="en-US" w:eastAsia="zh-CN" w:bidi="ar-SA"/>
              </w:rPr>
              <w:t>11.</w:t>
            </w:r>
            <w:r>
              <w:rPr>
                <w:rFonts w:hint="eastAsia" w:ascii="宋体" w:hAnsi="宋体" w:eastAsia="宋体" w:cs="宋体"/>
                <w:color w:val="auto"/>
                <w:sz w:val="21"/>
                <w:szCs w:val="21"/>
              </w:rPr>
              <w:t>四氯化碳≤0.002mg/L；</w:t>
            </w:r>
          </w:p>
          <w:p w14:paraId="48A2B5F2">
            <w:pPr>
              <w:widowControl/>
              <w:numPr>
                <w:ilvl w:val="0"/>
                <w:numId w:val="0"/>
              </w:numPr>
              <w:ind w:left="420" w:leftChars="0" w:hanging="420" w:firstLineChars="0"/>
              <w:jc w:val="left"/>
              <w:rPr>
                <w:rFonts w:hint="eastAsia" w:ascii="宋体" w:hAnsi="宋体" w:eastAsia="宋体" w:cs="宋体"/>
                <w:color w:val="auto"/>
                <w:sz w:val="21"/>
                <w:szCs w:val="21"/>
              </w:rPr>
            </w:pPr>
            <w:r>
              <w:rPr>
                <w:rFonts w:hint="eastAsia" w:ascii="宋体" w:hAnsi="宋体" w:eastAsia="宋体" w:cs="宋体"/>
                <w:color w:val="auto"/>
                <w:kern w:val="2"/>
                <w:sz w:val="21"/>
                <w:szCs w:val="21"/>
                <w:lang w:val="en-US" w:eastAsia="zh-CN" w:bidi="ar-SA"/>
              </w:rPr>
              <w:t>12.</w:t>
            </w:r>
            <w:r>
              <w:rPr>
                <w:rFonts w:hint="eastAsia" w:ascii="宋体" w:hAnsi="宋体" w:eastAsia="宋体" w:cs="宋体"/>
                <w:color w:val="auto"/>
                <w:sz w:val="21"/>
                <w:szCs w:val="21"/>
              </w:rPr>
              <w:t>铅≤0.01mg/L；</w:t>
            </w:r>
          </w:p>
          <w:p w14:paraId="1B6602C6">
            <w:pPr>
              <w:numPr>
                <w:ilvl w:val="0"/>
                <w:numId w:val="0"/>
              </w:numPr>
              <w:spacing w:line="360" w:lineRule="auto"/>
              <w:ind w:left="420" w:leftChars="0" w:hanging="420" w:firstLineChars="0"/>
              <w:jc w:val="left"/>
              <w:rPr>
                <w:rFonts w:hint="eastAsia" w:ascii="宋体" w:hAnsi="宋体" w:eastAsia="宋体" w:cs="宋体"/>
                <w:color w:val="auto"/>
                <w:sz w:val="21"/>
                <w:szCs w:val="21"/>
              </w:rPr>
            </w:pPr>
            <w:r>
              <w:rPr>
                <w:rFonts w:hint="eastAsia" w:ascii="宋体" w:hAnsi="宋体" w:eastAsia="宋体" w:cs="宋体"/>
                <w:color w:val="auto"/>
                <w:kern w:val="2"/>
                <w:sz w:val="21"/>
                <w:szCs w:val="21"/>
                <w:lang w:val="en-US" w:eastAsia="zh-CN" w:bidi="ar-SA"/>
              </w:rPr>
              <w:t>13.</w:t>
            </w:r>
            <w:r>
              <w:rPr>
                <w:rFonts w:hint="eastAsia" w:ascii="宋体" w:hAnsi="宋体" w:eastAsia="宋体" w:cs="宋体"/>
                <w:color w:val="auto"/>
                <w:sz w:val="21"/>
                <w:szCs w:val="21"/>
              </w:rPr>
              <w:t>总砷≤0.01mg/L；</w:t>
            </w:r>
          </w:p>
          <w:p w14:paraId="6662C86E">
            <w:pPr>
              <w:numPr>
                <w:ilvl w:val="0"/>
                <w:numId w:val="0"/>
              </w:numPr>
              <w:spacing w:line="360" w:lineRule="auto"/>
              <w:ind w:left="420" w:leftChars="0" w:hanging="420" w:firstLineChars="0"/>
              <w:jc w:val="left"/>
              <w:rPr>
                <w:rFonts w:hint="eastAsia" w:ascii="宋体" w:hAnsi="宋体" w:eastAsia="宋体" w:cs="宋体"/>
                <w:color w:val="auto"/>
                <w:sz w:val="21"/>
                <w:szCs w:val="21"/>
              </w:rPr>
            </w:pPr>
            <w:r>
              <w:rPr>
                <w:rFonts w:hint="eastAsia" w:ascii="宋体" w:hAnsi="宋体" w:eastAsia="宋体" w:cs="宋体"/>
                <w:color w:val="auto"/>
                <w:kern w:val="2"/>
                <w:sz w:val="21"/>
                <w:szCs w:val="21"/>
                <w:lang w:val="en-US" w:eastAsia="zh-CN" w:bidi="ar-SA"/>
              </w:rPr>
              <w:t>14.</w:t>
            </w:r>
            <w:r>
              <w:rPr>
                <w:rFonts w:hint="eastAsia" w:ascii="宋体" w:hAnsi="宋体" w:eastAsia="宋体" w:cs="宋体"/>
                <w:color w:val="auto"/>
                <w:sz w:val="21"/>
                <w:szCs w:val="21"/>
              </w:rPr>
              <w:t>镉≤0.005mg/L；</w:t>
            </w:r>
          </w:p>
          <w:p w14:paraId="4E1E9E33">
            <w:pPr>
              <w:numPr>
                <w:ilvl w:val="0"/>
                <w:numId w:val="0"/>
              </w:numPr>
              <w:spacing w:line="360" w:lineRule="auto"/>
              <w:ind w:left="420" w:leftChars="0" w:hanging="420" w:firstLineChars="0"/>
              <w:jc w:val="left"/>
              <w:rPr>
                <w:rFonts w:hint="eastAsia" w:ascii="宋体" w:hAnsi="宋体" w:eastAsia="宋体" w:cs="宋体"/>
                <w:color w:val="auto"/>
                <w:sz w:val="21"/>
                <w:szCs w:val="21"/>
              </w:rPr>
            </w:pPr>
            <w:r>
              <w:rPr>
                <w:rFonts w:hint="eastAsia" w:ascii="宋体" w:hAnsi="宋体" w:eastAsia="宋体" w:cs="宋体"/>
                <w:color w:val="auto"/>
                <w:kern w:val="2"/>
                <w:sz w:val="21"/>
                <w:szCs w:val="21"/>
                <w:lang w:val="en-US" w:eastAsia="zh-CN" w:bidi="ar-SA"/>
              </w:rPr>
              <w:t>15.</w:t>
            </w:r>
            <w:r>
              <w:rPr>
                <w:rFonts w:hint="eastAsia" w:ascii="宋体" w:hAnsi="宋体" w:eastAsia="宋体" w:cs="宋体"/>
                <w:color w:val="auto"/>
                <w:sz w:val="21"/>
                <w:szCs w:val="21"/>
              </w:rPr>
              <w:t>不得检测出大肠菌</w:t>
            </w:r>
            <w:r>
              <w:rPr>
                <w:rFonts w:hint="eastAsia" w:ascii="宋体" w:hAnsi="宋体" w:eastAsia="宋体" w:cs="宋体"/>
                <w:color w:val="auto"/>
                <w:sz w:val="21"/>
                <w:szCs w:val="21"/>
                <w:lang w:val="en-US" w:eastAsia="zh-CN"/>
              </w:rPr>
              <w:t>群</w:t>
            </w:r>
            <w:r>
              <w:rPr>
                <w:rFonts w:hint="eastAsia" w:ascii="宋体" w:hAnsi="宋体" w:eastAsia="宋体" w:cs="宋体"/>
                <w:color w:val="auto"/>
                <w:sz w:val="21"/>
                <w:szCs w:val="21"/>
              </w:rPr>
              <w:t>及铜绿假单</w:t>
            </w:r>
            <w:r>
              <w:rPr>
                <w:rFonts w:hint="eastAsia" w:ascii="宋体" w:hAnsi="宋体" w:eastAsia="宋体" w:cs="宋体"/>
                <w:color w:val="auto"/>
                <w:sz w:val="21"/>
                <w:szCs w:val="21"/>
                <w:lang w:val="en-US" w:eastAsia="zh-CN"/>
              </w:rPr>
              <w:t>胞</w:t>
            </w:r>
            <w:r>
              <w:rPr>
                <w:rFonts w:hint="eastAsia" w:ascii="宋体" w:hAnsi="宋体" w:eastAsia="宋体" w:cs="宋体"/>
                <w:color w:val="auto"/>
                <w:sz w:val="21"/>
                <w:szCs w:val="21"/>
              </w:rPr>
              <w:t>菌。</w:t>
            </w:r>
          </w:p>
          <w:p w14:paraId="0999D2AE">
            <w:pPr>
              <w:numPr>
                <w:ilvl w:val="0"/>
                <w:numId w:val="0"/>
              </w:numPr>
              <w:spacing w:line="360" w:lineRule="auto"/>
              <w:ind w:left="420" w:leftChars="0" w:hanging="420" w:firstLineChars="0"/>
              <w:jc w:val="left"/>
              <w:rPr>
                <w:rFonts w:hint="eastAsia" w:ascii="宋体" w:hAnsi="宋体" w:eastAsia="宋体" w:cs="宋体"/>
                <w:color w:val="auto"/>
                <w:sz w:val="21"/>
                <w:szCs w:val="21"/>
              </w:rPr>
            </w:pPr>
            <w:r>
              <w:rPr>
                <w:rFonts w:hint="eastAsia" w:ascii="宋体" w:hAnsi="宋体" w:eastAsia="宋体" w:cs="宋体"/>
                <w:color w:val="auto"/>
                <w:kern w:val="2"/>
                <w:sz w:val="21"/>
                <w:szCs w:val="21"/>
                <w:lang w:val="en-US" w:eastAsia="zh-CN" w:bidi="ar-SA"/>
              </w:rPr>
              <w:t>16.</w:t>
            </w:r>
            <w:r>
              <w:rPr>
                <w:rFonts w:hint="eastAsia" w:ascii="宋体" w:hAnsi="宋体" w:eastAsia="宋体" w:cs="宋体"/>
                <w:color w:val="auto"/>
                <w:sz w:val="21"/>
                <w:szCs w:val="21"/>
              </w:rPr>
              <w:t>产品符合环保要求及国家标准GB17323-1998《瓶装饮用纯净水》、GB19298-2014《食品安全国家标准包装饮用水》。</w:t>
            </w:r>
          </w:p>
          <w:p w14:paraId="54536468">
            <w:pPr>
              <w:keepNext w:val="0"/>
              <w:keepLines w:val="0"/>
              <w:pageBreakBefore w:val="0"/>
              <w:widowControl/>
              <w:numPr>
                <w:ilvl w:val="0"/>
                <w:numId w:val="0"/>
              </w:numPr>
              <w:suppressLineNumbers w:val="0"/>
              <w:tabs>
                <w:tab w:val="left" w:pos="447"/>
              </w:tabs>
              <w:kinsoku/>
              <w:wordWrap/>
              <w:overflowPunct/>
              <w:topLinePunct w:val="0"/>
              <w:autoSpaceDE/>
              <w:autoSpaceDN/>
              <w:bidi w:val="0"/>
              <w:adjustRightInd/>
              <w:snapToGrid/>
              <w:spacing w:line="360" w:lineRule="auto"/>
              <w:jc w:val="left"/>
              <w:textAlignment w:val="auto"/>
              <w:rPr>
                <w:rStyle w:val="12"/>
                <w:rFonts w:hint="eastAsia" w:ascii="宋体" w:hAnsi="宋体" w:eastAsia="宋体" w:cs="宋体"/>
                <w:sz w:val="21"/>
                <w:szCs w:val="21"/>
                <w:lang w:val="en-US" w:eastAsia="zh-CN" w:bidi="ar"/>
              </w:rPr>
            </w:pPr>
            <w:r>
              <w:rPr>
                <w:rFonts w:hint="eastAsia" w:ascii="宋体" w:hAnsi="宋体" w:eastAsia="宋体" w:cs="宋体"/>
                <w:color w:val="auto"/>
                <w:kern w:val="2"/>
                <w:sz w:val="21"/>
                <w:szCs w:val="21"/>
                <w:lang w:val="en-US" w:eastAsia="zh-CN" w:bidi="ar-SA"/>
              </w:rPr>
              <w:t>17.具有本年度</w:t>
            </w:r>
            <w:r>
              <w:rPr>
                <w:rFonts w:hint="eastAsia" w:ascii="宋体" w:hAnsi="宋体" w:eastAsia="宋体" w:cs="宋体"/>
                <w:color w:val="auto"/>
                <w:kern w:val="2"/>
                <w:sz w:val="21"/>
                <w:szCs w:val="21"/>
                <w:lang w:val="zh-CN" w:eastAsia="zh-CN" w:bidi="ar-SA"/>
              </w:rPr>
              <w:t>由市级或以上</w:t>
            </w:r>
            <w:r>
              <w:rPr>
                <w:rFonts w:hint="eastAsia" w:ascii="宋体" w:hAnsi="宋体" w:eastAsia="宋体" w:cs="宋体"/>
                <w:color w:val="auto"/>
                <w:kern w:val="2"/>
                <w:sz w:val="21"/>
                <w:szCs w:val="21"/>
                <w:lang w:val="en-US" w:eastAsia="zh-CN" w:bidi="ar-SA"/>
              </w:rPr>
              <w:t>权威检测部门或机构出具桶装水的检测合格报告复印件</w:t>
            </w:r>
            <w:r>
              <w:rPr>
                <w:rFonts w:hint="eastAsia" w:ascii="宋体" w:hAnsi="宋体" w:eastAsia="宋体" w:cs="宋体"/>
                <w:bCs/>
                <w:color w:val="auto"/>
                <w:sz w:val="21"/>
                <w:szCs w:val="21"/>
                <w:lang w:val="zh-CN"/>
              </w:rPr>
              <w:t>,检测内容必须包含以上“技术参数要求”</w:t>
            </w:r>
            <w:r>
              <w:rPr>
                <w:rFonts w:hint="eastAsia" w:ascii="宋体" w:hAnsi="宋体" w:eastAsia="宋体" w:cs="宋体"/>
                <w:bCs/>
                <w:color w:val="auto"/>
                <w:sz w:val="21"/>
                <w:szCs w:val="21"/>
                <w:lang w:val="en-US" w:eastAsia="zh-CN"/>
              </w:rPr>
              <w:t>中</w:t>
            </w:r>
            <w:r>
              <w:rPr>
                <w:rFonts w:hint="eastAsia" w:ascii="宋体" w:hAnsi="宋体" w:eastAsia="宋体" w:cs="宋体"/>
                <w:bCs/>
                <w:color w:val="auto"/>
                <w:sz w:val="21"/>
                <w:szCs w:val="21"/>
                <w:lang w:val="zh-CN"/>
              </w:rPr>
              <w:t>的“</w:t>
            </w:r>
            <w:r>
              <w:rPr>
                <w:rFonts w:hint="eastAsia" w:ascii="宋体" w:hAnsi="宋体" w:eastAsia="宋体" w:cs="宋体"/>
                <w:bCs/>
                <w:color w:val="auto"/>
                <w:sz w:val="21"/>
                <w:szCs w:val="21"/>
                <w:lang w:val="en-US" w:eastAsia="zh-CN"/>
              </w:rPr>
              <w:t>色度、浑浊度、滋味、气味、状态、</w:t>
            </w:r>
            <w:r>
              <w:rPr>
                <w:rFonts w:hint="eastAsia" w:ascii="宋体" w:hAnsi="宋体" w:eastAsia="宋体" w:cs="宋体"/>
                <w:color w:val="auto"/>
                <w:sz w:val="21"/>
                <w:szCs w:val="21"/>
              </w:rPr>
              <w:t>大肠菌</w:t>
            </w:r>
            <w:r>
              <w:rPr>
                <w:rFonts w:hint="eastAsia" w:ascii="宋体" w:hAnsi="宋体" w:eastAsia="宋体" w:cs="宋体"/>
                <w:color w:val="auto"/>
                <w:sz w:val="21"/>
                <w:szCs w:val="21"/>
                <w:lang w:val="en-US" w:eastAsia="zh-CN"/>
              </w:rPr>
              <w:t>群</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铜绿假单</w:t>
            </w:r>
            <w:r>
              <w:rPr>
                <w:rFonts w:hint="eastAsia" w:ascii="宋体" w:hAnsi="宋体" w:eastAsia="宋体" w:cs="宋体"/>
                <w:color w:val="auto"/>
                <w:sz w:val="21"/>
                <w:szCs w:val="21"/>
                <w:lang w:val="en-US" w:eastAsia="zh-CN"/>
              </w:rPr>
              <w:t>胞</w:t>
            </w:r>
            <w:r>
              <w:rPr>
                <w:rFonts w:hint="eastAsia" w:ascii="宋体" w:hAnsi="宋体" w:eastAsia="宋体" w:cs="宋体"/>
                <w:color w:val="auto"/>
                <w:sz w:val="21"/>
                <w:szCs w:val="21"/>
              </w:rPr>
              <w:t>菌</w:t>
            </w:r>
            <w:r>
              <w:rPr>
                <w:rFonts w:hint="eastAsia" w:ascii="宋体" w:hAnsi="宋体" w:eastAsia="宋体" w:cs="宋体"/>
                <w:bCs/>
                <w:color w:val="auto"/>
                <w:sz w:val="21"/>
                <w:szCs w:val="21"/>
                <w:lang w:val="zh-CN"/>
              </w:rPr>
              <w:t>”</w:t>
            </w:r>
            <w:r>
              <w:rPr>
                <w:rFonts w:hint="eastAsia" w:ascii="宋体" w:hAnsi="宋体" w:eastAsia="宋体" w:cs="宋体"/>
                <w:bCs/>
                <w:color w:val="auto"/>
                <w:sz w:val="21"/>
                <w:szCs w:val="21"/>
                <w:lang w:val="en-US" w:eastAsia="zh-CN"/>
              </w:rPr>
              <w:t>等内容</w:t>
            </w:r>
            <w:r>
              <w:rPr>
                <w:rFonts w:hint="eastAsia" w:ascii="宋体" w:hAnsi="宋体" w:eastAsia="宋体" w:cs="宋体"/>
                <w:bCs/>
                <w:color w:val="auto"/>
                <w:sz w:val="21"/>
                <w:szCs w:val="21"/>
                <w:lang w:val="zh-CN"/>
              </w:rPr>
              <w:t>。</w:t>
            </w:r>
          </w:p>
        </w:tc>
        <w:tc>
          <w:tcPr>
            <w:tcW w:w="396" w:type="dxa"/>
            <w:tcBorders>
              <w:top w:val="single" w:color="auto" w:sz="4" w:space="0"/>
              <w:left w:val="single" w:color="auto" w:sz="4" w:space="0"/>
              <w:bottom w:val="single" w:color="auto" w:sz="4" w:space="0"/>
              <w:right w:val="single" w:color="000000" w:sz="4" w:space="0"/>
            </w:tcBorders>
            <w:shd w:val="clear" w:color="auto" w:fill="auto"/>
            <w:noWrap w:val="0"/>
            <w:vAlign w:val="center"/>
          </w:tcPr>
          <w:p w14:paraId="21703BD1">
            <w:pPr>
              <w:keepNext w:val="0"/>
              <w:keepLines w:val="0"/>
              <w:widowControl/>
              <w:suppressLineNumbers w:val="0"/>
              <w:jc w:val="center"/>
              <w:textAlignment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桶</w:t>
            </w:r>
          </w:p>
        </w:tc>
        <w:tc>
          <w:tcPr>
            <w:tcW w:w="799" w:type="dxa"/>
            <w:tcBorders>
              <w:top w:val="single" w:color="auto" w:sz="4" w:space="0"/>
              <w:left w:val="single" w:color="000000" w:sz="4" w:space="0"/>
              <w:bottom w:val="single" w:color="auto" w:sz="4" w:space="0"/>
              <w:right w:val="single" w:color="000000" w:sz="4" w:space="0"/>
            </w:tcBorders>
            <w:noWrap/>
            <w:vAlign w:val="center"/>
          </w:tcPr>
          <w:p w14:paraId="564F0109">
            <w:pPr>
              <w:keepNext w:val="0"/>
              <w:keepLines w:val="0"/>
              <w:widowControl/>
              <w:suppressLineNumbers w:val="0"/>
              <w:jc w:val="center"/>
              <w:textAlignment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6639</w:t>
            </w:r>
          </w:p>
        </w:tc>
        <w:tc>
          <w:tcPr>
            <w:tcW w:w="1188" w:type="dxa"/>
            <w:tcBorders>
              <w:top w:val="single" w:color="auto" w:sz="4" w:space="0"/>
              <w:left w:val="single" w:color="000000" w:sz="4" w:space="0"/>
              <w:bottom w:val="single" w:color="auto" w:sz="4" w:space="0"/>
              <w:right w:val="single" w:color="000000" w:sz="4" w:space="0"/>
            </w:tcBorders>
            <w:noWrap/>
            <w:vAlign w:val="center"/>
          </w:tcPr>
          <w:p w14:paraId="4CAF6DCB">
            <w:pPr>
              <w:keepNext w:val="0"/>
              <w:keepLines w:val="0"/>
              <w:widowControl/>
              <w:suppressLineNumbers w:val="0"/>
              <w:jc w:val="center"/>
              <w:textAlignment w:val="center"/>
              <w:rPr>
                <w:rFonts w:hint="eastAsia" w:ascii="宋体" w:hAnsi="宋体" w:eastAsia="宋体" w:cs="宋体"/>
                <w:color w:val="auto"/>
                <w:sz w:val="21"/>
                <w:szCs w:val="21"/>
                <w:lang w:val="en-US" w:eastAsia="zh-CN"/>
              </w:rPr>
            </w:pPr>
          </w:p>
        </w:tc>
        <w:tc>
          <w:tcPr>
            <w:tcW w:w="438" w:type="dxa"/>
            <w:tcBorders>
              <w:top w:val="single" w:color="auto" w:sz="4" w:space="0"/>
              <w:left w:val="single" w:color="000000" w:sz="4" w:space="0"/>
              <w:bottom w:val="single" w:color="auto" w:sz="4" w:space="0"/>
              <w:right w:val="single" w:color="000000" w:sz="4" w:space="0"/>
            </w:tcBorders>
            <w:noWrap/>
            <w:vAlign w:val="center"/>
          </w:tcPr>
          <w:p w14:paraId="2331F5D5">
            <w:pPr>
              <w:keepNext w:val="0"/>
              <w:keepLines w:val="0"/>
              <w:widowControl/>
              <w:suppressLineNumbers w:val="0"/>
              <w:jc w:val="center"/>
              <w:textAlignment w:val="center"/>
              <w:rPr>
                <w:rFonts w:hint="eastAsia" w:ascii="宋体" w:hAnsi="宋体" w:eastAsia="宋体" w:cs="宋体"/>
                <w:color w:val="auto"/>
                <w:sz w:val="21"/>
                <w:szCs w:val="21"/>
                <w:lang w:val="en-US" w:eastAsia="zh-CN"/>
              </w:rPr>
            </w:pPr>
          </w:p>
        </w:tc>
        <w:tc>
          <w:tcPr>
            <w:tcW w:w="1036" w:type="dxa"/>
            <w:tcBorders>
              <w:top w:val="single" w:color="auto" w:sz="4" w:space="0"/>
              <w:left w:val="single" w:color="000000" w:sz="4" w:space="0"/>
              <w:bottom w:val="single" w:color="auto" w:sz="4" w:space="0"/>
              <w:right w:val="single" w:color="000000" w:sz="4" w:space="0"/>
            </w:tcBorders>
            <w:noWrap/>
            <w:vAlign w:val="center"/>
          </w:tcPr>
          <w:p w14:paraId="0EAE46C5">
            <w:pPr>
              <w:keepNext w:val="0"/>
              <w:keepLines w:val="0"/>
              <w:widowControl/>
              <w:suppressLineNumbers w:val="0"/>
              <w:jc w:val="center"/>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容量：</w:t>
            </w:r>
          </w:p>
          <w:p w14:paraId="76469360">
            <w:pPr>
              <w:keepNext w:val="0"/>
              <w:keepLines w:val="0"/>
              <w:widowControl/>
              <w:suppressLineNumbers w:val="0"/>
              <w:jc w:val="center"/>
              <w:textAlignment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lang w:val="en-US" w:eastAsia="zh-CN"/>
              </w:rPr>
              <w:t>L/桶</w:t>
            </w:r>
          </w:p>
        </w:tc>
        <w:tc>
          <w:tcPr>
            <w:tcW w:w="778" w:type="dxa"/>
            <w:tcBorders>
              <w:top w:val="single" w:color="auto" w:sz="4" w:space="0"/>
              <w:left w:val="single" w:color="000000" w:sz="4" w:space="0"/>
              <w:bottom w:val="single" w:color="auto" w:sz="4" w:space="0"/>
              <w:right w:val="single" w:color="000000" w:sz="4" w:space="0"/>
            </w:tcBorders>
            <w:noWrap/>
            <w:vAlign w:val="center"/>
          </w:tcPr>
          <w:p w14:paraId="23CBF475">
            <w:pPr>
              <w:keepNext w:val="0"/>
              <w:keepLines w:val="0"/>
              <w:widowControl/>
              <w:suppressLineNumbers w:val="0"/>
              <w:jc w:val="center"/>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w:t>
            </w:r>
          </w:p>
        </w:tc>
        <w:tc>
          <w:tcPr>
            <w:tcW w:w="1225" w:type="dxa"/>
            <w:tcBorders>
              <w:top w:val="single" w:color="auto" w:sz="4" w:space="0"/>
              <w:left w:val="single" w:color="000000" w:sz="4" w:space="0"/>
              <w:bottom w:val="single" w:color="auto" w:sz="4" w:space="0"/>
              <w:right w:val="single" w:color="auto" w:sz="4" w:space="0"/>
            </w:tcBorders>
            <w:noWrap/>
            <w:vAlign w:val="center"/>
          </w:tcPr>
          <w:p w14:paraId="2A54009F">
            <w:pPr>
              <w:keepNext w:val="0"/>
              <w:keepLines w:val="0"/>
              <w:widowControl/>
              <w:suppressLineNumbers w:val="0"/>
              <w:jc w:val="center"/>
              <w:textAlignment w:val="center"/>
              <w:rPr>
                <w:rFonts w:hint="eastAsia" w:ascii="宋体" w:hAnsi="宋体" w:eastAsia="宋体" w:cs="宋体"/>
                <w:color w:val="auto"/>
                <w:sz w:val="21"/>
                <w:szCs w:val="21"/>
                <w:lang w:val="en-US" w:eastAsia="zh-CN"/>
              </w:rPr>
            </w:pPr>
          </w:p>
        </w:tc>
      </w:tr>
      <w:tr w14:paraId="64BF74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7" w:hRule="atLeast"/>
          <w:jc w:val="center"/>
        </w:trPr>
        <w:tc>
          <w:tcPr>
            <w:tcW w:w="358" w:type="dxa"/>
            <w:tcBorders>
              <w:top w:val="single" w:color="auto" w:sz="4" w:space="0"/>
              <w:left w:val="single" w:color="auto" w:sz="4" w:space="0"/>
              <w:bottom w:val="single" w:color="auto" w:sz="4" w:space="0"/>
              <w:right w:val="single" w:color="000000" w:sz="4" w:space="0"/>
            </w:tcBorders>
            <w:noWrap w:val="0"/>
            <w:vAlign w:val="center"/>
          </w:tcPr>
          <w:p w14:paraId="7D2338C5">
            <w:pPr>
              <w:keepNext w:val="0"/>
              <w:keepLines w:val="0"/>
              <w:widowControl/>
              <w:suppressLineNumbers w:val="0"/>
              <w:jc w:val="center"/>
              <w:textAlignment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683" w:type="dxa"/>
            <w:tcBorders>
              <w:top w:val="single" w:color="auto" w:sz="4" w:space="0"/>
              <w:left w:val="single" w:color="auto" w:sz="4" w:space="0"/>
              <w:bottom w:val="single" w:color="auto" w:sz="4" w:space="0"/>
              <w:right w:val="single" w:color="000000" w:sz="4" w:space="0"/>
            </w:tcBorders>
            <w:noWrap w:val="0"/>
            <w:vAlign w:val="center"/>
          </w:tcPr>
          <w:p w14:paraId="2C9B77BF">
            <w:pPr>
              <w:keepNext w:val="0"/>
              <w:keepLines w:val="0"/>
              <w:widowControl/>
              <w:suppressLineNumbers w:val="0"/>
              <w:jc w:val="center"/>
              <w:textAlignment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支装矿泉水</w:t>
            </w:r>
          </w:p>
        </w:tc>
        <w:tc>
          <w:tcPr>
            <w:tcW w:w="3342" w:type="dxa"/>
            <w:tcBorders>
              <w:top w:val="single" w:color="auto" w:sz="4" w:space="0"/>
              <w:left w:val="single" w:color="000000" w:sz="4" w:space="0"/>
              <w:bottom w:val="single" w:color="auto" w:sz="4" w:space="0"/>
              <w:right w:val="single" w:color="auto" w:sz="4" w:space="0"/>
            </w:tcBorders>
            <w:noWrap w:val="0"/>
            <w:vAlign w:val="center"/>
          </w:tcPr>
          <w:p w14:paraId="3D35880B">
            <w:pPr>
              <w:pStyle w:val="11"/>
              <w:numPr>
                <w:ilvl w:val="0"/>
                <w:numId w:val="0"/>
              </w:numPr>
              <w:spacing w:line="360" w:lineRule="auto"/>
              <w:ind w:left="420" w:leftChars="0" w:hanging="420" w:firstLineChars="0"/>
              <w:rPr>
                <w:rFonts w:ascii="宋体" w:hAnsi="宋体"/>
                <w:szCs w:val="21"/>
                <w:highlight w:val="none"/>
              </w:rPr>
            </w:pPr>
            <w:r>
              <w:rPr>
                <w:rFonts w:ascii="宋体" w:hAnsi="宋体"/>
                <w:kern w:val="0"/>
                <w:sz w:val="21"/>
                <w:szCs w:val="21"/>
                <w:highlight w:val="none"/>
                <w:lang w:val="en-US" w:eastAsia="zh-CN" w:bidi="ar-SA"/>
              </w:rPr>
              <w:t>1.</w:t>
            </w:r>
            <w:r>
              <w:rPr>
                <w:rFonts w:hint="eastAsia" w:ascii="宋体" w:hAnsi="宋体"/>
                <w:szCs w:val="21"/>
                <w:highlight w:val="none"/>
                <w:lang w:val="en-US" w:eastAsia="zh-CN"/>
              </w:rPr>
              <w:t>净含量</w:t>
            </w:r>
            <w:r>
              <w:rPr>
                <w:rFonts w:hint="eastAsia" w:ascii="宋体" w:hAnsi="宋体"/>
                <w:szCs w:val="21"/>
                <w:highlight w:val="none"/>
              </w:rPr>
              <w:t>：</w:t>
            </w:r>
            <w:r>
              <w:rPr>
                <w:rFonts w:hint="eastAsia" w:ascii="宋体" w:hAnsi="宋体"/>
                <w:szCs w:val="21"/>
                <w:highlight w:val="none"/>
                <w:lang w:val="en-US" w:eastAsia="zh-CN"/>
              </w:rPr>
              <w:t>380ml（允许±30ml）,24支/箱（件）</w:t>
            </w:r>
            <w:r>
              <w:rPr>
                <w:rFonts w:hint="eastAsia" w:ascii="宋体" w:hAnsi="宋体"/>
                <w:szCs w:val="21"/>
                <w:highlight w:val="none"/>
              </w:rPr>
              <w:t>；</w:t>
            </w:r>
          </w:p>
          <w:p w14:paraId="35602AF4">
            <w:pPr>
              <w:numPr>
                <w:ilvl w:val="0"/>
                <w:numId w:val="0"/>
              </w:numPr>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2.</w:t>
            </w:r>
            <w:r>
              <w:rPr>
                <w:rFonts w:hint="eastAsia" w:ascii="宋体" w:hAnsi="宋体"/>
                <w:szCs w:val="21"/>
                <w:highlight w:val="none"/>
              </w:rPr>
              <w:t>产品符合国家标准GB</w:t>
            </w:r>
            <w:r>
              <w:rPr>
                <w:rFonts w:hint="eastAsia" w:ascii="宋体" w:hAnsi="宋体"/>
                <w:szCs w:val="21"/>
                <w:highlight w:val="none"/>
                <w:lang w:val="en-US" w:eastAsia="zh-CN"/>
              </w:rPr>
              <w:t xml:space="preserve"> 8537；</w:t>
            </w:r>
          </w:p>
          <w:p w14:paraId="15279685">
            <w:pPr>
              <w:numPr>
                <w:ilvl w:val="0"/>
                <w:numId w:val="0"/>
              </w:numPr>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3.有效保质期≥12个月；</w:t>
            </w:r>
          </w:p>
          <w:p w14:paraId="186F6D5E">
            <w:pPr>
              <w:numPr>
                <w:ilvl w:val="0"/>
                <w:numId w:val="0"/>
              </w:numPr>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4.钾（mg/L）:1.5-10.0；</w:t>
            </w:r>
          </w:p>
          <w:p w14:paraId="5D8AEBBC">
            <w:pPr>
              <w:numPr>
                <w:ilvl w:val="0"/>
                <w:numId w:val="0"/>
              </w:numPr>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5.钙（mg/L）：0.3-25.0；</w:t>
            </w:r>
          </w:p>
          <w:p w14:paraId="3804A590">
            <w:pPr>
              <w:numPr>
                <w:ilvl w:val="0"/>
                <w:numId w:val="0"/>
              </w:numPr>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6.偏硅酸（mg/L）：25.0-80.0；</w:t>
            </w:r>
          </w:p>
          <w:p w14:paraId="7A07F280">
            <w:pPr>
              <w:numPr>
                <w:ilvl w:val="0"/>
                <w:numId w:val="0"/>
              </w:numPr>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7.钠（mg/L）：3.0-20.0；</w:t>
            </w:r>
          </w:p>
          <w:p w14:paraId="76136FDB">
            <w:pPr>
              <w:numPr>
                <w:ilvl w:val="0"/>
                <w:numId w:val="0"/>
              </w:numPr>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8.镁（mg/L）：0.1-10.0；</w:t>
            </w:r>
          </w:p>
          <w:p w14:paraId="37C785B0">
            <w:pPr>
              <w:numPr>
                <w:ilvl w:val="0"/>
                <w:numId w:val="0"/>
              </w:numPr>
              <w:spacing w:line="360" w:lineRule="auto"/>
              <w:rPr>
                <w:rFonts w:hint="default" w:ascii="宋体" w:hAnsi="宋体"/>
                <w:szCs w:val="21"/>
                <w:highlight w:val="none"/>
                <w:lang w:val="en-US" w:eastAsia="zh-CN"/>
              </w:rPr>
            </w:pPr>
            <w:r>
              <w:rPr>
                <w:rFonts w:hint="eastAsia" w:ascii="宋体" w:hAnsi="宋体"/>
                <w:szCs w:val="21"/>
                <w:highlight w:val="none"/>
                <w:lang w:val="en-US" w:eastAsia="zh-CN"/>
              </w:rPr>
              <w:t>9.溶解性总固体（mg/L）：25-190；</w:t>
            </w:r>
          </w:p>
          <w:p w14:paraId="1B87F300">
            <w:pPr>
              <w:keepNext w:val="0"/>
              <w:keepLines w:val="0"/>
              <w:pageBreakBefore w:val="0"/>
              <w:widowControl/>
              <w:numPr>
                <w:ilvl w:val="0"/>
                <w:numId w:val="0"/>
              </w:numPr>
              <w:suppressLineNumbers w:val="0"/>
              <w:tabs>
                <w:tab w:val="left" w:pos="447"/>
              </w:tabs>
              <w:kinsoku/>
              <w:wordWrap/>
              <w:overflowPunct/>
              <w:topLinePunct w:val="0"/>
              <w:autoSpaceDE/>
              <w:autoSpaceDN/>
              <w:bidi w:val="0"/>
              <w:adjustRightInd/>
              <w:snapToGrid/>
              <w:spacing w:line="360" w:lineRule="auto"/>
              <w:jc w:val="left"/>
              <w:textAlignment w:val="auto"/>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10.具有</w:t>
            </w:r>
            <w:r>
              <w:rPr>
                <w:rFonts w:hint="eastAsia" w:ascii="宋体" w:hAnsi="宋体" w:eastAsia="宋体" w:cs="Times New Roman"/>
                <w:kern w:val="2"/>
                <w:sz w:val="21"/>
                <w:szCs w:val="21"/>
                <w:highlight w:val="none"/>
                <w:lang w:val="zh-CN" w:eastAsia="zh-CN" w:bidi="ar-SA"/>
              </w:rPr>
              <w:t>由市级或以上</w:t>
            </w:r>
            <w:r>
              <w:rPr>
                <w:rFonts w:hint="eastAsia" w:ascii="宋体" w:hAnsi="宋体" w:eastAsia="宋体" w:cs="Times New Roman"/>
                <w:kern w:val="2"/>
                <w:sz w:val="21"/>
                <w:szCs w:val="21"/>
                <w:highlight w:val="none"/>
                <w:lang w:val="en-US" w:eastAsia="zh-CN" w:bidi="ar-SA"/>
              </w:rPr>
              <w:t>第三方权威检测部门或机构出具的检测合格报告。</w:t>
            </w:r>
          </w:p>
          <w:p w14:paraId="537A8B14">
            <w:pPr>
              <w:pStyle w:val="2"/>
              <w:rPr>
                <w:rFonts w:hint="default"/>
                <w:lang w:val="en-US" w:eastAsia="zh-CN"/>
              </w:rPr>
            </w:pPr>
            <w:r>
              <w:rPr>
                <w:rFonts w:hint="eastAsia" w:ascii="宋体" w:hAnsi="宋体" w:eastAsia="宋体" w:cs="Times New Roman"/>
                <w:kern w:val="2"/>
                <w:sz w:val="21"/>
                <w:szCs w:val="21"/>
                <w:highlight w:val="none"/>
                <w:lang w:val="en-US" w:eastAsia="zh-CN" w:bidi="ar-SA"/>
              </w:rPr>
              <w:t>11.按照采购人要求印制瓶身标签。</w:t>
            </w:r>
          </w:p>
        </w:tc>
        <w:tc>
          <w:tcPr>
            <w:tcW w:w="396" w:type="dxa"/>
            <w:tcBorders>
              <w:top w:val="single" w:color="auto" w:sz="4" w:space="0"/>
              <w:left w:val="single" w:color="auto" w:sz="4" w:space="0"/>
              <w:bottom w:val="single" w:color="auto" w:sz="4" w:space="0"/>
              <w:right w:val="single" w:color="000000" w:sz="4" w:space="0"/>
            </w:tcBorders>
            <w:shd w:val="clear" w:color="auto" w:fill="auto"/>
            <w:noWrap w:val="0"/>
            <w:vAlign w:val="center"/>
          </w:tcPr>
          <w:p w14:paraId="2C7F53D5">
            <w:pPr>
              <w:keepNext w:val="0"/>
              <w:keepLines w:val="0"/>
              <w:widowControl/>
              <w:suppressLineNumbers w:val="0"/>
              <w:jc w:val="center"/>
              <w:textAlignment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24支/箱</w:t>
            </w:r>
          </w:p>
        </w:tc>
        <w:tc>
          <w:tcPr>
            <w:tcW w:w="799" w:type="dxa"/>
            <w:tcBorders>
              <w:top w:val="single" w:color="auto" w:sz="4" w:space="0"/>
              <w:left w:val="single" w:color="000000" w:sz="4" w:space="0"/>
              <w:bottom w:val="single" w:color="auto" w:sz="4" w:space="0"/>
              <w:right w:val="single" w:color="000000" w:sz="4" w:space="0"/>
            </w:tcBorders>
            <w:noWrap/>
            <w:vAlign w:val="center"/>
          </w:tcPr>
          <w:p w14:paraId="4DDEA556">
            <w:pPr>
              <w:keepNext w:val="0"/>
              <w:keepLines w:val="0"/>
              <w:widowControl/>
              <w:suppressLineNumbers w:val="0"/>
              <w:jc w:val="center"/>
              <w:textAlignment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155</w:t>
            </w:r>
          </w:p>
        </w:tc>
        <w:tc>
          <w:tcPr>
            <w:tcW w:w="1188" w:type="dxa"/>
            <w:tcBorders>
              <w:top w:val="single" w:color="auto" w:sz="4" w:space="0"/>
              <w:left w:val="single" w:color="000000" w:sz="4" w:space="0"/>
              <w:bottom w:val="single" w:color="auto" w:sz="4" w:space="0"/>
              <w:right w:val="single" w:color="000000" w:sz="4" w:space="0"/>
            </w:tcBorders>
            <w:noWrap/>
            <w:vAlign w:val="center"/>
          </w:tcPr>
          <w:p w14:paraId="61E3D031">
            <w:pPr>
              <w:keepNext w:val="0"/>
              <w:keepLines w:val="0"/>
              <w:widowControl/>
              <w:suppressLineNumbers w:val="0"/>
              <w:jc w:val="center"/>
              <w:textAlignment w:val="center"/>
              <w:rPr>
                <w:rFonts w:hint="eastAsia" w:ascii="宋体" w:hAnsi="宋体" w:eastAsia="宋体" w:cs="宋体"/>
                <w:color w:val="auto"/>
                <w:sz w:val="21"/>
                <w:szCs w:val="21"/>
                <w:lang w:val="en-US" w:eastAsia="zh-CN"/>
              </w:rPr>
            </w:pPr>
          </w:p>
        </w:tc>
        <w:tc>
          <w:tcPr>
            <w:tcW w:w="438" w:type="dxa"/>
            <w:tcBorders>
              <w:top w:val="single" w:color="auto" w:sz="4" w:space="0"/>
              <w:left w:val="single" w:color="000000" w:sz="4" w:space="0"/>
              <w:bottom w:val="single" w:color="auto" w:sz="4" w:space="0"/>
              <w:right w:val="single" w:color="000000" w:sz="4" w:space="0"/>
            </w:tcBorders>
            <w:noWrap/>
            <w:vAlign w:val="center"/>
          </w:tcPr>
          <w:p w14:paraId="441FD425">
            <w:pPr>
              <w:keepNext w:val="0"/>
              <w:keepLines w:val="0"/>
              <w:widowControl/>
              <w:suppressLineNumbers w:val="0"/>
              <w:jc w:val="center"/>
              <w:textAlignment w:val="center"/>
              <w:rPr>
                <w:rFonts w:hint="eastAsia" w:ascii="宋体" w:hAnsi="宋体" w:eastAsia="宋体" w:cs="宋体"/>
                <w:color w:val="auto"/>
                <w:sz w:val="21"/>
                <w:szCs w:val="21"/>
                <w:lang w:val="en-US" w:eastAsia="zh-CN"/>
              </w:rPr>
            </w:pPr>
          </w:p>
        </w:tc>
        <w:tc>
          <w:tcPr>
            <w:tcW w:w="1036" w:type="dxa"/>
            <w:tcBorders>
              <w:top w:val="single" w:color="auto" w:sz="4" w:space="0"/>
              <w:left w:val="single" w:color="000000" w:sz="4" w:space="0"/>
              <w:bottom w:val="single" w:color="auto" w:sz="4" w:space="0"/>
              <w:right w:val="single" w:color="000000" w:sz="4" w:space="0"/>
            </w:tcBorders>
            <w:noWrap/>
            <w:vAlign w:val="center"/>
          </w:tcPr>
          <w:p w14:paraId="53BA6461">
            <w:pPr>
              <w:keepNext w:val="0"/>
              <w:keepLines w:val="0"/>
              <w:widowControl/>
              <w:suppressLineNumbers w:val="0"/>
              <w:jc w:val="center"/>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容量：</w:t>
            </w:r>
          </w:p>
          <w:p w14:paraId="1C2EA033">
            <w:pPr>
              <w:keepNext w:val="0"/>
              <w:keepLines w:val="0"/>
              <w:widowControl/>
              <w:suppressLineNumbers w:val="0"/>
              <w:jc w:val="center"/>
              <w:textAlignment w:val="center"/>
              <w:rPr>
                <w:rFonts w:hint="default" w:ascii="宋体" w:hAnsi="宋体" w:eastAsia="宋体" w:cs="宋体"/>
                <w:color w:val="auto"/>
                <w:sz w:val="21"/>
                <w:szCs w:val="21"/>
                <w:u w:val="single"/>
                <w:lang w:val="en-US" w:eastAsia="zh-CN"/>
              </w:rPr>
            </w:pP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lang w:val="en-US" w:eastAsia="zh-CN"/>
              </w:rPr>
              <w:t>ml/瓶</w:t>
            </w:r>
          </w:p>
        </w:tc>
        <w:tc>
          <w:tcPr>
            <w:tcW w:w="778" w:type="dxa"/>
            <w:tcBorders>
              <w:top w:val="single" w:color="auto" w:sz="4" w:space="0"/>
              <w:left w:val="single" w:color="000000" w:sz="4" w:space="0"/>
              <w:bottom w:val="single" w:color="auto" w:sz="4" w:space="0"/>
              <w:right w:val="single" w:color="000000" w:sz="4" w:space="0"/>
            </w:tcBorders>
            <w:noWrap/>
            <w:vAlign w:val="center"/>
          </w:tcPr>
          <w:p w14:paraId="65D75D19">
            <w:pPr>
              <w:keepNext w:val="0"/>
              <w:keepLines w:val="0"/>
              <w:widowControl/>
              <w:suppressLineNumbers w:val="0"/>
              <w:jc w:val="center"/>
              <w:textAlignment w:val="center"/>
              <w:rPr>
                <w:rFonts w:hint="eastAsia" w:ascii="宋体" w:hAnsi="宋体" w:eastAsia="宋体" w:cs="宋体"/>
                <w:color w:val="auto"/>
                <w:sz w:val="21"/>
                <w:szCs w:val="21"/>
                <w:lang w:val="en-US" w:eastAsia="zh-CN"/>
              </w:rPr>
            </w:pPr>
          </w:p>
        </w:tc>
        <w:tc>
          <w:tcPr>
            <w:tcW w:w="1225" w:type="dxa"/>
            <w:tcBorders>
              <w:top w:val="single" w:color="auto" w:sz="4" w:space="0"/>
              <w:left w:val="single" w:color="000000" w:sz="4" w:space="0"/>
              <w:bottom w:val="single" w:color="auto" w:sz="4" w:space="0"/>
              <w:right w:val="single" w:color="auto" w:sz="4" w:space="0"/>
            </w:tcBorders>
            <w:noWrap/>
            <w:vAlign w:val="center"/>
          </w:tcPr>
          <w:p w14:paraId="70ECCCE4">
            <w:pPr>
              <w:keepNext w:val="0"/>
              <w:keepLines w:val="0"/>
              <w:widowControl/>
              <w:suppressLineNumbers w:val="0"/>
              <w:jc w:val="center"/>
              <w:textAlignment w:val="center"/>
              <w:rPr>
                <w:rFonts w:hint="eastAsia" w:ascii="宋体" w:hAnsi="宋体" w:eastAsia="宋体" w:cs="宋体"/>
                <w:color w:val="auto"/>
                <w:sz w:val="21"/>
                <w:szCs w:val="21"/>
                <w:lang w:val="en-US" w:eastAsia="zh-CN"/>
              </w:rPr>
            </w:pPr>
          </w:p>
        </w:tc>
      </w:tr>
    </w:tbl>
    <w:p w14:paraId="7F5E69C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20"/>
        <w:jc w:val="both"/>
        <w:textAlignment w:val="baseline"/>
        <w:rPr>
          <w:rStyle w:val="7"/>
          <w:rFonts w:hint="default" w:ascii="宋体" w:hAnsi="宋体" w:eastAsia="宋体" w:cs="宋体"/>
          <w:i w:val="0"/>
          <w:iCs w:val="0"/>
          <w:caps w:val="0"/>
          <w:color w:val="000000"/>
          <w:spacing w:val="15"/>
          <w:sz w:val="21"/>
          <w:szCs w:val="21"/>
          <w:shd w:val="clear" w:fill="FFFFFF"/>
          <w:vertAlign w:val="baseline"/>
          <w:lang w:val="en-US" w:eastAsia="zh-CN"/>
        </w:rPr>
      </w:pPr>
      <w:r>
        <w:rPr>
          <w:rStyle w:val="7"/>
          <w:rFonts w:hint="eastAsia" w:ascii="宋体" w:hAnsi="宋体" w:eastAsia="宋体" w:cs="宋体"/>
          <w:i w:val="0"/>
          <w:iCs w:val="0"/>
          <w:caps w:val="0"/>
          <w:color w:val="000000"/>
          <w:spacing w:val="15"/>
          <w:sz w:val="21"/>
          <w:szCs w:val="21"/>
          <w:shd w:val="clear" w:fill="FFFFFF"/>
          <w:vertAlign w:val="baseline"/>
          <w:lang w:eastAsia="zh-CN"/>
        </w:rPr>
        <w:t>注：医院供水点约</w:t>
      </w:r>
      <w:r>
        <w:rPr>
          <w:rStyle w:val="7"/>
          <w:rFonts w:hint="eastAsia" w:ascii="宋体" w:hAnsi="宋体" w:eastAsia="宋体" w:cs="宋体"/>
          <w:i w:val="0"/>
          <w:iCs w:val="0"/>
          <w:caps w:val="0"/>
          <w:color w:val="000000"/>
          <w:spacing w:val="15"/>
          <w:sz w:val="21"/>
          <w:szCs w:val="21"/>
          <w:shd w:val="clear" w:fill="FFFFFF"/>
          <w:vertAlign w:val="baseline"/>
          <w:lang w:val="en-US" w:eastAsia="zh-CN"/>
        </w:rPr>
        <w:t>75个，供应商需送货到供水点并配套水机约75台。</w:t>
      </w:r>
    </w:p>
    <w:p w14:paraId="4FD5EC9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20"/>
        <w:jc w:val="both"/>
        <w:textAlignment w:val="baseline"/>
        <w:rPr>
          <w:rFonts w:ascii="Helvetica" w:hAnsi="Helvetica" w:eastAsia="Helvetica" w:cs="Helvetica"/>
          <w:i w:val="0"/>
          <w:iCs w:val="0"/>
          <w:caps w:val="0"/>
          <w:color w:val="000000"/>
          <w:spacing w:val="0"/>
          <w:sz w:val="21"/>
          <w:szCs w:val="21"/>
        </w:rPr>
      </w:pPr>
      <w:r>
        <w:rPr>
          <w:rStyle w:val="7"/>
          <w:rFonts w:hint="eastAsia" w:ascii="宋体" w:hAnsi="宋体" w:eastAsia="宋体" w:cs="宋体"/>
          <w:i w:val="0"/>
          <w:iCs w:val="0"/>
          <w:caps w:val="0"/>
          <w:color w:val="000000"/>
          <w:spacing w:val="15"/>
          <w:sz w:val="28"/>
          <w:szCs w:val="28"/>
          <w:shd w:val="clear" w:fill="FFFFFF"/>
          <w:vertAlign w:val="baseline"/>
        </w:rPr>
        <w:t>二、供应商的资格要求</w:t>
      </w:r>
    </w:p>
    <w:p w14:paraId="3C6F248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default"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shd w:val="clear" w:fill="FFFFFF"/>
        </w:rPr>
        <w:t>1响应供应商必须是具有独立承担民事责任能力的在中华人民共和国境内注册的企业法人或其他组织或自然人</w:t>
      </w:r>
      <w:r>
        <w:rPr>
          <w:rFonts w:hint="eastAsia" w:ascii="宋体" w:hAnsi="宋体" w:eastAsia="宋体" w:cs="宋体"/>
          <w:i w:val="0"/>
          <w:iCs w:val="0"/>
          <w:caps w:val="0"/>
          <w:color w:val="000000"/>
          <w:spacing w:val="0"/>
          <w:sz w:val="28"/>
          <w:szCs w:val="28"/>
          <w:shd w:val="clear" w:fill="FFFFFF"/>
          <w:lang w:eastAsia="zh-CN"/>
        </w:rPr>
        <w:t>，如</w:t>
      </w:r>
      <w:r>
        <w:rPr>
          <w:sz w:val="28"/>
          <w:szCs w:val="28"/>
        </w:rPr>
        <w:t>分支机构投标的，须提供总公司和分公司营业执照复印件，总公司出具给分支机构的授权书</w:t>
      </w:r>
      <w:r>
        <w:rPr>
          <w:rFonts w:hint="eastAsia" w:ascii="宋体" w:hAnsi="宋体" w:eastAsia="宋体" w:cs="宋体"/>
          <w:i w:val="0"/>
          <w:iCs w:val="0"/>
          <w:caps w:val="0"/>
          <w:color w:val="000000"/>
          <w:spacing w:val="0"/>
          <w:sz w:val="28"/>
          <w:szCs w:val="28"/>
        </w:rPr>
        <w:t>；</w:t>
      </w:r>
    </w:p>
    <w:p w14:paraId="2065740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default"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shd w:val="clear" w:fill="FFFFFF"/>
        </w:rPr>
        <w:t>2.响应供应商须具有效的且具备相关经营范围的营业执照；</w:t>
      </w:r>
    </w:p>
    <w:p w14:paraId="678D576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default"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shd w:val="clear" w:fill="FFFFFF"/>
        </w:rPr>
        <w:t>3.响应供应商应具有项目的承接能力、合同的履约能力、售后供应能力和良好的信誉；</w:t>
      </w:r>
    </w:p>
    <w:p w14:paraId="4390ACB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default"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shd w:val="clear" w:fill="FFFFFF"/>
        </w:rPr>
        <w:t>4.响应供应商在参与公开招标活动中未有违法违纪行为并受过处罚，响应供应商无围标、串标行为。</w:t>
      </w:r>
    </w:p>
    <w:p w14:paraId="66B1FD5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default" w:ascii="Helvetica" w:hAnsi="Helvetica" w:eastAsia="Helvetica" w:cs="Helvetica"/>
          <w:i w:val="0"/>
          <w:iCs w:val="0"/>
          <w:caps w:val="0"/>
          <w:color w:val="000000"/>
          <w:spacing w:val="0"/>
          <w:sz w:val="21"/>
          <w:szCs w:val="21"/>
        </w:rPr>
      </w:pPr>
      <w:r>
        <w:rPr>
          <w:rStyle w:val="7"/>
          <w:rFonts w:hint="eastAsia" w:ascii="宋体" w:hAnsi="宋体" w:eastAsia="宋体" w:cs="宋体"/>
          <w:i w:val="0"/>
          <w:iCs w:val="0"/>
          <w:caps w:val="0"/>
          <w:color w:val="000000"/>
          <w:spacing w:val="0"/>
          <w:sz w:val="28"/>
          <w:szCs w:val="28"/>
          <w:shd w:val="clear" w:fill="FFFFFF"/>
        </w:rPr>
        <w:t>提交资料及联系方式</w:t>
      </w:r>
    </w:p>
    <w:p w14:paraId="75A38DE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55"/>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请有意向的供应商202</w:t>
      </w:r>
      <w:r>
        <w:rPr>
          <w:rFonts w:hint="eastAsia" w:ascii="宋体" w:hAnsi="宋体" w:eastAsia="宋体" w:cs="宋体"/>
          <w:i w:val="0"/>
          <w:iCs w:val="0"/>
          <w:caps w:val="0"/>
          <w:color w:val="000000"/>
          <w:spacing w:val="0"/>
          <w:sz w:val="28"/>
          <w:szCs w:val="28"/>
          <w:shd w:val="clear" w:fill="FFFFFF"/>
          <w:lang w:val="en-US" w:eastAsia="zh-CN"/>
        </w:rPr>
        <w:t>6</w:t>
      </w:r>
      <w:r>
        <w:rPr>
          <w:rFonts w:hint="eastAsia" w:ascii="宋体" w:hAnsi="宋体" w:eastAsia="宋体" w:cs="宋体"/>
          <w:i w:val="0"/>
          <w:iCs w:val="0"/>
          <w:caps w:val="0"/>
          <w:color w:val="000000"/>
          <w:spacing w:val="0"/>
          <w:sz w:val="28"/>
          <w:szCs w:val="28"/>
          <w:shd w:val="clear" w:fill="FFFFFF"/>
        </w:rPr>
        <w:t>年</w:t>
      </w:r>
      <w:r>
        <w:rPr>
          <w:rFonts w:hint="eastAsia" w:ascii="宋体" w:hAnsi="宋体" w:eastAsia="宋体" w:cs="宋体"/>
          <w:i w:val="0"/>
          <w:iCs w:val="0"/>
          <w:caps w:val="0"/>
          <w:color w:val="000000"/>
          <w:spacing w:val="0"/>
          <w:sz w:val="28"/>
          <w:szCs w:val="28"/>
          <w:shd w:val="clear" w:fill="FFFFFF"/>
          <w:lang w:val="en-US" w:eastAsia="zh-CN"/>
        </w:rPr>
        <w:t>4</w:t>
      </w:r>
      <w:r>
        <w:rPr>
          <w:rFonts w:hint="eastAsia" w:ascii="宋体" w:hAnsi="宋体" w:eastAsia="宋体" w:cs="宋体"/>
          <w:i w:val="0"/>
          <w:iCs w:val="0"/>
          <w:caps w:val="0"/>
          <w:color w:val="000000"/>
          <w:spacing w:val="0"/>
          <w:sz w:val="28"/>
          <w:szCs w:val="28"/>
          <w:shd w:val="clear" w:fill="FFFFFF"/>
        </w:rPr>
        <w:t>月</w:t>
      </w:r>
      <w:r>
        <w:rPr>
          <w:rFonts w:hint="eastAsia" w:ascii="宋体" w:hAnsi="宋体" w:eastAsia="宋体" w:cs="宋体"/>
          <w:i w:val="0"/>
          <w:iCs w:val="0"/>
          <w:caps w:val="0"/>
          <w:color w:val="000000"/>
          <w:spacing w:val="0"/>
          <w:sz w:val="28"/>
          <w:szCs w:val="28"/>
          <w:shd w:val="clear" w:fill="FFFFFF"/>
          <w:lang w:val="en-US" w:eastAsia="zh-CN"/>
        </w:rPr>
        <w:t>27</w:t>
      </w:r>
      <w:r>
        <w:rPr>
          <w:rFonts w:hint="eastAsia" w:ascii="宋体" w:hAnsi="宋体" w:eastAsia="宋体" w:cs="宋体"/>
          <w:i w:val="0"/>
          <w:iCs w:val="0"/>
          <w:caps w:val="0"/>
          <w:color w:val="000000"/>
          <w:spacing w:val="0"/>
          <w:sz w:val="28"/>
          <w:szCs w:val="28"/>
          <w:shd w:val="clear" w:fill="FFFFFF"/>
        </w:rPr>
        <w:t>日12时前把</w:t>
      </w:r>
      <w:r>
        <w:rPr>
          <w:rFonts w:hint="eastAsia" w:ascii="宋体" w:hAnsi="宋体" w:eastAsia="宋体" w:cs="宋体"/>
          <w:i w:val="0"/>
          <w:iCs w:val="0"/>
          <w:caps w:val="0"/>
          <w:color w:val="000000"/>
          <w:spacing w:val="0"/>
          <w:sz w:val="28"/>
          <w:szCs w:val="28"/>
          <w:shd w:val="clear" w:fill="FFFFFF"/>
          <w:lang w:eastAsia="zh-CN"/>
        </w:rPr>
        <w:t>调研报价响应文件所需资料（</w:t>
      </w:r>
      <w:r>
        <w:rPr>
          <w:rFonts w:hint="eastAsia" w:ascii="宋体" w:hAnsi="宋体" w:eastAsia="宋体" w:cs="宋体"/>
          <w:b w:val="0"/>
          <w:bCs w:val="0"/>
          <w:sz w:val="28"/>
          <w:szCs w:val="28"/>
          <w:lang w:val="en-US" w:eastAsia="zh-CN"/>
        </w:rPr>
        <w:t>营业执照、产品合格检测报告、相关资质及项目报价和服务方案）</w:t>
      </w:r>
      <w:r>
        <w:rPr>
          <w:rFonts w:hint="eastAsia" w:ascii="宋体" w:hAnsi="宋体" w:eastAsia="宋体" w:cs="宋体"/>
          <w:i w:val="0"/>
          <w:iCs w:val="0"/>
          <w:caps w:val="0"/>
          <w:color w:val="000000"/>
          <w:spacing w:val="0"/>
          <w:sz w:val="28"/>
          <w:szCs w:val="28"/>
          <w:shd w:val="clear" w:fill="FFFFFF"/>
        </w:rPr>
        <w:t>的盖章电子版发到邮箱：</w:t>
      </w:r>
      <w:r>
        <w:rPr>
          <w:rFonts w:hint="eastAsia" w:ascii="宋体" w:hAnsi="宋体" w:eastAsia="宋体" w:cs="宋体"/>
          <w:i w:val="0"/>
          <w:iCs w:val="0"/>
          <w:caps w:val="0"/>
          <w:color w:val="auto"/>
          <w:spacing w:val="0"/>
          <w:sz w:val="28"/>
          <w:szCs w:val="28"/>
          <w:u w:val="none"/>
          <w:shd w:val="clear" w:fill="FFFFFF"/>
        </w:rPr>
        <w:fldChar w:fldCharType="begin"/>
      </w:r>
      <w:r>
        <w:rPr>
          <w:rFonts w:hint="eastAsia" w:ascii="宋体" w:hAnsi="宋体" w:eastAsia="宋体" w:cs="宋体"/>
          <w:i w:val="0"/>
          <w:iCs w:val="0"/>
          <w:caps w:val="0"/>
          <w:color w:val="auto"/>
          <w:spacing w:val="0"/>
          <w:sz w:val="28"/>
          <w:szCs w:val="28"/>
          <w:u w:val="none"/>
          <w:shd w:val="clear" w:fill="FFFFFF"/>
        </w:rPr>
        <w:instrText xml:space="preserve"> HYPERLINK "mailto:zssdsyyzbk@126.com%EF%BC%88%E9%82%AE%E4%BB%B6%E6%A0%87%E9%A2%98%E8%AF%B7%E4%BB%A5%E5%85%AC%E5%8F%B8%E5%90%8D%E5%AD%97+%E6%8A%A5%E4%BB%B7%E9%A1%B9%E7%9B%AE%E5%90%8D%E7%A7%B0%EF%BC%89" </w:instrText>
      </w:r>
      <w:r>
        <w:rPr>
          <w:rFonts w:hint="eastAsia" w:ascii="宋体" w:hAnsi="宋体" w:eastAsia="宋体" w:cs="宋体"/>
          <w:i w:val="0"/>
          <w:iCs w:val="0"/>
          <w:caps w:val="0"/>
          <w:color w:val="auto"/>
          <w:spacing w:val="0"/>
          <w:sz w:val="28"/>
          <w:szCs w:val="28"/>
          <w:u w:val="none"/>
          <w:shd w:val="clear" w:fill="FFFFFF"/>
        </w:rPr>
        <w:fldChar w:fldCharType="separate"/>
      </w:r>
      <w:r>
        <w:rPr>
          <w:rStyle w:val="8"/>
          <w:rFonts w:hint="eastAsia" w:ascii="宋体" w:hAnsi="宋体" w:eastAsia="宋体" w:cs="宋体"/>
          <w:i w:val="0"/>
          <w:iCs w:val="0"/>
          <w:caps w:val="0"/>
          <w:color w:val="auto"/>
          <w:spacing w:val="0"/>
          <w:sz w:val="28"/>
          <w:szCs w:val="28"/>
          <w:u w:val="single"/>
          <w:shd w:val="clear" w:fill="FFFFFF"/>
        </w:rPr>
        <w:t>zssdsyyzbk@126.com（邮件标题请以公司名字+</w:t>
      </w:r>
      <w:r>
        <w:rPr>
          <w:rStyle w:val="8"/>
          <w:rFonts w:hint="eastAsia" w:ascii="宋体" w:hAnsi="宋体" w:eastAsia="宋体" w:cs="宋体"/>
          <w:i w:val="0"/>
          <w:iCs w:val="0"/>
          <w:caps w:val="0"/>
          <w:color w:val="auto"/>
          <w:spacing w:val="0"/>
          <w:sz w:val="28"/>
          <w:szCs w:val="28"/>
          <w:u w:val="single"/>
          <w:shd w:val="clear" w:fill="FFFFFF"/>
          <w:lang w:eastAsia="zh-CN"/>
        </w:rPr>
        <w:t>调研</w:t>
      </w:r>
      <w:r>
        <w:rPr>
          <w:rStyle w:val="8"/>
          <w:rFonts w:hint="eastAsia" w:ascii="宋体" w:hAnsi="宋体" w:eastAsia="宋体" w:cs="宋体"/>
          <w:i w:val="0"/>
          <w:iCs w:val="0"/>
          <w:caps w:val="0"/>
          <w:color w:val="auto"/>
          <w:spacing w:val="0"/>
          <w:sz w:val="28"/>
          <w:szCs w:val="28"/>
          <w:u w:val="single"/>
          <w:shd w:val="clear" w:fill="FFFFFF"/>
        </w:rPr>
        <w:t>项目名称）</w:t>
      </w:r>
      <w:r>
        <w:rPr>
          <w:rFonts w:hint="eastAsia" w:ascii="宋体" w:hAnsi="宋体" w:eastAsia="宋体" w:cs="宋体"/>
          <w:i w:val="0"/>
          <w:iCs w:val="0"/>
          <w:caps w:val="0"/>
          <w:color w:val="auto"/>
          <w:spacing w:val="0"/>
          <w:sz w:val="28"/>
          <w:szCs w:val="28"/>
          <w:u w:val="none"/>
          <w:shd w:val="clear" w:fill="FFFFFF"/>
        </w:rPr>
        <w:fldChar w:fldCharType="end"/>
      </w:r>
    </w:p>
    <w:p w14:paraId="73B5E41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default"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shd w:val="clear" w:fill="FFFFFF"/>
        </w:rPr>
        <w:t>联系人：梁工</w:t>
      </w:r>
    </w:p>
    <w:p w14:paraId="4F34CAD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default"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shd w:val="clear" w:fill="FFFFFF"/>
        </w:rPr>
        <w:t>联系电话：0760-88889925</w:t>
      </w:r>
    </w:p>
    <w:p w14:paraId="1AA2049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default"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shd w:val="clear" w:fill="FFFFFF"/>
        </w:rPr>
        <w:t>邮箱：zssdsyyzbk@126.com</w:t>
      </w:r>
    </w:p>
    <w:p w14:paraId="137EC45C">
      <w:pPr>
        <w:jc w:val="left"/>
        <w:rPr>
          <w:rFonts w:hint="eastAsia" w:ascii="宋体" w:hAnsi="宋体" w:eastAsia="宋体" w:cs="宋体"/>
          <w:bCs/>
          <w:color w:val="000000"/>
          <w:sz w:val="28"/>
          <w:szCs w:val="28"/>
          <w:lang w:val="en-US" w:eastAsia="zh-CN"/>
        </w:rPr>
      </w:pPr>
    </w:p>
    <w:sectPr>
      <w:pgSz w:w="11906" w:h="16838"/>
      <w:pgMar w:top="1157" w:right="1800" w:bottom="1157"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elvetica">
    <w:altName w:val="Arial"/>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927EF9"/>
    <w:rsid w:val="018C5DA8"/>
    <w:rsid w:val="0B841EF7"/>
    <w:rsid w:val="13927EF9"/>
    <w:rsid w:val="1A5E4685"/>
    <w:rsid w:val="20B438CA"/>
    <w:rsid w:val="256E3752"/>
    <w:rsid w:val="2CD51841"/>
    <w:rsid w:val="30AD16DC"/>
    <w:rsid w:val="3FE82175"/>
    <w:rsid w:val="40FC4315"/>
    <w:rsid w:val="42EA48FB"/>
    <w:rsid w:val="45510502"/>
    <w:rsid w:val="45E40861"/>
    <w:rsid w:val="56F00EA2"/>
    <w:rsid w:val="57777405"/>
    <w:rsid w:val="658C6270"/>
    <w:rsid w:val="666D5521"/>
    <w:rsid w:val="6A663CCE"/>
    <w:rsid w:val="7D585E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99"/>
    <w:pPr>
      <w:spacing w:after="120"/>
    </w:pPr>
  </w:style>
  <w:style w:type="paragraph" w:customStyle="1" w:styleId="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styleId="8">
    <w:name w:val="Hyperlink"/>
    <w:basedOn w:val="6"/>
    <w:qFormat/>
    <w:uiPriority w:val="0"/>
    <w:rPr>
      <w:color w:val="0000FF"/>
      <w:u w:val="single"/>
    </w:rPr>
  </w:style>
  <w:style w:type="character" w:customStyle="1" w:styleId="9">
    <w:name w:val="font11"/>
    <w:basedOn w:val="6"/>
    <w:autoRedefine/>
    <w:qFormat/>
    <w:uiPriority w:val="0"/>
    <w:rPr>
      <w:rFonts w:hint="eastAsia" w:ascii="宋体" w:hAnsi="宋体" w:eastAsia="宋体" w:cs="宋体"/>
      <w:color w:val="000000"/>
      <w:sz w:val="22"/>
      <w:szCs w:val="22"/>
      <w:u w:val="single"/>
    </w:rPr>
  </w:style>
  <w:style w:type="character" w:customStyle="1" w:styleId="10">
    <w:name w:val="font01"/>
    <w:basedOn w:val="6"/>
    <w:autoRedefine/>
    <w:qFormat/>
    <w:uiPriority w:val="0"/>
    <w:rPr>
      <w:rFonts w:hint="eastAsia" w:ascii="宋体" w:hAnsi="宋体" w:eastAsia="宋体" w:cs="宋体"/>
      <w:color w:val="000000"/>
      <w:sz w:val="22"/>
      <w:szCs w:val="22"/>
      <w:u w:val="none"/>
    </w:rPr>
  </w:style>
  <w:style w:type="paragraph" w:styleId="11">
    <w:name w:val="List Paragraph"/>
    <w:basedOn w:val="1"/>
    <w:qFormat/>
    <w:uiPriority w:val="34"/>
    <w:pPr>
      <w:widowControl/>
      <w:ind w:firstLine="420" w:firstLineChars="200"/>
      <w:jc w:val="left"/>
    </w:pPr>
    <w:rPr>
      <w:kern w:val="0"/>
      <w:szCs w:val="20"/>
    </w:rPr>
  </w:style>
  <w:style w:type="character" w:customStyle="1" w:styleId="12">
    <w:name w:val="font31"/>
    <w:basedOn w:val="6"/>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1057</Words>
  <Characters>1335</Characters>
  <Lines>0</Lines>
  <Paragraphs>0</Paragraphs>
  <TotalTime>10</TotalTime>
  <ScaleCrop>false</ScaleCrop>
  <LinksUpToDate>false</LinksUpToDate>
  <CharactersWithSpaces>1341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2025-04-07T07:02:00Z</dcterms:created>
  <dc:creator>小军</dc:creator>
  <cp:lastModifiedBy>18924981193</cp:lastModifiedBy>
  <dcterms:modified xsi:type="dcterms:W3CDTF">2026-04-23T07:29:01Z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CE1C425A069341D68C5C1E149761731D_11</vt:lpwstr>
  </property>
  <property fmtid="{D5CDD505-2E9C-101B-9397-08002B2CF9AE}" pid="4" name="KSOTemplateDocerSaveRecord">
    <vt:lpwstr>eyJoZGlkIjoiMDI1YTQ0MGQ2NDc4NmQ3MjU4NTFkMzZmNDA5NDM5ODgiLCJ1c2VySWQiOiI3MDcxOTEyNjEifQ==</vt:lpwstr>
  </property>
</Properties>
</file>