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DFADCC">
      <w:pPr>
        <w:numPr>
          <w:ilvl w:val="0"/>
          <w:numId w:val="1"/>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总则：</w:t>
      </w:r>
    </w:p>
    <w:p w14:paraId="44C65F35">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r>
        <w:rPr>
          <w:rFonts w:hint="eastAsia" w:ascii="仿宋" w:hAnsi="仿宋" w:eastAsia="仿宋" w:cs="仿宋"/>
          <w:color w:val="000000" w:themeColor="text1"/>
          <w:sz w:val="24"/>
          <w:lang w:eastAsia="zh-CN"/>
          <w14:textFill>
            <w14:solidFill>
              <w14:schemeClr w14:val="tx1"/>
            </w14:solidFill>
          </w14:textFill>
        </w:rPr>
        <w:t>采购需求</w:t>
      </w:r>
      <w:r>
        <w:rPr>
          <w:rFonts w:hint="eastAsia" w:ascii="仿宋" w:hAnsi="仿宋" w:eastAsia="仿宋" w:cs="仿宋"/>
          <w:color w:val="000000" w:themeColor="text1"/>
          <w:sz w:val="24"/>
          <w14:textFill>
            <w14:solidFill>
              <w14:schemeClr w14:val="tx1"/>
            </w14:solidFill>
          </w14:textFill>
        </w:rPr>
        <w:t>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2B9D2695">
      <w:pPr>
        <w:numPr>
          <w:ilvl w:val="0"/>
          <w:numId w:val="1"/>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基本需求</w:t>
      </w:r>
    </w:p>
    <w:tbl>
      <w:tblPr>
        <w:tblStyle w:val="7"/>
        <w:tblW w:w="8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74"/>
        <w:gridCol w:w="2268"/>
        <w:gridCol w:w="2508"/>
      </w:tblGrid>
      <w:tr w14:paraId="3984A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274" w:type="dxa"/>
          </w:tcPr>
          <w:p w14:paraId="7C38D922">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项目名称</w:t>
            </w:r>
          </w:p>
        </w:tc>
        <w:tc>
          <w:tcPr>
            <w:tcW w:w="2268" w:type="dxa"/>
          </w:tcPr>
          <w:p w14:paraId="15D6B59C">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需求科室/部门</w:t>
            </w:r>
          </w:p>
        </w:tc>
        <w:tc>
          <w:tcPr>
            <w:tcW w:w="2508" w:type="dxa"/>
          </w:tcPr>
          <w:p w14:paraId="67829918">
            <w:pPr>
              <w:spacing w:line="440" w:lineRule="exact"/>
              <w:jc w:val="center"/>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年限</w:t>
            </w:r>
          </w:p>
        </w:tc>
      </w:tr>
      <w:tr w14:paraId="33EE9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3274" w:type="dxa"/>
          </w:tcPr>
          <w:p w14:paraId="611AB3E1">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超声维保项目</w:t>
            </w:r>
          </w:p>
        </w:tc>
        <w:tc>
          <w:tcPr>
            <w:tcW w:w="2268" w:type="dxa"/>
          </w:tcPr>
          <w:p w14:paraId="29F1C941">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 医学装备科</w:t>
            </w:r>
          </w:p>
        </w:tc>
        <w:tc>
          <w:tcPr>
            <w:tcW w:w="2508" w:type="dxa"/>
          </w:tcPr>
          <w:p w14:paraId="5937043E">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3年</w:t>
            </w:r>
          </w:p>
        </w:tc>
      </w:tr>
    </w:tbl>
    <w:p w14:paraId="426AD8A4">
      <w:pPr>
        <w:numPr>
          <w:ilvl w:val="0"/>
          <w:numId w:val="1"/>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技术参数：</w:t>
      </w:r>
    </w:p>
    <w:p w14:paraId="10FD23C1">
      <w:pPr>
        <w:pStyle w:val="3"/>
        <w:keepNext w:val="0"/>
        <w:keepLines w:val="0"/>
        <w:pageBreakBefore w:val="0"/>
        <w:kinsoku/>
        <w:wordWrap/>
        <w:overflowPunct/>
        <w:topLinePunct w:val="0"/>
        <w:autoSpaceDE/>
        <w:autoSpaceDN/>
        <w:bidi w:val="0"/>
        <w:adjustRightInd/>
        <w:snapToGrid/>
        <w:spacing w:beforeAutospacing="0" w:line="360" w:lineRule="auto"/>
        <w:ind w:firstLine="480" w:firstLineChars="200"/>
        <w:textAlignment w:val="auto"/>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主要采购标的为：针对附件设备清单中的设备提供维护保养服务（每季度至少1次）；同时，遵循“先坏先保修”原则，对年度内报修的前10台超声设备进行维修，维修所产生的费用均包含在中标价格之内。维修后维保方保证该超声仪器能满足科室的日常诊超声断工作。 </w:t>
      </w:r>
    </w:p>
    <w:p w14:paraId="091E37E9">
      <w:pPr>
        <w:numPr>
          <w:ilvl w:val="0"/>
          <w:numId w:val="2"/>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★维修范围包括但不限于：主机，探头、主板、显示器、电池等；</w:t>
      </w:r>
    </w:p>
    <w:p w14:paraId="2FDEBB62">
      <w:pPr>
        <w:numPr>
          <w:ilvl w:val="0"/>
          <w:numId w:val="2"/>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安全检查：按照厂家设备本身标准及中山市当地规定执行。包括但不限于制定检查计划、机械安全检查、电气安全检查、记录检查结果；</w:t>
      </w:r>
    </w:p>
    <w:p w14:paraId="488956CB">
      <w:pPr>
        <w:numPr>
          <w:ilvl w:val="0"/>
          <w:numId w:val="2"/>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预防性保养：按照保养计划提供，每年提供专业保养，以保证设备处于最佳；4.1、运行状态，内容至少包括以下内容：</w:t>
      </w:r>
    </w:p>
    <w:p w14:paraId="174408B6">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4.2、记录并安排保养时间；</w:t>
      </w:r>
    </w:p>
    <w:p w14:paraId="280EE87D">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4.3、按照厂家标准进行调校；</w:t>
      </w:r>
    </w:p>
    <w:p w14:paraId="38CB1775">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4.4、确认各项技术指标及性能；</w:t>
      </w:r>
    </w:p>
    <w:p w14:paraId="1F8C9F7D">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4.5、记录设备状况；</w:t>
      </w:r>
    </w:p>
    <w:p w14:paraId="720C09BD">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4.6、提供每次保养后由设备本身导出的保养报告；</w:t>
      </w:r>
    </w:p>
    <w:p w14:paraId="49F351B9">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4.7、预防性保养损耗品：预防性保养中需要更换的损耗品由中标人提供，以上费用已包含在投标报价中；</w:t>
      </w:r>
    </w:p>
    <w:p w14:paraId="7C33054F">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5、</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开机率：在合同期内保证 95%的开机率（按一年365个日历日计算）。如果此开机率由于中标人的原因未能达到，按 1：5比例顺延保修期时间（即按天算、开机日每降低 1 个日历日，保修期顺延 5 个日历日）；</w:t>
      </w:r>
    </w:p>
    <w:p w14:paraId="7BD2A0B1">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6、工时：包含在保修合同期内所需的人工费用，签订保修合同的采购人享受优先派工，节假日加班费用不另外向采购人收取；</w:t>
      </w:r>
    </w:p>
    <w:p w14:paraId="0606D7CC">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bookmarkStart w:id="0" w:name="OLE_LINK4"/>
      <w:bookmarkStart w:id="1" w:name="OLE_LINK3"/>
      <w:r>
        <w:rPr>
          <w:rFonts w:hint="eastAsia" w:ascii="仿宋" w:hAnsi="仿宋" w:eastAsia="仿宋" w:cs="仿宋"/>
          <w:color w:val="000000" w:themeColor="text1"/>
          <w:sz w:val="24"/>
          <w:lang w:val="en-US" w:eastAsia="zh-CN"/>
          <w14:textFill>
            <w14:solidFill>
              <w14:schemeClr w14:val="tx1"/>
            </w14:solidFill>
          </w14:textFill>
        </w:rPr>
        <w:t>7、</w:t>
      </w:r>
      <w:bookmarkEnd w:id="0"/>
      <w:bookmarkEnd w:id="1"/>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备件：备件必须是原厂认证合格的零备件，备件有追踪号码，保障不会对设备质量或图像产生不良影响。提供保修所需的备件，备件供应要及时、充足。如因提供不合法不合规或来路不明的备件而引起的相关损失及法律责任由中标人自行承担(投标文件中提供承诺函并加盖投标人公章)；</w:t>
      </w:r>
    </w:p>
    <w:p w14:paraId="6613616B">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更换该设备的主要配件时，须经过采购人确认后方可更换；</w:t>
      </w:r>
    </w:p>
    <w:p w14:paraId="6E9C4C19">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9、提供免费热线电话，24小时 *365天有工程师接听，为采购人快速诊断和提供技术支持服务。接到维修要求后，如是设备停机或是影响设备使用的故障，第二个自然日内到达现场；如是间接性故障或不影响设备使用的故障，在取得采购人同意的情况下，可酌情延长到场时间；</w:t>
      </w:r>
    </w:p>
    <w:p w14:paraId="1170D1FE">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10、维护保养工程师的资质：为保障更快捷更满意的服务，投标人派遣来的维修和保养的工程师必须具备维修超声的资质，需提供有效期内的培训证明；</w:t>
      </w:r>
    </w:p>
    <w:p w14:paraId="61D4C95B">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11、</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在完成一个年度的维保后，中标人须按照三甲评审制度要求提供一份完整的维修保养记录年度报告；报告内容须包含年度维修次数统计，更换配件的统计分析，预防性维护记录等内容；</w:t>
      </w:r>
    </w:p>
    <w:p w14:paraId="4839EC4B">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12、★中标人对设备进行维修保养时，须在需求科室及采购人相应工程师共同见证下完成，工单须由见证人同时签字方生效；</w:t>
      </w:r>
    </w:p>
    <w:p w14:paraId="545FF939">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13、★中标人不得有出现以下情况（包括但不限于以下内容）：复制本次维保设备的任何数据，盗用数据，同时维保维护数据向第三方透露等情形，若上述情况一经发现，采购人保留向中标人追偿追责的权利；</w:t>
      </w:r>
    </w:p>
    <w:p w14:paraId="288ABE04">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14、★在维保期内，采购人会对中标人的服务进行考核，若两次以上考核结果为不合格(低于80分)的，采购人有权单方无责解除合同。</w:t>
      </w:r>
    </w:p>
    <w:p w14:paraId="0BD3D0BE">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15、★若48小时内无法修复，则需中标方提供备用机，确保科室的正常运行。</w:t>
      </w:r>
    </w:p>
    <w:p w14:paraId="2C48D7DE">
      <w:pPr>
        <w:pStyle w:val="3"/>
        <w:rPr>
          <w:rFonts w:hint="default"/>
          <w:lang w:val="en-US" w:eastAsia="zh-CN"/>
        </w:rPr>
      </w:pPr>
      <w:r>
        <w:rPr>
          <w:rFonts w:hint="eastAsia" w:ascii="仿宋" w:hAnsi="仿宋" w:eastAsia="仿宋" w:cs="仿宋"/>
          <w:color w:val="000000" w:themeColor="text1"/>
          <w:sz w:val="24"/>
          <w:lang w:val="en-US" w:eastAsia="zh-CN"/>
          <w14:textFill>
            <w14:solidFill>
              <w14:schemeClr w14:val="tx1"/>
            </w14:solidFill>
          </w14:textFill>
        </w:rPr>
        <w:t>16、★若服务期内，服务清单设备有报废的，每台扣除1万元合同款。</w:t>
      </w:r>
    </w:p>
    <w:p w14:paraId="5BC1A48F">
      <w:pPr>
        <w:spacing w:line="440" w:lineRule="exact"/>
        <w:rPr>
          <w:rFonts w:hint="default" w:ascii="仿宋" w:hAnsi="仿宋" w:eastAsia="仿宋" w:cs="仿宋"/>
          <w:b/>
          <w:color w:val="000000" w:themeColor="text1"/>
          <w:sz w:val="24"/>
          <w:lang w:val="en-US" w:eastAsia="zh-CN"/>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四、</w:t>
      </w:r>
      <w:r>
        <w:rPr>
          <w:rFonts w:hint="eastAsia" w:ascii="仿宋" w:hAnsi="仿宋" w:eastAsia="仿宋" w:cs="仿宋"/>
          <w:b/>
          <w:color w:val="000000" w:themeColor="text1"/>
          <w:sz w:val="24"/>
          <w14:textFill>
            <w14:solidFill>
              <w14:schemeClr w14:val="tx1"/>
            </w14:solidFill>
          </w14:textFill>
        </w:rPr>
        <w:t>付款方式</w:t>
      </w:r>
      <w:r>
        <w:rPr>
          <w:rFonts w:hint="eastAsia" w:ascii="仿宋" w:hAnsi="仿宋" w:eastAsia="仿宋" w:cs="仿宋"/>
          <w:b/>
          <w:color w:val="000000" w:themeColor="text1"/>
          <w:sz w:val="24"/>
          <w:lang w:val="en-US" w:eastAsia="zh-CN"/>
          <w14:textFill>
            <w14:solidFill>
              <w14:schemeClr w14:val="tx1"/>
            </w14:solidFill>
          </w14:textFill>
        </w:rPr>
        <w:t>及评价表</w:t>
      </w:r>
    </w:p>
    <w:p w14:paraId="2B3E1177">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本合同的每笔款项以人民币转账方式支付，中标单位凭：</w:t>
      </w:r>
    </w:p>
    <w:p w14:paraId="4B5ECDF0">
      <w:pPr>
        <w:spacing w:line="44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（1）合同；</w:t>
      </w:r>
    </w:p>
    <w:p w14:paraId="0C995C91">
      <w:pPr>
        <w:spacing w:line="44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r>
        <w:rPr>
          <w:rFonts w:hint="eastAsia" w:ascii="仿宋" w:hAnsi="仿宋" w:eastAsia="仿宋" w:cs="仿宋"/>
          <w:color w:val="000000" w:themeColor="text1"/>
          <w:sz w:val="24"/>
          <w:lang w:val="en-US" w:eastAsia="zh-CN"/>
          <w14:textFill>
            <w14:solidFill>
              <w14:schemeClr w14:val="tx1"/>
            </w14:solidFill>
          </w14:textFill>
        </w:rPr>
        <w:t>每季度考核表</w:t>
      </w:r>
      <w:r>
        <w:rPr>
          <w:rFonts w:hint="eastAsia" w:ascii="仿宋" w:hAnsi="仿宋" w:eastAsia="仿宋" w:cs="仿宋"/>
          <w:color w:val="000000" w:themeColor="text1"/>
          <w:sz w:val="24"/>
          <w14:textFill>
            <w14:solidFill>
              <w14:schemeClr w14:val="tx1"/>
            </w14:solidFill>
          </w14:textFill>
        </w:rPr>
        <w:t>（加盖采购人</w:t>
      </w:r>
      <w:r>
        <w:rPr>
          <w:rFonts w:hint="eastAsia" w:ascii="仿宋" w:hAnsi="仿宋" w:eastAsia="仿宋" w:cs="仿宋"/>
          <w:color w:val="000000" w:themeColor="text1"/>
          <w:sz w:val="24"/>
          <w:lang w:val="en-US" w:eastAsia="zh-CN"/>
          <w14:textFill>
            <w14:solidFill>
              <w14:schemeClr w14:val="tx1"/>
            </w14:solidFill>
          </w14:textFill>
        </w:rPr>
        <w:t>归口科室业务章</w:t>
      </w:r>
      <w:r>
        <w:rPr>
          <w:rFonts w:hint="eastAsia" w:ascii="仿宋" w:hAnsi="仿宋" w:eastAsia="仿宋" w:cs="仿宋"/>
          <w:color w:val="000000" w:themeColor="text1"/>
          <w:sz w:val="24"/>
          <w14:textFill>
            <w14:solidFill>
              <w14:schemeClr w14:val="tx1"/>
            </w14:solidFill>
          </w14:textFill>
        </w:rPr>
        <w:t>）；</w:t>
      </w:r>
    </w:p>
    <w:p w14:paraId="1BE3E546">
      <w:pPr>
        <w:spacing w:line="44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（3）中标供应商开具的正式发票（加盖发票专用章）。</w:t>
      </w:r>
    </w:p>
    <w:p w14:paraId="4C1E8C7A">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具体付款方式：</w:t>
      </w:r>
    </w:p>
    <w:p w14:paraId="64D624C7">
      <w:pPr>
        <w:spacing w:line="440" w:lineRule="exact"/>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2.1、若本季度考核结果为“满意”，则</w:t>
      </w:r>
      <w:r>
        <w:rPr>
          <w:rFonts w:hint="eastAsia" w:ascii="仿宋" w:hAnsi="仿宋" w:eastAsia="仿宋" w:cs="仿宋"/>
          <w:color w:val="000000" w:themeColor="text1"/>
          <w:sz w:val="24"/>
          <w:lang w:eastAsia="zh-CN"/>
          <w14:textFill>
            <w14:solidFill>
              <w14:schemeClr w14:val="tx1"/>
            </w14:solidFill>
          </w14:textFill>
        </w:rPr>
        <w:t>季度末，乙方提供合同总金额的（100%÷</w:t>
      </w:r>
      <w:r>
        <w:rPr>
          <w:rFonts w:hint="eastAsia" w:ascii="仿宋" w:hAnsi="仿宋" w:eastAsia="仿宋" w:cs="仿宋"/>
          <w:color w:val="000000" w:themeColor="text1"/>
          <w:sz w:val="24"/>
          <w:lang w:val="en-US" w:eastAsia="zh-CN"/>
          <w14:textFill>
            <w14:solidFill>
              <w14:schemeClr w14:val="tx1"/>
            </w14:solidFill>
          </w14:textFill>
        </w:rPr>
        <w:t>12</w:t>
      </w:r>
      <w:r>
        <w:rPr>
          <w:rFonts w:hint="eastAsia" w:ascii="仿宋" w:hAnsi="仿宋" w:eastAsia="仿宋" w:cs="仿宋"/>
          <w:color w:val="000000" w:themeColor="text1"/>
          <w:sz w:val="24"/>
          <w:lang w:eastAsia="zh-CN"/>
          <w14:textFill>
            <w14:solidFill>
              <w14:schemeClr w14:val="tx1"/>
            </w14:solidFill>
          </w14:textFill>
        </w:rPr>
        <w:t>个季度)）的款项发票，甲方收到发票并审核无误后，支付该笔款项；</w:t>
      </w:r>
    </w:p>
    <w:p w14:paraId="15EAF1E9">
      <w:pPr>
        <w:spacing w:line="440" w:lineRule="exact"/>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2.2、若本季度考核结果为“不满意”即低于80分，则与“80分”相比，每少1分，扣除壹仟元；</w:t>
      </w:r>
      <w:r>
        <w:rPr>
          <w:rFonts w:hint="eastAsia" w:ascii="仿宋" w:hAnsi="仿宋" w:eastAsia="仿宋" w:cs="仿宋"/>
          <w:color w:val="000000" w:themeColor="text1"/>
          <w:sz w:val="24"/>
          <w:lang w:eastAsia="zh-CN"/>
          <w14:textFill>
            <w14:solidFill>
              <w14:schemeClr w14:val="tx1"/>
            </w14:solidFill>
          </w14:textFill>
        </w:rPr>
        <w:t>乙方提供（合同总金额100%÷</w:t>
      </w:r>
      <w:r>
        <w:rPr>
          <w:rFonts w:hint="eastAsia" w:ascii="仿宋" w:hAnsi="仿宋" w:eastAsia="仿宋" w:cs="仿宋"/>
          <w:color w:val="000000" w:themeColor="text1"/>
          <w:sz w:val="24"/>
          <w:lang w:val="en-US" w:eastAsia="zh-CN"/>
          <w14:textFill>
            <w14:solidFill>
              <w14:schemeClr w14:val="tx1"/>
            </w14:solidFill>
          </w14:textFill>
        </w:rPr>
        <w:t>12</w:t>
      </w:r>
      <w:r>
        <w:rPr>
          <w:rFonts w:hint="eastAsia" w:ascii="仿宋" w:hAnsi="仿宋" w:eastAsia="仿宋" w:cs="仿宋"/>
          <w:color w:val="000000" w:themeColor="text1"/>
          <w:sz w:val="24"/>
          <w:lang w:eastAsia="zh-CN"/>
          <w14:textFill>
            <w14:solidFill>
              <w14:schemeClr w14:val="tx1"/>
            </w14:solidFill>
          </w14:textFill>
        </w:rPr>
        <w:t>个季度</w:t>
      </w:r>
      <w:r>
        <w:rPr>
          <w:rFonts w:hint="eastAsia" w:ascii="仿宋" w:hAnsi="仿宋" w:eastAsia="仿宋" w:cs="仿宋"/>
          <w:color w:val="000000" w:themeColor="text1"/>
          <w:sz w:val="24"/>
          <w:lang w:val="en-US" w:eastAsia="zh-CN"/>
          <w14:textFill>
            <w14:solidFill>
              <w14:schemeClr w14:val="tx1"/>
            </w14:solidFill>
          </w14:textFill>
        </w:rPr>
        <w:t>-扣除金额</w:t>
      </w:r>
      <w:r>
        <w:rPr>
          <w:rFonts w:hint="eastAsia" w:ascii="仿宋" w:hAnsi="仿宋" w:eastAsia="仿宋" w:cs="仿宋"/>
          <w:color w:val="000000" w:themeColor="text1"/>
          <w:sz w:val="24"/>
          <w:lang w:eastAsia="zh-CN"/>
          <w14:textFill>
            <w14:solidFill>
              <w14:schemeClr w14:val="tx1"/>
            </w14:solidFill>
          </w14:textFill>
        </w:rPr>
        <w:t>）的</w:t>
      </w:r>
      <w:r>
        <w:rPr>
          <w:rFonts w:hint="eastAsia" w:ascii="仿宋" w:hAnsi="仿宋" w:eastAsia="仿宋" w:cs="仿宋"/>
          <w:color w:val="000000" w:themeColor="text1"/>
          <w:sz w:val="24"/>
          <w:lang w:val="en-US" w:eastAsia="zh-CN"/>
          <w14:textFill>
            <w14:solidFill>
              <w14:schemeClr w14:val="tx1"/>
            </w14:solidFill>
          </w14:textFill>
        </w:rPr>
        <w:t>季度</w:t>
      </w:r>
      <w:r>
        <w:rPr>
          <w:rFonts w:hint="eastAsia" w:ascii="仿宋" w:hAnsi="仿宋" w:eastAsia="仿宋" w:cs="仿宋"/>
          <w:color w:val="000000" w:themeColor="text1"/>
          <w:sz w:val="24"/>
          <w:lang w:eastAsia="zh-CN"/>
          <w14:textFill>
            <w14:solidFill>
              <w14:schemeClr w14:val="tx1"/>
            </w14:solidFill>
          </w14:textFill>
        </w:rPr>
        <w:t>款项发票，甲方收到发票并审核无误后，支付该笔款项。</w:t>
      </w:r>
    </w:p>
    <w:p w14:paraId="5C836451">
      <w:pPr>
        <w:pStyle w:val="3"/>
        <w:rPr>
          <w:rFonts w:hint="eastAsia" w:ascii="仿宋" w:hAnsi="仿宋" w:eastAsia="仿宋" w:cs="仿宋"/>
          <w:color w:val="000000" w:themeColor="text1"/>
          <w:sz w:val="24"/>
          <w:lang w:eastAsia="zh-CN"/>
          <w14:textFill>
            <w14:solidFill>
              <w14:schemeClr w14:val="tx1"/>
            </w14:solidFill>
          </w14:textFill>
        </w:rPr>
      </w:pPr>
    </w:p>
    <w:p w14:paraId="1808A001">
      <w:pPr>
        <w:pStyle w:val="3"/>
        <w:rPr>
          <w:rFonts w:hint="eastAsia" w:ascii="仿宋" w:hAnsi="仿宋" w:eastAsia="仿宋" w:cs="仿宋"/>
          <w:color w:val="000000" w:themeColor="text1"/>
          <w:sz w:val="24"/>
          <w:lang w:eastAsia="zh-CN"/>
          <w14:textFill>
            <w14:solidFill>
              <w14:schemeClr w14:val="tx1"/>
            </w14:solidFill>
          </w14:textFill>
        </w:rPr>
      </w:pPr>
    </w:p>
    <w:p w14:paraId="326217EC">
      <w:pPr>
        <w:pStyle w:val="3"/>
        <w:rPr>
          <w:rFonts w:hint="eastAsia" w:ascii="仿宋" w:hAnsi="仿宋" w:eastAsia="仿宋" w:cs="仿宋"/>
          <w:color w:val="000000" w:themeColor="text1"/>
          <w:sz w:val="24"/>
          <w:lang w:eastAsia="zh-CN"/>
          <w14:textFill>
            <w14:solidFill>
              <w14:schemeClr w14:val="tx1"/>
            </w14:solidFill>
          </w14:textFill>
        </w:rPr>
      </w:pPr>
    </w:p>
    <w:p w14:paraId="6B5B1401">
      <w:pPr>
        <w:pStyle w:val="3"/>
        <w:rPr>
          <w:rFonts w:hint="eastAsia" w:ascii="仿宋" w:hAnsi="仿宋" w:eastAsia="仿宋" w:cs="仿宋"/>
          <w:color w:val="000000" w:themeColor="text1"/>
          <w:sz w:val="24"/>
          <w:lang w:eastAsia="zh-CN"/>
          <w14:textFill>
            <w14:solidFill>
              <w14:schemeClr w14:val="tx1"/>
            </w14:solidFill>
          </w14:textFill>
        </w:rPr>
      </w:pPr>
    </w:p>
    <w:p w14:paraId="6374D42F">
      <w:pPr>
        <w:pStyle w:val="3"/>
        <w:rPr>
          <w:rFonts w:hint="eastAsia" w:ascii="仿宋" w:hAnsi="仿宋" w:eastAsia="仿宋" w:cs="仿宋"/>
          <w:color w:val="000000" w:themeColor="text1"/>
          <w:sz w:val="24"/>
          <w:lang w:eastAsia="zh-CN"/>
          <w14:textFill>
            <w14:solidFill>
              <w14:schemeClr w14:val="tx1"/>
            </w14:solidFill>
          </w14:textFill>
        </w:rPr>
      </w:pPr>
    </w:p>
    <w:p w14:paraId="6BC11DB1">
      <w:pPr>
        <w:pStyle w:val="3"/>
        <w:rPr>
          <w:rFonts w:hint="eastAsia" w:ascii="仿宋" w:hAnsi="仿宋" w:eastAsia="仿宋" w:cs="仿宋"/>
          <w:color w:val="000000" w:themeColor="text1"/>
          <w:sz w:val="24"/>
          <w:lang w:eastAsia="zh-CN"/>
          <w14:textFill>
            <w14:solidFill>
              <w14:schemeClr w14:val="tx1"/>
            </w14:solidFill>
          </w14:textFill>
        </w:rPr>
      </w:pPr>
    </w:p>
    <w:p w14:paraId="34B33983">
      <w:pPr>
        <w:pStyle w:val="3"/>
        <w:rPr>
          <w:rFonts w:hint="eastAsia" w:ascii="仿宋" w:hAnsi="仿宋" w:eastAsia="仿宋" w:cs="仿宋"/>
          <w:color w:val="000000" w:themeColor="text1"/>
          <w:sz w:val="24"/>
          <w:lang w:eastAsia="zh-CN"/>
          <w14:textFill>
            <w14:solidFill>
              <w14:schemeClr w14:val="tx1"/>
            </w14:solidFill>
          </w14:textFill>
        </w:rPr>
      </w:pPr>
    </w:p>
    <w:p w14:paraId="1114927F">
      <w:pPr>
        <w:pStyle w:val="3"/>
        <w:rPr>
          <w:rFonts w:hint="eastAsia" w:ascii="仿宋" w:hAnsi="仿宋" w:eastAsia="仿宋" w:cs="仿宋"/>
          <w:color w:val="000000" w:themeColor="text1"/>
          <w:sz w:val="24"/>
          <w:lang w:eastAsia="zh-CN"/>
          <w14:textFill>
            <w14:solidFill>
              <w14:schemeClr w14:val="tx1"/>
            </w14:solidFill>
          </w14:textFill>
        </w:rPr>
      </w:pPr>
    </w:p>
    <w:p w14:paraId="1830C5A1">
      <w:pPr>
        <w:pStyle w:val="3"/>
        <w:rPr>
          <w:rFonts w:hint="eastAsia" w:ascii="仿宋" w:hAnsi="仿宋" w:eastAsia="仿宋" w:cs="仿宋"/>
          <w:color w:val="000000" w:themeColor="text1"/>
          <w:sz w:val="24"/>
          <w:lang w:eastAsia="zh-CN"/>
          <w14:textFill>
            <w14:solidFill>
              <w14:schemeClr w14:val="tx1"/>
            </w14:solidFill>
          </w14:textFill>
        </w:rPr>
      </w:pPr>
    </w:p>
    <w:p w14:paraId="3A03EE56">
      <w:pPr>
        <w:pStyle w:val="3"/>
        <w:rPr>
          <w:rFonts w:hint="eastAsia" w:ascii="仿宋" w:hAnsi="仿宋" w:eastAsia="仿宋" w:cs="仿宋"/>
          <w:color w:val="000000" w:themeColor="text1"/>
          <w:sz w:val="24"/>
          <w:lang w:eastAsia="zh-CN"/>
          <w14:textFill>
            <w14:solidFill>
              <w14:schemeClr w14:val="tx1"/>
            </w14:solidFill>
          </w14:textFill>
        </w:rPr>
      </w:pPr>
    </w:p>
    <w:p w14:paraId="5A13AE2A">
      <w:pPr>
        <w:pStyle w:val="3"/>
        <w:rPr>
          <w:rFonts w:hint="eastAsia" w:ascii="仿宋" w:hAnsi="仿宋" w:eastAsia="仿宋" w:cs="仿宋"/>
          <w:color w:val="000000" w:themeColor="text1"/>
          <w:sz w:val="24"/>
          <w:lang w:eastAsia="zh-CN"/>
          <w14:textFill>
            <w14:solidFill>
              <w14:schemeClr w14:val="tx1"/>
            </w14:solidFill>
          </w14:textFill>
        </w:rPr>
      </w:pPr>
    </w:p>
    <w:p w14:paraId="5CDBAD57">
      <w:pPr>
        <w:pStyle w:val="3"/>
        <w:rPr>
          <w:rFonts w:hint="eastAsia" w:ascii="仿宋" w:hAnsi="仿宋" w:eastAsia="仿宋" w:cs="仿宋"/>
          <w:color w:val="000000" w:themeColor="text1"/>
          <w:sz w:val="24"/>
          <w:lang w:eastAsia="zh-CN"/>
          <w14:textFill>
            <w14:solidFill>
              <w14:schemeClr w14:val="tx1"/>
            </w14:solidFill>
          </w14:textFill>
        </w:rPr>
      </w:pPr>
    </w:p>
    <w:p w14:paraId="300F68D3">
      <w:pPr>
        <w:pStyle w:val="3"/>
        <w:rPr>
          <w:rFonts w:hint="eastAsia" w:ascii="仿宋" w:hAnsi="仿宋" w:eastAsia="仿宋" w:cs="仿宋"/>
          <w:color w:val="000000" w:themeColor="text1"/>
          <w:sz w:val="24"/>
          <w:lang w:eastAsia="zh-CN"/>
          <w14:textFill>
            <w14:solidFill>
              <w14:schemeClr w14:val="tx1"/>
            </w14:solidFill>
          </w14:textFill>
        </w:rPr>
      </w:pPr>
    </w:p>
    <w:p w14:paraId="3809E6A7">
      <w:pPr>
        <w:pStyle w:val="3"/>
        <w:rPr>
          <w:rFonts w:hint="eastAsia" w:ascii="仿宋" w:hAnsi="仿宋" w:eastAsia="仿宋" w:cs="仿宋"/>
          <w:color w:val="000000" w:themeColor="text1"/>
          <w:sz w:val="24"/>
          <w:lang w:eastAsia="zh-CN"/>
          <w14:textFill>
            <w14:solidFill>
              <w14:schemeClr w14:val="tx1"/>
            </w14:solidFill>
          </w14:textFill>
        </w:rPr>
      </w:pPr>
    </w:p>
    <w:p w14:paraId="40523E68">
      <w:pPr>
        <w:pStyle w:val="3"/>
        <w:rPr>
          <w:rFonts w:hint="eastAsia" w:ascii="仿宋" w:hAnsi="仿宋" w:eastAsia="仿宋" w:cs="仿宋"/>
          <w:color w:val="000000" w:themeColor="text1"/>
          <w:sz w:val="24"/>
          <w:lang w:eastAsia="zh-CN"/>
          <w14:textFill>
            <w14:solidFill>
              <w14:schemeClr w14:val="tx1"/>
            </w14:solidFill>
          </w14:textFill>
        </w:rPr>
      </w:pPr>
    </w:p>
    <w:p w14:paraId="1F651D8F">
      <w:pPr>
        <w:pStyle w:val="3"/>
        <w:rPr>
          <w:rFonts w:hint="eastAsia" w:ascii="仿宋" w:hAnsi="仿宋" w:eastAsia="仿宋" w:cs="仿宋"/>
          <w:color w:val="000000" w:themeColor="text1"/>
          <w:sz w:val="24"/>
          <w:lang w:eastAsia="zh-CN"/>
          <w14:textFill>
            <w14:solidFill>
              <w14:schemeClr w14:val="tx1"/>
            </w14:solidFill>
          </w14:textFill>
        </w:rPr>
      </w:pPr>
    </w:p>
    <w:p w14:paraId="66B9688D">
      <w:pPr>
        <w:pStyle w:val="3"/>
        <w:rPr>
          <w:rFonts w:hint="eastAsia" w:ascii="仿宋" w:hAnsi="仿宋" w:eastAsia="仿宋" w:cs="仿宋"/>
          <w:color w:val="000000" w:themeColor="text1"/>
          <w:sz w:val="24"/>
          <w:lang w:eastAsia="zh-CN"/>
          <w14:textFill>
            <w14:solidFill>
              <w14:schemeClr w14:val="tx1"/>
            </w14:solidFill>
          </w14:textFill>
        </w:rPr>
      </w:pPr>
    </w:p>
    <w:p w14:paraId="6ECA1DC6">
      <w:pPr>
        <w:pStyle w:val="3"/>
        <w:rPr>
          <w:rFonts w:hint="eastAsia" w:ascii="仿宋" w:hAnsi="仿宋" w:eastAsia="仿宋" w:cs="仿宋"/>
          <w:color w:val="000000" w:themeColor="text1"/>
          <w:sz w:val="24"/>
          <w:lang w:eastAsia="zh-CN"/>
          <w14:textFill>
            <w14:solidFill>
              <w14:schemeClr w14:val="tx1"/>
            </w14:solidFill>
          </w14:textFill>
        </w:rPr>
      </w:pPr>
    </w:p>
    <w:p w14:paraId="4896B73B">
      <w:pPr>
        <w:pStyle w:val="3"/>
        <w:rPr>
          <w:rFonts w:hint="eastAsia" w:ascii="仿宋" w:hAnsi="仿宋" w:eastAsia="仿宋" w:cs="仿宋"/>
          <w:color w:val="000000" w:themeColor="text1"/>
          <w:sz w:val="24"/>
          <w:lang w:eastAsia="zh-CN"/>
          <w14:textFill>
            <w14:solidFill>
              <w14:schemeClr w14:val="tx1"/>
            </w14:solidFill>
          </w14:textFill>
        </w:rPr>
      </w:pPr>
    </w:p>
    <w:p w14:paraId="647937A8">
      <w:pPr>
        <w:pStyle w:val="3"/>
        <w:rPr>
          <w:rFonts w:hint="eastAsia" w:ascii="仿宋" w:hAnsi="仿宋" w:eastAsia="仿宋" w:cs="仿宋"/>
          <w:color w:val="000000" w:themeColor="text1"/>
          <w:sz w:val="24"/>
          <w:lang w:eastAsia="zh-CN"/>
          <w14:textFill>
            <w14:solidFill>
              <w14:schemeClr w14:val="tx1"/>
            </w14:solidFill>
          </w14:textFill>
        </w:rPr>
      </w:pPr>
    </w:p>
    <w:p w14:paraId="5D312EA3">
      <w:pPr>
        <w:pStyle w:val="3"/>
        <w:rPr>
          <w:rFonts w:hint="eastAsia" w:ascii="仿宋" w:hAnsi="仿宋" w:eastAsia="仿宋" w:cs="仿宋"/>
          <w:color w:val="000000" w:themeColor="text1"/>
          <w:sz w:val="24"/>
          <w:lang w:eastAsia="zh-CN"/>
          <w14:textFill>
            <w14:solidFill>
              <w14:schemeClr w14:val="tx1"/>
            </w14:solidFill>
          </w14:textFill>
        </w:rPr>
      </w:pPr>
    </w:p>
    <w:p w14:paraId="5B47B3A0">
      <w:pPr>
        <w:pStyle w:val="3"/>
        <w:rPr>
          <w:rFonts w:hint="eastAsia" w:ascii="仿宋" w:hAnsi="仿宋" w:eastAsia="仿宋" w:cs="仿宋"/>
          <w:color w:val="000000" w:themeColor="text1"/>
          <w:sz w:val="24"/>
          <w:lang w:eastAsia="zh-CN"/>
          <w14:textFill>
            <w14:solidFill>
              <w14:schemeClr w14:val="tx1"/>
            </w14:solidFill>
          </w14:textFill>
        </w:rPr>
      </w:pPr>
    </w:p>
    <w:p w14:paraId="5E6A0946">
      <w:pPr>
        <w:pStyle w:val="3"/>
        <w:rPr>
          <w:rFonts w:hint="eastAsia" w:ascii="仿宋" w:hAnsi="仿宋" w:eastAsia="仿宋" w:cs="仿宋"/>
          <w:color w:val="000000" w:themeColor="text1"/>
          <w:sz w:val="24"/>
          <w:lang w:eastAsia="zh-CN"/>
          <w14:textFill>
            <w14:solidFill>
              <w14:schemeClr w14:val="tx1"/>
            </w14:solidFill>
          </w14:textFill>
        </w:rPr>
      </w:pPr>
    </w:p>
    <w:p w14:paraId="5DD09989">
      <w:pPr>
        <w:pStyle w:val="3"/>
        <w:rPr>
          <w:rFonts w:hint="eastAsia" w:ascii="仿宋" w:hAnsi="仿宋" w:eastAsia="仿宋" w:cs="仿宋"/>
          <w:color w:val="000000" w:themeColor="text1"/>
          <w:sz w:val="24"/>
          <w:lang w:eastAsia="zh-CN"/>
          <w14:textFill>
            <w14:solidFill>
              <w14:schemeClr w14:val="tx1"/>
            </w14:solidFill>
          </w14:textFill>
        </w:rPr>
      </w:pPr>
    </w:p>
    <w:p w14:paraId="6E22B910">
      <w:pPr>
        <w:pStyle w:val="3"/>
        <w:rPr>
          <w:rFonts w:hint="eastAsia" w:ascii="仿宋" w:hAnsi="仿宋" w:eastAsia="仿宋" w:cs="仿宋"/>
          <w:color w:val="000000" w:themeColor="text1"/>
          <w:sz w:val="24"/>
          <w:lang w:eastAsia="zh-CN"/>
          <w14:textFill>
            <w14:solidFill>
              <w14:schemeClr w14:val="tx1"/>
            </w14:solidFill>
          </w14:textFill>
        </w:rPr>
      </w:pPr>
    </w:p>
    <w:p w14:paraId="1703AB11">
      <w:pPr>
        <w:pStyle w:val="3"/>
        <w:rPr>
          <w:rFonts w:hint="eastAsia" w:ascii="仿宋" w:hAnsi="仿宋" w:eastAsia="仿宋" w:cs="仿宋"/>
          <w:color w:val="000000" w:themeColor="text1"/>
          <w:sz w:val="24"/>
          <w:lang w:eastAsia="zh-CN"/>
          <w14:textFill>
            <w14:solidFill>
              <w14:schemeClr w14:val="tx1"/>
            </w14:solidFill>
          </w14:textFill>
        </w:rPr>
      </w:pPr>
    </w:p>
    <w:p w14:paraId="36746FC5">
      <w:pPr>
        <w:pStyle w:val="3"/>
        <w:rPr>
          <w:rFonts w:hint="eastAsia" w:ascii="仿宋" w:hAnsi="仿宋" w:eastAsia="仿宋" w:cs="仿宋"/>
          <w:color w:val="000000" w:themeColor="text1"/>
          <w:sz w:val="24"/>
          <w:lang w:eastAsia="zh-CN"/>
          <w14:textFill>
            <w14:solidFill>
              <w14:schemeClr w14:val="tx1"/>
            </w14:solidFill>
          </w14:textFill>
        </w:rPr>
      </w:pPr>
    </w:p>
    <w:p w14:paraId="63DE6782">
      <w:pPr>
        <w:pStyle w:val="3"/>
        <w:rPr>
          <w:rFonts w:hint="eastAsia" w:ascii="仿宋" w:hAnsi="仿宋" w:eastAsia="仿宋" w:cs="仿宋"/>
          <w:color w:val="000000" w:themeColor="text1"/>
          <w:sz w:val="24"/>
          <w:lang w:eastAsia="zh-CN"/>
          <w14:textFill>
            <w14:solidFill>
              <w14:schemeClr w14:val="tx1"/>
            </w14:solidFill>
          </w14:textFill>
        </w:rPr>
      </w:pPr>
    </w:p>
    <w:p w14:paraId="2A129861">
      <w:pPr>
        <w:pStyle w:val="3"/>
        <w:rPr>
          <w:rFonts w:hint="eastAsia" w:ascii="仿宋" w:hAnsi="仿宋" w:eastAsia="仿宋" w:cs="仿宋"/>
          <w:color w:val="000000" w:themeColor="text1"/>
          <w:sz w:val="24"/>
          <w:lang w:eastAsia="zh-CN"/>
          <w14:textFill>
            <w14:solidFill>
              <w14:schemeClr w14:val="tx1"/>
            </w14:solidFill>
          </w14:textFill>
        </w:rPr>
      </w:pPr>
    </w:p>
    <w:tbl>
      <w:tblPr>
        <w:tblStyle w:val="10"/>
        <w:tblpPr w:leftFromText="180" w:rightFromText="180" w:vertAnchor="text" w:horzAnchor="page" w:tblpX="1845" w:tblpY="498"/>
        <w:tblOverlap w:val="never"/>
        <w:tblW w:w="494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0"/>
        <w:gridCol w:w="352"/>
        <w:gridCol w:w="588"/>
        <w:gridCol w:w="4341"/>
        <w:gridCol w:w="934"/>
        <w:gridCol w:w="1000"/>
      </w:tblGrid>
      <w:tr w14:paraId="57A45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8216" w:type="dxa"/>
            <w:gridSpan w:val="6"/>
            <w:vAlign w:val="top"/>
          </w:tcPr>
          <w:p w14:paraId="16C9F845">
            <w:pPr>
              <w:pStyle w:val="9"/>
              <w:spacing w:before="32" w:line="219" w:lineRule="auto"/>
              <w:ind w:firstLine="2741" w:firstLineChars="1300"/>
              <w:jc w:val="both"/>
              <w:rPr>
                <w:rFonts w:hint="eastAsia" w:ascii="仿宋" w:hAnsi="仿宋" w:eastAsia="仿宋" w:cs="仿宋"/>
                <w:sz w:val="18"/>
                <w:szCs w:val="18"/>
              </w:rPr>
            </w:pPr>
            <w:r>
              <w:rPr>
                <w:rFonts w:hint="eastAsia" w:ascii="仿宋" w:hAnsi="仿宋" w:eastAsia="仿宋" w:cs="仿宋"/>
                <w:b/>
                <w:bCs/>
                <w:spacing w:val="-5"/>
                <w:sz w:val="22"/>
                <w:szCs w:val="22"/>
                <w:lang w:val="en-US" w:eastAsia="zh-CN"/>
              </w:rPr>
              <w:t>维保</w:t>
            </w:r>
            <w:r>
              <w:rPr>
                <w:rFonts w:hint="eastAsia" w:ascii="仿宋" w:hAnsi="仿宋" w:eastAsia="仿宋" w:cs="仿宋"/>
                <w:b/>
                <w:bCs/>
                <w:spacing w:val="-5"/>
                <w:sz w:val="22"/>
                <w:szCs w:val="22"/>
              </w:rPr>
              <w:t>服务质量</w:t>
            </w:r>
            <w:r>
              <w:rPr>
                <w:rFonts w:hint="eastAsia" w:ascii="仿宋" w:hAnsi="仿宋" w:eastAsia="仿宋" w:cs="仿宋"/>
                <w:b/>
                <w:bCs/>
                <w:spacing w:val="-5"/>
                <w:sz w:val="22"/>
                <w:szCs w:val="22"/>
                <w:lang w:val="en-US" w:eastAsia="zh-CN"/>
              </w:rPr>
              <w:t>季度</w:t>
            </w:r>
            <w:r>
              <w:rPr>
                <w:rFonts w:hint="eastAsia" w:ascii="仿宋" w:hAnsi="仿宋" w:eastAsia="仿宋" w:cs="仿宋"/>
                <w:b/>
                <w:bCs/>
                <w:spacing w:val="-5"/>
                <w:sz w:val="22"/>
                <w:szCs w:val="22"/>
              </w:rPr>
              <w:t>考核表</w:t>
            </w:r>
          </w:p>
        </w:tc>
      </w:tr>
      <w:tr w14:paraId="41AC1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948" w:type="dxa"/>
            <w:gridSpan w:val="3"/>
            <w:vAlign w:val="top"/>
          </w:tcPr>
          <w:p w14:paraId="322D4FFD">
            <w:pPr>
              <w:pStyle w:val="9"/>
              <w:spacing w:before="55" w:line="219" w:lineRule="auto"/>
              <w:ind w:left="477"/>
              <w:jc w:val="center"/>
              <w:rPr>
                <w:rFonts w:hint="eastAsia" w:ascii="仿宋" w:hAnsi="仿宋" w:eastAsia="仿宋" w:cs="仿宋"/>
                <w:sz w:val="18"/>
                <w:szCs w:val="18"/>
              </w:rPr>
            </w:pPr>
            <w:r>
              <w:rPr>
                <w:rFonts w:hint="eastAsia" w:ascii="仿宋" w:hAnsi="仿宋" w:eastAsia="仿宋" w:cs="仿宋"/>
                <w:b/>
                <w:bCs/>
                <w:spacing w:val="-4"/>
                <w:sz w:val="18"/>
                <w:szCs w:val="18"/>
              </w:rPr>
              <w:t>调查内容</w:t>
            </w:r>
          </w:p>
        </w:tc>
        <w:tc>
          <w:tcPr>
            <w:tcW w:w="4336" w:type="dxa"/>
            <w:vAlign w:val="top"/>
          </w:tcPr>
          <w:p w14:paraId="7AABD08F">
            <w:pPr>
              <w:pStyle w:val="9"/>
              <w:spacing w:before="55" w:line="219" w:lineRule="auto"/>
              <w:ind w:left="1215"/>
              <w:jc w:val="center"/>
              <w:rPr>
                <w:rFonts w:hint="eastAsia" w:ascii="仿宋" w:hAnsi="仿宋" w:eastAsia="仿宋" w:cs="仿宋"/>
                <w:sz w:val="18"/>
                <w:szCs w:val="18"/>
              </w:rPr>
            </w:pPr>
            <w:r>
              <w:rPr>
                <w:rFonts w:hint="eastAsia" w:ascii="仿宋" w:hAnsi="仿宋" w:eastAsia="仿宋" w:cs="仿宋"/>
                <w:b/>
                <w:bCs/>
                <w:spacing w:val="-1"/>
                <w:sz w:val="18"/>
                <w:szCs w:val="18"/>
              </w:rPr>
              <w:t>内容细项</w:t>
            </w:r>
          </w:p>
        </w:tc>
        <w:tc>
          <w:tcPr>
            <w:tcW w:w="933" w:type="dxa"/>
            <w:vAlign w:val="top"/>
          </w:tcPr>
          <w:p w14:paraId="2F996996">
            <w:pPr>
              <w:pStyle w:val="9"/>
              <w:spacing w:before="55" w:line="219" w:lineRule="auto"/>
              <w:ind w:left="239"/>
              <w:jc w:val="both"/>
              <w:rPr>
                <w:rFonts w:hint="eastAsia" w:ascii="仿宋" w:hAnsi="仿宋" w:eastAsia="仿宋" w:cs="仿宋"/>
                <w:sz w:val="18"/>
                <w:szCs w:val="18"/>
              </w:rPr>
            </w:pPr>
            <w:r>
              <w:rPr>
                <w:rFonts w:hint="eastAsia" w:ascii="仿宋" w:hAnsi="仿宋" w:eastAsia="仿宋" w:cs="仿宋"/>
                <w:b/>
                <w:bCs/>
                <w:spacing w:val="-5"/>
                <w:sz w:val="18"/>
                <w:szCs w:val="18"/>
              </w:rPr>
              <w:t>分值</w:t>
            </w:r>
          </w:p>
        </w:tc>
        <w:tc>
          <w:tcPr>
            <w:tcW w:w="999" w:type="dxa"/>
            <w:vAlign w:val="top"/>
          </w:tcPr>
          <w:p w14:paraId="6248A47F">
            <w:pPr>
              <w:pStyle w:val="9"/>
              <w:spacing w:before="55" w:line="219" w:lineRule="auto"/>
              <w:jc w:val="both"/>
              <w:rPr>
                <w:rFonts w:hint="eastAsia" w:ascii="仿宋" w:hAnsi="仿宋" w:eastAsia="仿宋" w:cs="仿宋"/>
                <w:sz w:val="18"/>
                <w:szCs w:val="18"/>
              </w:rPr>
            </w:pPr>
            <w:r>
              <w:rPr>
                <w:rFonts w:hint="eastAsia" w:ascii="仿宋" w:hAnsi="仿宋" w:eastAsia="仿宋" w:cs="仿宋"/>
                <w:b/>
                <w:bCs/>
                <w:spacing w:val="-5"/>
                <w:sz w:val="18"/>
                <w:szCs w:val="18"/>
              </w:rPr>
              <w:t>得分</w:t>
            </w:r>
          </w:p>
        </w:tc>
      </w:tr>
      <w:tr w14:paraId="63F98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6" w:hRule="atLeast"/>
        </w:trPr>
        <w:tc>
          <w:tcPr>
            <w:tcW w:w="1009" w:type="dxa"/>
            <w:vMerge w:val="restart"/>
            <w:tcBorders>
              <w:bottom w:val="nil"/>
            </w:tcBorders>
            <w:vAlign w:val="top"/>
          </w:tcPr>
          <w:p w14:paraId="44C5D3B3">
            <w:pPr>
              <w:pStyle w:val="9"/>
              <w:spacing w:before="49" w:line="259" w:lineRule="auto"/>
              <w:ind w:left="134" w:right="127"/>
              <w:jc w:val="center"/>
              <w:rPr>
                <w:rFonts w:hint="eastAsia" w:ascii="仿宋" w:hAnsi="仿宋" w:eastAsia="仿宋" w:cs="仿宋"/>
                <w:sz w:val="18"/>
                <w:szCs w:val="18"/>
              </w:rPr>
            </w:pPr>
            <w:r>
              <w:rPr>
                <w:rFonts w:hint="eastAsia" w:ascii="仿宋" w:hAnsi="仿宋" w:eastAsia="仿宋" w:cs="仿宋"/>
                <w:spacing w:val="5"/>
                <w:sz w:val="18"/>
                <w:szCs w:val="18"/>
              </w:rPr>
              <w:t>行为</w:t>
            </w:r>
            <w:r>
              <w:rPr>
                <w:rFonts w:hint="eastAsia" w:ascii="仿宋" w:hAnsi="仿宋" w:eastAsia="仿宋" w:cs="仿宋"/>
                <w:sz w:val="18"/>
                <w:szCs w:val="18"/>
              </w:rPr>
              <w:t xml:space="preserve"> </w:t>
            </w:r>
            <w:r>
              <w:rPr>
                <w:rFonts w:hint="eastAsia" w:ascii="仿宋" w:hAnsi="仿宋" w:eastAsia="仿宋" w:cs="仿宋"/>
                <w:spacing w:val="5"/>
                <w:sz w:val="18"/>
                <w:szCs w:val="18"/>
              </w:rPr>
              <w:t>规范</w:t>
            </w:r>
          </w:p>
        </w:tc>
        <w:tc>
          <w:tcPr>
            <w:tcW w:w="352" w:type="dxa"/>
            <w:vAlign w:val="top"/>
          </w:tcPr>
          <w:p w14:paraId="080F6026">
            <w:pPr>
              <w:pStyle w:val="9"/>
              <w:spacing w:before="118" w:line="184" w:lineRule="auto"/>
              <w:ind w:left="150"/>
              <w:jc w:val="center"/>
              <w:rPr>
                <w:rFonts w:hint="eastAsia" w:ascii="仿宋" w:hAnsi="仿宋" w:eastAsia="仿宋" w:cs="仿宋"/>
                <w:sz w:val="18"/>
                <w:szCs w:val="18"/>
              </w:rPr>
            </w:pPr>
            <w:r>
              <w:rPr>
                <w:rFonts w:hint="eastAsia" w:ascii="仿宋" w:hAnsi="仿宋" w:eastAsia="仿宋" w:cs="仿宋"/>
                <w:sz w:val="18"/>
                <w:szCs w:val="18"/>
              </w:rPr>
              <w:t>1</w:t>
            </w:r>
          </w:p>
        </w:tc>
        <w:tc>
          <w:tcPr>
            <w:tcW w:w="587" w:type="dxa"/>
            <w:vAlign w:val="top"/>
          </w:tcPr>
          <w:p w14:paraId="2A774ADA">
            <w:pPr>
              <w:pStyle w:val="9"/>
              <w:spacing w:before="27" w:line="323" w:lineRule="exact"/>
              <w:ind w:left="151"/>
              <w:jc w:val="center"/>
              <w:rPr>
                <w:rFonts w:hint="eastAsia" w:ascii="仿宋" w:hAnsi="仿宋" w:eastAsia="仿宋" w:cs="仿宋"/>
                <w:sz w:val="18"/>
                <w:szCs w:val="18"/>
              </w:rPr>
            </w:pPr>
            <w:r>
              <w:rPr>
                <w:rFonts w:hint="eastAsia" w:ascii="仿宋" w:hAnsi="仿宋" w:eastAsia="仿宋" w:cs="仿宋"/>
                <w:spacing w:val="4"/>
                <w:position w:val="9"/>
                <w:sz w:val="18"/>
                <w:szCs w:val="18"/>
              </w:rPr>
              <w:t>礼仪</w:t>
            </w:r>
          </w:p>
          <w:p w14:paraId="2E42587D">
            <w:pPr>
              <w:pStyle w:val="9"/>
              <w:spacing w:line="221" w:lineRule="auto"/>
              <w:ind w:left="92"/>
              <w:jc w:val="center"/>
              <w:rPr>
                <w:rFonts w:hint="eastAsia" w:ascii="仿宋" w:hAnsi="仿宋" w:eastAsia="仿宋" w:cs="仿宋"/>
                <w:sz w:val="18"/>
                <w:szCs w:val="18"/>
              </w:rPr>
            </w:pPr>
            <w:r>
              <w:rPr>
                <w:rFonts w:hint="eastAsia" w:ascii="仿宋" w:hAnsi="仿宋" w:eastAsia="仿宋" w:cs="仿宋"/>
                <w:spacing w:val="5"/>
                <w:sz w:val="18"/>
                <w:szCs w:val="18"/>
              </w:rPr>
              <w:t>规范</w:t>
            </w:r>
          </w:p>
        </w:tc>
        <w:tc>
          <w:tcPr>
            <w:tcW w:w="4336" w:type="dxa"/>
            <w:vAlign w:val="top"/>
          </w:tcPr>
          <w:p w14:paraId="75C64360">
            <w:pPr>
              <w:pStyle w:val="9"/>
              <w:spacing w:before="38" w:line="261" w:lineRule="auto"/>
              <w:ind w:left="102" w:right="180" w:firstLine="10"/>
              <w:jc w:val="center"/>
              <w:rPr>
                <w:rFonts w:hint="eastAsia" w:ascii="仿宋" w:hAnsi="仿宋" w:eastAsia="仿宋" w:cs="仿宋"/>
                <w:sz w:val="18"/>
                <w:szCs w:val="18"/>
              </w:rPr>
            </w:pPr>
            <w:r>
              <w:rPr>
                <w:rFonts w:hint="eastAsia" w:ascii="仿宋" w:hAnsi="仿宋" w:eastAsia="仿宋" w:cs="仿宋"/>
                <w:spacing w:val="-1"/>
                <w:sz w:val="18"/>
                <w:szCs w:val="18"/>
              </w:rPr>
              <w:t>遵纪守法，遵守医院规定，规范着</w:t>
            </w:r>
            <w:r>
              <w:rPr>
                <w:rFonts w:hint="eastAsia" w:ascii="仿宋" w:hAnsi="仿宋" w:eastAsia="仿宋" w:cs="仿宋"/>
                <w:spacing w:val="7"/>
                <w:sz w:val="18"/>
                <w:szCs w:val="18"/>
              </w:rPr>
              <w:t xml:space="preserve"> </w:t>
            </w:r>
            <w:r>
              <w:rPr>
                <w:rFonts w:hint="eastAsia" w:ascii="仿宋" w:hAnsi="仿宋" w:eastAsia="仿宋" w:cs="仿宋"/>
                <w:spacing w:val="-1"/>
                <w:sz w:val="18"/>
                <w:szCs w:val="18"/>
              </w:rPr>
              <w:t>装、举止文明、礼貌热情</w:t>
            </w:r>
          </w:p>
        </w:tc>
        <w:tc>
          <w:tcPr>
            <w:tcW w:w="933" w:type="dxa"/>
            <w:vAlign w:val="top"/>
          </w:tcPr>
          <w:p w14:paraId="4E5D571D">
            <w:pPr>
              <w:pStyle w:val="9"/>
              <w:spacing w:before="128" w:line="184" w:lineRule="auto"/>
              <w:ind w:left="336"/>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999" w:type="dxa"/>
            <w:vAlign w:val="top"/>
          </w:tcPr>
          <w:p w14:paraId="20EC929C">
            <w:pPr>
              <w:jc w:val="center"/>
              <w:rPr>
                <w:rFonts w:hint="eastAsia" w:ascii="仿宋" w:hAnsi="仿宋" w:eastAsia="仿宋" w:cs="仿宋"/>
                <w:sz w:val="18"/>
                <w:szCs w:val="18"/>
              </w:rPr>
            </w:pPr>
          </w:p>
        </w:tc>
      </w:tr>
      <w:tr w14:paraId="78EA4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1009" w:type="dxa"/>
            <w:vMerge w:val="continue"/>
            <w:tcBorders>
              <w:top w:val="nil"/>
            </w:tcBorders>
            <w:vAlign w:val="top"/>
          </w:tcPr>
          <w:p w14:paraId="6EE0F94E">
            <w:pPr>
              <w:jc w:val="center"/>
              <w:rPr>
                <w:rFonts w:hint="eastAsia" w:ascii="仿宋" w:hAnsi="仿宋" w:eastAsia="仿宋" w:cs="仿宋"/>
                <w:sz w:val="18"/>
                <w:szCs w:val="18"/>
              </w:rPr>
            </w:pPr>
          </w:p>
        </w:tc>
        <w:tc>
          <w:tcPr>
            <w:tcW w:w="352" w:type="dxa"/>
            <w:vAlign w:val="top"/>
          </w:tcPr>
          <w:p w14:paraId="30274BB8">
            <w:pPr>
              <w:pStyle w:val="9"/>
              <w:spacing w:before="140" w:line="183" w:lineRule="auto"/>
              <w:ind w:left="150"/>
              <w:jc w:val="center"/>
              <w:rPr>
                <w:rFonts w:hint="eastAsia" w:ascii="仿宋" w:hAnsi="仿宋" w:eastAsia="仿宋" w:cs="仿宋"/>
                <w:sz w:val="18"/>
                <w:szCs w:val="18"/>
              </w:rPr>
            </w:pPr>
            <w:r>
              <w:rPr>
                <w:rFonts w:hint="eastAsia" w:ascii="仿宋" w:hAnsi="仿宋" w:eastAsia="仿宋" w:cs="仿宋"/>
                <w:sz w:val="18"/>
                <w:szCs w:val="18"/>
              </w:rPr>
              <w:t>2</w:t>
            </w:r>
          </w:p>
        </w:tc>
        <w:tc>
          <w:tcPr>
            <w:tcW w:w="587" w:type="dxa"/>
            <w:vAlign w:val="top"/>
          </w:tcPr>
          <w:p w14:paraId="388CCEF0">
            <w:pPr>
              <w:pStyle w:val="9"/>
              <w:spacing w:before="49" w:line="352" w:lineRule="exact"/>
              <w:ind w:left="101"/>
              <w:jc w:val="center"/>
              <w:rPr>
                <w:rFonts w:hint="eastAsia" w:ascii="仿宋" w:hAnsi="仿宋" w:eastAsia="仿宋" w:cs="仿宋"/>
                <w:sz w:val="18"/>
                <w:szCs w:val="18"/>
              </w:rPr>
            </w:pPr>
            <w:r>
              <w:rPr>
                <w:rFonts w:hint="eastAsia" w:ascii="仿宋" w:hAnsi="仿宋" w:eastAsia="仿宋" w:cs="仿宋"/>
                <w:spacing w:val="-3"/>
                <w:position w:val="11"/>
                <w:sz w:val="18"/>
                <w:szCs w:val="18"/>
              </w:rPr>
              <w:t>作业</w:t>
            </w:r>
          </w:p>
          <w:p w14:paraId="7A4593E9">
            <w:pPr>
              <w:pStyle w:val="9"/>
              <w:spacing w:line="219" w:lineRule="auto"/>
              <w:ind w:left="151"/>
              <w:jc w:val="center"/>
              <w:rPr>
                <w:rFonts w:hint="eastAsia" w:ascii="仿宋" w:hAnsi="仿宋" w:eastAsia="仿宋" w:cs="仿宋"/>
                <w:sz w:val="18"/>
                <w:szCs w:val="18"/>
              </w:rPr>
            </w:pPr>
            <w:r>
              <w:rPr>
                <w:rFonts w:hint="eastAsia" w:ascii="仿宋" w:hAnsi="仿宋" w:eastAsia="仿宋" w:cs="仿宋"/>
                <w:spacing w:val="5"/>
                <w:sz w:val="18"/>
                <w:szCs w:val="18"/>
              </w:rPr>
              <w:t>规范</w:t>
            </w:r>
          </w:p>
        </w:tc>
        <w:tc>
          <w:tcPr>
            <w:tcW w:w="4336" w:type="dxa"/>
            <w:vAlign w:val="top"/>
          </w:tcPr>
          <w:p w14:paraId="3E74E53A">
            <w:pPr>
              <w:pStyle w:val="9"/>
              <w:spacing w:before="49" w:line="258" w:lineRule="auto"/>
              <w:ind w:left="102" w:right="180" w:firstLine="10"/>
              <w:jc w:val="center"/>
              <w:rPr>
                <w:rFonts w:hint="eastAsia" w:ascii="仿宋" w:hAnsi="仿宋" w:eastAsia="仿宋" w:cs="仿宋"/>
                <w:sz w:val="18"/>
                <w:szCs w:val="18"/>
              </w:rPr>
            </w:pPr>
            <w:r>
              <w:rPr>
                <w:rFonts w:hint="eastAsia" w:ascii="仿宋" w:hAnsi="仿宋" w:eastAsia="仿宋" w:cs="仿宋"/>
                <w:spacing w:val="-1"/>
                <w:sz w:val="18"/>
                <w:szCs w:val="18"/>
              </w:rPr>
              <w:t>遵守科室规定，特殊区域作业时符</w:t>
            </w:r>
            <w:r>
              <w:rPr>
                <w:rFonts w:hint="eastAsia" w:ascii="仿宋" w:hAnsi="仿宋" w:eastAsia="仿宋" w:cs="仿宋"/>
                <w:sz w:val="18"/>
                <w:szCs w:val="18"/>
              </w:rPr>
              <w:t>合规范，作业后及时清洁现场</w:t>
            </w:r>
          </w:p>
        </w:tc>
        <w:tc>
          <w:tcPr>
            <w:tcW w:w="933" w:type="dxa"/>
            <w:vAlign w:val="top"/>
          </w:tcPr>
          <w:p w14:paraId="7C6AD6F9">
            <w:pPr>
              <w:pStyle w:val="9"/>
              <w:spacing w:before="139" w:line="184" w:lineRule="auto"/>
              <w:ind w:left="336"/>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999" w:type="dxa"/>
            <w:vAlign w:val="top"/>
          </w:tcPr>
          <w:p w14:paraId="61733DDB">
            <w:pPr>
              <w:jc w:val="center"/>
              <w:rPr>
                <w:rFonts w:hint="eastAsia" w:ascii="仿宋" w:hAnsi="仿宋" w:eastAsia="仿宋" w:cs="仿宋"/>
                <w:sz w:val="18"/>
                <w:szCs w:val="18"/>
              </w:rPr>
            </w:pPr>
          </w:p>
        </w:tc>
      </w:tr>
      <w:tr w14:paraId="54D54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trPr>
        <w:tc>
          <w:tcPr>
            <w:tcW w:w="1009" w:type="dxa"/>
            <w:vMerge w:val="restart"/>
            <w:tcBorders>
              <w:bottom w:val="nil"/>
            </w:tcBorders>
            <w:vAlign w:val="top"/>
          </w:tcPr>
          <w:p w14:paraId="46971EBE">
            <w:pPr>
              <w:pStyle w:val="9"/>
              <w:spacing w:before="50" w:line="267" w:lineRule="auto"/>
              <w:ind w:left="134" w:right="124"/>
              <w:jc w:val="center"/>
              <w:rPr>
                <w:rFonts w:hint="eastAsia" w:ascii="仿宋" w:hAnsi="仿宋" w:eastAsia="仿宋" w:cs="仿宋"/>
                <w:sz w:val="18"/>
                <w:szCs w:val="18"/>
              </w:rPr>
            </w:pPr>
            <w:r>
              <w:rPr>
                <w:rFonts w:hint="eastAsia" w:ascii="仿宋" w:hAnsi="仿宋" w:eastAsia="仿宋" w:cs="仿宋"/>
                <w:spacing w:val="5"/>
                <w:sz w:val="18"/>
                <w:szCs w:val="18"/>
              </w:rPr>
              <w:t>日常</w:t>
            </w:r>
            <w:r>
              <w:rPr>
                <w:rFonts w:hint="eastAsia" w:ascii="仿宋" w:hAnsi="仿宋" w:eastAsia="仿宋" w:cs="仿宋"/>
                <w:sz w:val="18"/>
                <w:szCs w:val="18"/>
              </w:rPr>
              <w:t xml:space="preserve"> </w:t>
            </w:r>
            <w:r>
              <w:rPr>
                <w:rFonts w:hint="eastAsia" w:ascii="仿宋" w:hAnsi="仿宋" w:eastAsia="仿宋" w:cs="仿宋"/>
                <w:spacing w:val="7"/>
                <w:sz w:val="18"/>
                <w:szCs w:val="18"/>
              </w:rPr>
              <w:t>维护</w:t>
            </w:r>
          </w:p>
        </w:tc>
        <w:tc>
          <w:tcPr>
            <w:tcW w:w="352" w:type="dxa"/>
            <w:vAlign w:val="top"/>
          </w:tcPr>
          <w:p w14:paraId="7244D39A">
            <w:pPr>
              <w:pStyle w:val="9"/>
              <w:spacing w:before="121" w:line="183" w:lineRule="auto"/>
              <w:ind w:left="150"/>
              <w:jc w:val="center"/>
              <w:rPr>
                <w:rFonts w:hint="eastAsia" w:ascii="仿宋" w:hAnsi="仿宋" w:eastAsia="仿宋" w:cs="仿宋"/>
                <w:sz w:val="18"/>
                <w:szCs w:val="18"/>
              </w:rPr>
            </w:pPr>
            <w:r>
              <w:rPr>
                <w:rFonts w:hint="eastAsia" w:ascii="仿宋" w:hAnsi="仿宋" w:eastAsia="仿宋" w:cs="仿宋"/>
                <w:sz w:val="18"/>
                <w:szCs w:val="18"/>
              </w:rPr>
              <w:t>3</w:t>
            </w:r>
          </w:p>
        </w:tc>
        <w:tc>
          <w:tcPr>
            <w:tcW w:w="587" w:type="dxa"/>
            <w:vAlign w:val="top"/>
          </w:tcPr>
          <w:p w14:paraId="500410A4">
            <w:pPr>
              <w:pStyle w:val="9"/>
              <w:spacing w:before="50" w:line="329" w:lineRule="exact"/>
              <w:ind w:left="151"/>
              <w:jc w:val="center"/>
              <w:rPr>
                <w:rFonts w:hint="eastAsia" w:ascii="仿宋" w:hAnsi="仿宋" w:eastAsia="仿宋" w:cs="仿宋"/>
                <w:sz w:val="18"/>
                <w:szCs w:val="18"/>
              </w:rPr>
            </w:pPr>
            <w:r>
              <w:rPr>
                <w:rFonts w:hint="eastAsia" w:ascii="仿宋" w:hAnsi="仿宋" w:eastAsia="仿宋" w:cs="仿宋"/>
                <w:spacing w:val="11"/>
                <w:position w:val="9"/>
                <w:sz w:val="18"/>
                <w:szCs w:val="18"/>
              </w:rPr>
              <w:t>日常</w:t>
            </w:r>
          </w:p>
          <w:p w14:paraId="2957E6D4">
            <w:pPr>
              <w:pStyle w:val="9"/>
              <w:spacing w:line="219" w:lineRule="auto"/>
              <w:ind w:left="151"/>
              <w:jc w:val="center"/>
              <w:rPr>
                <w:rFonts w:hint="eastAsia" w:ascii="仿宋" w:hAnsi="仿宋" w:eastAsia="仿宋" w:cs="仿宋"/>
                <w:sz w:val="18"/>
                <w:szCs w:val="18"/>
              </w:rPr>
            </w:pPr>
            <w:r>
              <w:rPr>
                <w:rFonts w:hint="eastAsia" w:ascii="仿宋" w:hAnsi="仿宋" w:eastAsia="仿宋" w:cs="仿宋"/>
                <w:spacing w:val="-3"/>
                <w:sz w:val="18"/>
                <w:szCs w:val="18"/>
              </w:rPr>
              <w:t>巡检</w:t>
            </w:r>
          </w:p>
        </w:tc>
        <w:tc>
          <w:tcPr>
            <w:tcW w:w="4336" w:type="dxa"/>
            <w:vAlign w:val="top"/>
          </w:tcPr>
          <w:p w14:paraId="731452D9">
            <w:pPr>
              <w:pStyle w:val="9"/>
              <w:spacing w:before="40" w:line="267" w:lineRule="auto"/>
              <w:ind w:left="102" w:right="182" w:firstLine="10"/>
              <w:jc w:val="center"/>
              <w:rPr>
                <w:rFonts w:hint="eastAsia" w:ascii="仿宋" w:hAnsi="仿宋" w:eastAsia="仿宋" w:cs="仿宋"/>
                <w:sz w:val="18"/>
                <w:szCs w:val="18"/>
              </w:rPr>
            </w:pPr>
            <w:r>
              <w:rPr>
                <w:rFonts w:hint="eastAsia" w:ascii="仿宋" w:hAnsi="仿宋" w:eastAsia="仿宋" w:cs="仿宋"/>
                <w:spacing w:val="-1"/>
                <w:sz w:val="18"/>
                <w:szCs w:val="18"/>
              </w:rPr>
              <w:t>按规定开展巡检，并能经常去科室</w:t>
            </w:r>
            <w:r>
              <w:rPr>
                <w:rFonts w:hint="eastAsia" w:ascii="仿宋" w:hAnsi="仿宋" w:eastAsia="仿宋" w:cs="仿宋"/>
                <w:sz w:val="18"/>
                <w:szCs w:val="18"/>
              </w:rPr>
              <w:t>查询设备情况，及时发现问题</w:t>
            </w:r>
          </w:p>
        </w:tc>
        <w:tc>
          <w:tcPr>
            <w:tcW w:w="933" w:type="dxa"/>
            <w:vAlign w:val="top"/>
          </w:tcPr>
          <w:p w14:paraId="17ADCADA">
            <w:pPr>
              <w:pStyle w:val="9"/>
              <w:spacing w:before="130" w:line="184" w:lineRule="auto"/>
              <w:ind w:left="336"/>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999" w:type="dxa"/>
            <w:vAlign w:val="top"/>
          </w:tcPr>
          <w:p w14:paraId="195D23EB">
            <w:pPr>
              <w:jc w:val="center"/>
              <w:rPr>
                <w:rFonts w:hint="eastAsia" w:ascii="仿宋" w:hAnsi="仿宋" w:eastAsia="仿宋" w:cs="仿宋"/>
                <w:sz w:val="18"/>
                <w:szCs w:val="18"/>
              </w:rPr>
            </w:pPr>
          </w:p>
        </w:tc>
      </w:tr>
      <w:tr w14:paraId="60612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1009" w:type="dxa"/>
            <w:vMerge w:val="continue"/>
            <w:tcBorders>
              <w:top w:val="nil"/>
              <w:bottom w:val="nil"/>
            </w:tcBorders>
            <w:vAlign w:val="top"/>
          </w:tcPr>
          <w:p w14:paraId="32CCC2CC">
            <w:pPr>
              <w:jc w:val="center"/>
              <w:rPr>
                <w:rFonts w:hint="eastAsia" w:ascii="仿宋" w:hAnsi="仿宋" w:eastAsia="仿宋" w:cs="仿宋"/>
                <w:sz w:val="18"/>
                <w:szCs w:val="18"/>
              </w:rPr>
            </w:pPr>
          </w:p>
        </w:tc>
        <w:tc>
          <w:tcPr>
            <w:tcW w:w="352" w:type="dxa"/>
            <w:vAlign w:val="top"/>
          </w:tcPr>
          <w:p w14:paraId="25210A5D">
            <w:pPr>
              <w:pStyle w:val="9"/>
              <w:spacing w:before="122" w:line="183" w:lineRule="auto"/>
              <w:ind w:left="150"/>
              <w:jc w:val="center"/>
              <w:rPr>
                <w:rFonts w:hint="eastAsia" w:ascii="仿宋" w:hAnsi="仿宋" w:eastAsia="仿宋" w:cs="仿宋"/>
                <w:sz w:val="18"/>
                <w:szCs w:val="18"/>
              </w:rPr>
            </w:pPr>
            <w:r>
              <w:rPr>
                <w:rFonts w:hint="eastAsia" w:ascii="仿宋" w:hAnsi="仿宋" w:eastAsia="仿宋" w:cs="仿宋"/>
                <w:sz w:val="18"/>
                <w:szCs w:val="18"/>
              </w:rPr>
              <w:t>4</w:t>
            </w:r>
          </w:p>
        </w:tc>
        <w:tc>
          <w:tcPr>
            <w:tcW w:w="587" w:type="dxa"/>
            <w:vAlign w:val="top"/>
          </w:tcPr>
          <w:p w14:paraId="0E464ED5">
            <w:pPr>
              <w:pStyle w:val="9"/>
              <w:spacing w:before="51" w:line="309" w:lineRule="exact"/>
              <w:ind w:left="92"/>
              <w:jc w:val="center"/>
              <w:rPr>
                <w:rFonts w:hint="eastAsia" w:ascii="仿宋" w:hAnsi="仿宋" w:eastAsia="仿宋" w:cs="仿宋"/>
                <w:sz w:val="18"/>
                <w:szCs w:val="18"/>
              </w:rPr>
            </w:pPr>
            <w:r>
              <w:rPr>
                <w:rFonts w:hint="eastAsia" w:ascii="仿宋" w:hAnsi="仿宋" w:eastAsia="仿宋" w:cs="仿宋"/>
                <w:spacing w:val="-3"/>
                <w:position w:val="8"/>
                <w:sz w:val="18"/>
                <w:szCs w:val="18"/>
              </w:rPr>
              <w:t>保养</w:t>
            </w:r>
          </w:p>
          <w:p w14:paraId="768C8A06">
            <w:pPr>
              <w:pStyle w:val="9"/>
              <w:spacing w:line="219" w:lineRule="auto"/>
              <w:ind w:left="151"/>
              <w:jc w:val="center"/>
              <w:rPr>
                <w:rFonts w:hint="eastAsia" w:ascii="仿宋" w:hAnsi="仿宋" w:eastAsia="仿宋" w:cs="仿宋"/>
                <w:sz w:val="18"/>
                <w:szCs w:val="18"/>
              </w:rPr>
            </w:pPr>
            <w:r>
              <w:rPr>
                <w:rFonts w:hint="eastAsia" w:ascii="仿宋" w:hAnsi="仿宋" w:eastAsia="仿宋" w:cs="仿宋"/>
                <w:spacing w:val="-3"/>
                <w:sz w:val="18"/>
                <w:szCs w:val="18"/>
              </w:rPr>
              <w:t>质检</w:t>
            </w:r>
          </w:p>
        </w:tc>
        <w:tc>
          <w:tcPr>
            <w:tcW w:w="4336" w:type="dxa"/>
            <w:vAlign w:val="top"/>
          </w:tcPr>
          <w:p w14:paraId="04E953AC">
            <w:pPr>
              <w:pStyle w:val="9"/>
              <w:spacing w:before="41" w:line="257" w:lineRule="auto"/>
              <w:ind w:left="102" w:right="192"/>
              <w:jc w:val="center"/>
              <w:rPr>
                <w:rFonts w:hint="eastAsia" w:ascii="仿宋" w:hAnsi="仿宋" w:eastAsia="仿宋" w:cs="仿宋"/>
                <w:sz w:val="18"/>
                <w:szCs w:val="18"/>
              </w:rPr>
            </w:pPr>
            <w:r>
              <w:rPr>
                <w:rFonts w:hint="eastAsia" w:ascii="仿宋" w:hAnsi="仿宋" w:eastAsia="仿宋" w:cs="仿宋"/>
                <w:spacing w:val="-1"/>
                <w:sz w:val="18"/>
                <w:szCs w:val="18"/>
              </w:rPr>
              <w:t>按规定和要求完成设备保养和质检工作，保障设备的正常运转</w:t>
            </w:r>
          </w:p>
        </w:tc>
        <w:tc>
          <w:tcPr>
            <w:tcW w:w="933" w:type="dxa"/>
            <w:vAlign w:val="top"/>
          </w:tcPr>
          <w:p w14:paraId="77AE3BB9">
            <w:pPr>
              <w:pStyle w:val="9"/>
              <w:spacing w:before="121" w:line="184" w:lineRule="auto"/>
              <w:ind w:left="336"/>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999" w:type="dxa"/>
            <w:vAlign w:val="top"/>
          </w:tcPr>
          <w:p w14:paraId="6A536E50">
            <w:pPr>
              <w:jc w:val="center"/>
              <w:rPr>
                <w:rFonts w:hint="eastAsia" w:ascii="仿宋" w:hAnsi="仿宋" w:eastAsia="仿宋" w:cs="仿宋"/>
                <w:sz w:val="18"/>
                <w:szCs w:val="18"/>
              </w:rPr>
            </w:pPr>
          </w:p>
        </w:tc>
      </w:tr>
      <w:tr w14:paraId="3C55D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8" w:hRule="atLeast"/>
        </w:trPr>
        <w:tc>
          <w:tcPr>
            <w:tcW w:w="1009" w:type="dxa"/>
            <w:vMerge w:val="continue"/>
            <w:tcBorders>
              <w:top w:val="nil"/>
            </w:tcBorders>
            <w:vAlign w:val="top"/>
          </w:tcPr>
          <w:p w14:paraId="7C863A8B">
            <w:pPr>
              <w:jc w:val="center"/>
              <w:rPr>
                <w:rFonts w:hint="eastAsia" w:ascii="仿宋" w:hAnsi="仿宋" w:eastAsia="仿宋" w:cs="仿宋"/>
                <w:sz w:val="18"/>
                <w:szCs w:val="18"/>
              </w:rPr>
            </w:pPr>
          </w:p>
        </w:tc>
        <w:tc>
          <w:tcPr>
            <w:tcW w:w="352" w:type="dxa"/>
            <w:vAlign w:val="top"/>
          </w:tcPr>
          <w:p w14:paraId="676355AC">
            <w:pPr>
              <w:pStyle w:val="9"/>
              <w:spacing w:before="114" w:line="182" w:lineRule="auto"/>
              <w:ind w:left="150"/>
              <w:jc w:val="center"/>
              <w:rPr>
                <w:rFonts w:hint="eastAsia" w:ascii="仿宋" w:hAnsi="仿宋" w:eastAsia="仿宋" w:cs="仿宋"/>
                <w:sz w:val="18"/>
                <w:szCs w:val="18"/>
              </w:rPr>
            </w:pPr>
            <w:r>
              <w:rPr>
                <w:rFonts w:hint="eastAsia" w:ascii="仿宋" w:hAnsi="仿宋" w:eastAsia="仿宋" w:cs="仿宋"/>
                <w:sz w:val="18"/>
                <w:szCs w:val="18"/>
              </w:rPr>
              <w:t>5</w:t>
            </w:r>
          </w:p>
        </w:tc>
        <w:tc>
          <w:tcPr>
            <w:tcW w:w="587" w:type="dxa"/>
            <w:vAlign w:val="top"/>
          </w:tcPr>
          <w:p w14:paraId="7C7E7F91">
            <w:pPr>
              <w:pStyle w:val="9"/>
              <w:spacing w:before="42" w:line="309" w:lineRule="exact"/>
              <w:ind w:left="151"/>
              <w:jc w:val="center"/>
              <w:rPr>
                <w:rFonts w:hint="eastAsia" w:ascii="仿宋" w:hAnsi="仿宋" w:eastAsia="仿宋" w:cs="仿宋"/>
                <w:sz w:val="18"/>
                <w:szCs w:val="18"/>
              </w:rPr>
            </w:pPr>
            <w:r>
              <w:rPr>
                <w:rFonts w:hint="eastAsia" w:ascii="仿宋" w:hAnsi="仿宋" w:eastAsia="仿宋" w:cs="仿宋"/>
                <w:spacing w:val="-3"/>
                <w:position w:val="7"/>
                <w:sz w:val="18"/>
                <w:szCs w:val="18"/>
              </w:rPr>
              <w:t>工单</w:t>
            </w:r>
          </w:p>
          <w:p w14:paraId="722DBFDC">
            <w:pPr>
              <w:pStyle w:val="9"/>
              <w:spacing w:line="219" w:lineRule="auto"/>
              <w:ind w:left="151"/>
              <w:jc w:val="center"/>
              <w:rPr>
                <w:rFonts w:hint="eastAsia" w:ascii="仿宋" w:hAnsi="仿宋" w:eastAsia="仿宋" w:cs="仿宋"/>
                <w:sz w:val="18"/>
                <w:szCs w:val="18"/>
              </w:rPr>
            </w:pPr>
            <w:r>
              <w:rPr>
                <w:rFonts w:hint="eastAsia" w:ascii="仿宋" w:hAnsi="仿宋" w:eastAsia="仿宋" w:cs="仿宋"/>
                <w:spacing w:val="-4"/>
                <w:sz w:val="18"/>
                <w:szCs w:val="18"/>
              </w:rPr>
              <w:t>管理</w:t>
            </w:r>
          </w:p>
        </w:tc>
        <w:tc>
          <w:tcPr>
            <w:tcW w:w="4336" w:type="dxa"/>
            <w:vAlign w:val="top"/>
          </w:tcPr>
          <w:p w14:paraId="40EDCE0F">
            <w:pPr>
              <w:pStyle w:val="9"/>
              <w:spacing w:before="41" w:line="261" w:lineRule="auto"/>
              <w:ind w:left="102" w:right="190"/>
              <w:jc w:val="center"/>
              <w:rPr>
                <w:rFonts w:hint="eastAsia" w:ascii="仿宋" w:hAnsi="仿宋" w:eastAsia="仿宋" w:cs="仿宋"/>
                <w:sz w:val="18"/>
                <w:szCs w:val="18"/>
              </w:rPr>
            </w:pPr>
            <w:r>
              <w:rPr>
                <w:rFonts w:hint="eastAsia" w:ascii="仿宋" w:hAnsi="仿宋" w:eastAsia="仿宋" w:cs="仿宋"/>
                <w:spacing w:val="-1"/>
                <w:sz w:val="18"/>
                <w:szCs w:val="18"/>
              </w:rPr>
              <w:t>服务完成有完整的纸质或电子版工单报告，按照科室要求做好服务记</w:t>
            </w:r>
            <w:r>
              <w:rPr>
                <w:rFonts w:hint="eastAsia" w:ascii="仿宋" w:hAnsi="仿宋" w:eastAsia="仿宋" w:cs="仿宋"/>
                <w:spacing w:val="4"/>
                <w:sz w:val="18"/>
                <w:szCs w:val="18"/>
              </w:rPr>
              <w:t xml:space="preserve"> </w:t>
            </w:r>
            <w:r>
              <w:rPr>
                <w:rFonts w:hint="eastAsia" w:ascii="仿宋" w:hAnsi="仿宋" w:eastAsia="仿宋" w:cs="仿宋"/>
                <w:spacing w:val="1"/>
                <w:sz w:val="18"/>
                <w:szCs w:val="18"/>
              </w:rPr>
              <w:t>录，按规范要求进行归档</w:t>
            </w:r>
          </w:p>
        </w:tc>
        <w:tc>
          <w:tcPr>
            <w:tcW w:w="933" w:type="dxa"/>
            <w:vAlign w:val="top"/>
          </w:tcPr>
          <w:p w14:paraId="5766E2F9">
            <w:pPr>
              <w:pStyle w:val="9"/>
              <w:spacing w:before="122" w:line="184" w:lineRule="auto"/>
              <w:ind w:left="336"/>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999" w:type="dxa"/>
            <w:vAlign w:val="top"/>
          </w:tcPr>
          <w:p w14:paraId="30E41265">
            <w:pPr>
              <w:jc w:val="center"/>
              <w:rPr>
                <w:rFonts w:hint="eastAsia" w:ascii="仿宋" w:hAnsi="仿宋" w:eastAsia="仿宋" w:cs="仿宋"/>
                <w:sz w:val="18"/>
                <w:szCs w:val="18"/>
              </w:rPr>
            </w:pPr>
          </w:p>
        </w:tc>
      </w:tr>
      <w:tr w14:paraId="3D931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1009" w:type="dxa"/>
            <w:vMerge w:val="restart"/>
            <w:tcBorders>
              <w:bottom w:val="nil"/>
            </w:tcBorders>
            <w:vAlign w:val="top"/>
          </w:tcPr>
          <w:p w14:paraId="5EA5AE1C">
            <w:pPr>
              <w:pStyle w:val="9"/>
              <w:spacing w:before="56" w:line="252" w:lineRule="auto"/>
              <w:ind w:left="134" w:right="130"/>
              <w:jc w:val="center"/>
              <w:rPr>
                <w:rFonts w:hint="eastAsia" w:ascii="仿宋" w:hAnsi="仿宋" w:eastAsia="仿宋" w:cs="仿宋"/>
                <w:sz w:val="18"/>
                <w:szCs w:val="18"/>
              </w:rPr>
            </w:pPr>
            <w:r>
              <w:rPr>
                <w:rFonts w:hint="eastAsia" w:ascii="仿宋" w:hAnsi="仿宋" w:eastAsia="仿宋" w:cs="仿宋"/>
                <w:spacing w:val="4"/>
                <w:sz w:val="18"/>
                <w:szCs w:val="18"/>
              </w:rPr>
              <w:t>响应</w:t>
            </w:r>
            <w:r>
              <w:rPr>
                <w:rFonts w:hint="eastAsia" w:ascii="仿宋" w:hAnsi="仿宋" w:eastAsia="仿宋" w:cs="仿宋"/>
                <w:sz w:val="18"/>
                <w:szCs w:val="18"/>
              </w:rPr>
              <w:t xml:space="preserve"> </w:t>
            </w:r>
            <w:r>
              <w:rPr>
                <w:rFonts w:hint="eastAsia" w:ascii="仿宋" w:hAnsi="仿宋" w:eastAsia="仿宋" w:cs="仿宋"/>
                <w:spacing w:val="-2"/>
                <w:sz w:val="18"/>
                <w:szCs w:val="18"/>
              </w:rPr>
              <w:t>速度</w:t>
            </w:r>
          </w:p>
        </w:tc>
        <w:tc>
          <w:tcPr>
            <w:tcW w:w="352" w:type="dxa"/>
            <w:vAlign w:val="top"/>
          </w:tcPr>
          <w:p w14:paraId="6F7454BD">
            <w:pPr>
              <w:pStyle w:val="9"/>
              <w:spacing w:before="124" w:line="183" w:lineRule="auto"/>
              <w:ind w:left="150"/>
              <w:jc w:val="center"/>
              <w:rPr>
                <w:rFonts w:hint="eastAsia" w:ascii="仿宋" w:hAnsi="仿宋" w:eastAsia="仿宋" w:cs="仿宋"/>
                <w:sz w:val="18"/>
                <w:szCs w:val="18"/>
              </w:rPr>
            </w:pPr>
            <w:r>
              <w:rPr>
                <w:rFonts w:hint="eastAsia" w:ascii="仿宋" w:hAnsi="仿宋" w:eastAsia="仿宋" w:cs="仿宋"/>
                <w:sz w:val="18"/>
                <w:szCs w:val="18"/>
              </w:rPr>
              <w:t>6</w:t>
            </w:r>
          </w:p>
        </w:tc>
        <w:tc>
          <w:tcPr>
            <w:tcW w:w="587" w:type="dxa"/>
            <w:vAlign w:val="top"/>
          </w:tcPr>
          <w:p w14:paraId="34707CE4">
            <w:pPr>
              <w:pStyle w:val="9"/>
              <w:spacing w:before="55" w:line="320" w:lineRule="exact"/>
              <w:ind w:left="151"/>
              <w:jc w:val="center"/>
              <w:rPr>
                <w:rFonts w:hint="eastAsia" w:ascii="仿宋" w:hAnsi="仿宋" w:eastAsia="仿宋" w:cs="仿宋"/>
                <w:sz w:val="18"/>
                <w:szCs w:val="18"/>
              </w:rPr>
            </w:pPr>
            <w:r>
              <w:rPr>
                <w:rFonts w:hint="eastAsia" w:ascii="仿宋" w:hAnsi="仿宋" w:eastAsia="仿宋" w:cs="仿宋"/>
                <w:spacing w:val="4"/>
                <w:position w:val="8"/>
                <w:sz w:val="18"/>
                <w:szCs w:val="18"/>
              </w:rPr>
              <w:t>响应</w:t>
            </w:r>
          </w:p>
          <w:p w14:paraId="13923A93">
            <w:pPr>
              <w:pStyle w:val="9"/>
              <w:spacing w:line="221" w:lineRule="auto"/>
              <w:ind w:left="101"/>
              <w:jc w:val="center"/>
              <w:rPr>
                <w:rFonts w:hint="eastAsia" w:ascii="仿宋" w:hAnsi="仿宋" w:eastAsia="仿宋" w:cs="仿宋"/>
                <w:sz w:val="18"/>
                <w:szCs w:val="18"/>
              </w:rPr>
            </w:pPr>
            <w:r>
              <w:rPr>
                <w:rFonts w:hint="eastAsia" w:ascii="仿宋" w:hAnsi="仿宋" w:eastAsia="仿宋" w:cs="仿宋"/>
                <w:spacing w:val="-2"/>
                <w:sz w:val="18"/>
                <w:szCs w:val="18"/>
              </w:rPr>
              <w:t>及时</w:t>
            </w:r>
          </w:p>
        </w:tc>
        <w:tc>
          <w:tcPr>
            <w:tcW w:w="4336" w:type="dxa"/>
            <w:vAlign w:val="top"/>
          </w:tcPr>
          <w:p w14:paraId="2CC249F7">
            <w:pPr>
              <w:pStyle w:val="9"/>
              <w:spacing w:before="42" w:line="262" w:lineRule="auto"/>
              <w:ind w:left="102" w:right="169"/>
              <w:jc w:val="center"/>
              <w:rPr>
                <w:rFonts w:hint="eastAsia" w:ascii="仿宋" w:hAnsi="仿宋" w:eastAsia="仿宋" w:cs="仿宋"/>
                <w:sz w:val="18"/>
                <w:szCs w:val="18"/>
              </w:rPr>
            </w:pPr>
            <w:r>
              <w:rPr>
                <w:rFonts w:hint="eastAsia" w:ascii="仿宋" w:hAnsi="仿宋" w:eastAsia="仿宋" w:cs="仿宋"/>
                <w:sz w:val="18"/>
                <w:szCs w:val="18"/>
              </w:rPr>
              <w:t>接到报修及时响应，按规定时间到</w:t>
            </w:r>
            <w:r>
              <w:rPr>
                <w:rFonts w:hint="eastAsia" w:ascii="仿宋" w:hAnsi="仿宋" w:eastAsia="仿宋" w:cs="仿宋"/>
                <w:spacing w:val="-2"/>
                <w:sz w:val="18"/>
                <w:szCs w:val="18"/>
              </w:rPr>
              <w:t>场处理故障</w:t>
            </w:r>
          </w:p>
        </w:tc>
        <w:tc>
          <w:tcPr>
            <w:tcW w:w="933" w:type="dxa"/>
            <w:vAlign w:val="top"/>
          </w:tcPr>
          <w:p w14:paraId="340A17CE">
            <w:pPr>
              <w:pStyle w:val="9"/>
              <w:spacing w:before="133" w:line="184" w:lineRule="auto"/>
              <w:ind w:left="336"/>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999" w:type="dxa"/>
            <w:vAlign w:val="top"/>
          </w:tcPr>
          <w:p w14:paraId="6D549FBF">
            <w:pPr>
              <w:jc w:val="center"/>
              <w:rPr>
                <w:rFonts w:hint="eastAsia" w:ascii="仿宋" w:hAnsi="仿宋" w:eastAsia="仿宋" w:cs="仿宋"/>
                <w:sz w:val="18"/>
                <w:szCs w:val="18"/>
              </w:rPr>
            </w:pPr>
          </w:p>
        </w:tc>
      </w:tr>
      <w:tr w14:paraId="0087B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1009" w:type="dxa"/>
            <w:vMerge w:val="continue"/>
            <w:tcBorders>
              <w:top w:val="nil"/>
            </w:tcBorders>
            <w:vAlign w:val="top"/>
          </w:tcPr>
          <w:p w14:paraId="6F86C61C">
            <w:pPr>
              <w:jc w:val="center"/>
              <w:rPr>
                <w:rFonts w:hint="eastAsia" w:ascii="仿宋" w:hAnsi="仿宋" w:eastAsia="仿宋" w:cs="仿宋"/>
                <w:sz w:val="18"/>
                <w:szCs w:val="18"/>
              </w:rPr>
            </w:pPr>
          </w:p>
        </w:tc>
        <w:tc>
          <w:tcPr>
            <w:tcW w:w="352" w:type="dxa"/>
            <w:vAlign w:val="top"/>
          </w:tcPr>
          <w:p w14:paraId="782EA2E8">
            <w:pPr>
              <w:pStyle w:val="9"/>
              <w:spacing w:before="106" w:line="182" w:lineRule="auto"/>
              <w:ind w:left="150"/>
              <w:jc w:val="center"/>
              <w:rPr>
                <w:rFonts w:hint="eastAsia" w:ascii="仿宋" w:hAnsi="仿宋" w:eastAsia="仿宋" w:cs="仿宋"/>
                <w:sz w:val="18"/>
                <w:szCs w:val="18"/>
              </w:rPr>
            </w:pPr>
            <w:r>
              <w:rPr>
                <w:rFonts w:hint="eastAsia" w:ascii="仿宋" w:hAnsi="仿宋" w:eastAsia="仿宋" w:cs="仿宋"/>
                <w:sz w:val="18"/>
                <w:szCs w:val="18"/>
              </w:rPr>
              <w:t>7</w:t>
            </w:r>
          </w:p>
        </w:tc>
        <w:tc>
          <w:tcPr>
            <w:tcW w:w="587" w:type="dxa"/>
            <w:vAlign w:val="top"/>
          </w:tcPr>
          <w:p w14:paraId="6AF28D57">
            <w:pPr>
              <w:pStyle w:val="9"/>
              <w:spacing w:before="33" w:line="321" w:lineRule="exact"/>
              <w:ind w:left="151"/>
              <w:jc w:val="center"/>
              <w:rPr>
                <w:rFonts w:hint="eastAsia" w:ascii="仿宋" w:hAnsi="仿宋" w:eastAsia="仿宋" w:cs="仿宋"/>
                <w:sz w:val="18"/>
                <w:szCs w:val="18"/>
              </w:rPr>
            </w:pPr>
            <w:r>
              <w:rPr>
                <w:rFonts w:hint="eastAsia" w:ascii="仿宋" w:hAnsi="仿宋" w:eastAsia="仿宋" w:cs="仿宋"/>
                <w:spacing w:val="-3"/>
                <w:position w:val="8"/>
                <w:sz w:val="18"/>
                <w:szCs w:val="18"/>
              </w:rPr>
              <w:t>备件</w:t>
            </w:r>
          </w:p>
          <w:p w14:paraId="77E9A9C4">
            <w:pPr>
              <w:pStyle w:val="9"/>
              <w:spacing w:line="220" w:lineRule="auto"/>
              <w:ind w:left="151"/>
              <w:jc w:val="center"/>
              <w:rPr>
                <w:rFonts w:hint="eastAsia" w:ascii="仿宋" w:hAnsi="仿宋" w:eastAsia="仿宋" w:cs="仿宋"/>
                <w:sz w:val="18"/>
                <w:szCs w:val="18"/>
              </w:rPr>
            </w:pPr>
            <w:r>
              <w:rPr>
                <w:rFonts w:hint="eastAsia" w:ascii="仿宋" w:hAnsi="仿宋" w:eastAsia="仿宋" w:cs="仿宋"/>
                <w:spacing w:val="-2"/>
                <w:sz w:val="18"/>
                <w:szCs w:val="18"/>
              </w:rPr>
              <w:t>速度</w:t>
            </w:r>
          </w:p>
        </w:tc>
        <w:tc>
          <w:tcPr>
            <w:tcW w:w="4336" w:type="dxa"/>
            <w:vAlign w:val="top"/>
          </w:tcPr>
          <w:p w14:paraId="7DE1AF6E">
            <w:pPr>
              <w:pStyle w:val="9"/>
              <w:spacing w:before="43" w:line="253" w:lineRule="auto"/>
              <w:ind w:left="102" w:right="190"/>
              <w:jc w:val="center"/>
              <w:rPr>
                <w:rFonts w:hint="eastAsia" w:ascii="仿宋" w:hAnsi="仿宋" w:eastAsia="仿宋" w:cs="仿宋"/>
                <w:sz w:val="18"/>
                <w:szCs w:val="18"/>
              </w:rPr>
            </w:pPr>
            <w:r>
              <w:rPr>
                <w:rFonts w:hint="eastAsia" w:ascii="仿宋" w:hAnsi="仿宋" w:eastAsia="仿宋" w:cs="仿宋"/>
                <w:spacing w:val="-1"/>
                <w:sz w:val="18"/>
                <w:szCs w:val="18"/>
              </w:rPr>
              <w:t>及时保障维修零备件采购速度，并在要求时间内完成维修</w:t>
            </w:r>
          </w:p>
        </w:tc>
        <w:tc>
          <w:tcPr>
            <w:tcW w:w="933" w:type="dxa"/>
            <w:vAlign w:val="top"/>
          </w:tcPr>
          <w:p w14:paraId="2F28BA64">
            <w:pPr>
              <w:pStyle w:val="9"/>
              <w:spacing w:before="114" w:line="184" w:lineRule="auto"/>
              <w:ind w:left="336"/>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999" w:type="dxa"/>
            <w:vAlign w:val="top"/>
          </w:tcPr>
          <w:p w14:paraId="297D313B">
            <w:pPr>
              <w:jc w:val="center"/>
              <w:rPr>
                <w:rFonts w:hint="eastAsia" w:ascii="仿宋" w:hAnsi="仿宋" w:eastAsia="仿宋" w:cs="仿宋"/>
                <w:sz w:val="18"/>
                <w:szCs w:val="18"/>
              </w:rPr>
            </w:pPr>
          </w:p>
        </w:tc>
      </w:tr>
      <w:tr w14:paraId="58B7E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atLeast"/>
        </w:trPr>
        <w:tc>
          <w:tcPr>
            <w:tcW w:w="1009" w:type="dxa"/>
            <w:vMerge w:val="restart"/>
            <w:tcBorders>
              <w:bottom w:val="nil"/>
            </w:tcBorders>
            <w:vAlign w:val="top"/>
          </w:tcPr>
          <w:p w14:paraId="39BBC05C">
            <w:pPr>
              <w:pStyle w:val="9"/>
              <w:spacing w:before="24" w:line="257" w:lineRule="auto"/>
              <w:ind w:left="134" w:right="121"/>
              <w:jc w:val="center"/>
              <w:rPr>
                <w:rFonts w:hint="eastAsia" w:ascii="仿宋" w:hAnsi="仿宋" w:eastAsia="仿宋" w:cs="仿宋"/>
                <w:sz w:val="18"/>
                <w:szCs w:val="18"/>
              </w:rPr>
            </w:pPr>
            <w:r>
              <w:rPr>
                <w:rFonts w:hint="eastAsia" w:ascii="仿宋" w:hAnsi="仿宋" w:eastAsia="仿宋" w:cs="仿宋"/>
                <w:spacing w:val="-5"/>
                <w:sz w:val="18"/>
                <w:szCs w:val="18"/>
              </w:rPr>
              <w:t>技术</w:t>
            </w:r>
            <w:r>
              <w:rPr>
                <w:rFonts w:hint="eastAsia" w:ascii="仿宋" w:hAnsi="仿宋" w:eastAsia="仿宋" w:cs="仿宋"/>
                <w:sz w:val="18"/>
                <w:szCs w:val="18"/>
              </w:rPr>
              <w:t xml:space="preserve"> </w:t>
            </w:r>
            <w:r>
              <w:rPr>
                <w:rFonts w:hint="eastAsia" w:ascii="仿宋" w:hAnsi="仿宋" w:eastAsia="仿宋" w:cs="仿宋"/>
                <w:spacing w:val="8"/>
                <w:sz w:val="18"/>
                <w:szCs w:val="18"/>
              </w:rPr>
              <w:t>能力</w:t>
            </w:r>
          </w:p>
        </w:tc>
        <w:tc>
          <w:tcPr>
            <w:tcW w:w="352" w:type="dxa"/>
            <w:vAlign w:val="top"/>
          </w:tcPr>
          <w:p w14:paraId="743FD763">
            <w:pPr>
              <w:pStyle w:val="9"/>
              <w:spacing w:before="125" w:line="183" w:lineRule="auto"/>
              <w:ind w:left="150"/>
              <w:jc w:val="center"/>
              <w:rPr>
                <w:rFonts w:hint="eastAsia" w:ascii="仿宋" w:hAnsi="仿宋" w:eastAsia="仿宋" w:cs="仿宋"/>
                <w:sz w:val="18"/>
                <w:szCs w:val="18"/>
              </w:rPr>
            </w:pPr>
            <w:r>
              <w:rPr>
                <w:rFonts w:hint="eastAsia" w:ascii="仿宋" w:hAnsi="仿宋" w:eastAsia="仿宋" w:cs="仿宋"/>
                <w:sz w:val="18"/>
                <w:szCs w:val="18"/>
              </w:rPr>
              <w:t>8</w:t>
            </w:r>
          </w:p>
        </w:tc>
        <w:tc>
          <w:tcPr>
            <w:tcW w:w="587" w:type="dxa"/>
            <w:vAlign w:val="top"/>
          </w:tcPr>
          <w:p w14:paraId="7A475BA3">
            <w:pPr>
              <w:pStyle w:val="9"/>
              <w:spacing w:before="43" w:line="311" w:lineRule="exact"/>
              <w:ind w:left="151"/>
              <w:jc w:val="center"/>
              <w:rPr>
                <w:rFonts w:hint="eastAsia" w:ascii="仿宋" w:hAnsi="仿宋" w:eastAsia="仿宋" w:cs="仿宋"/>
                <w:sz w:val="18"/>
                <w:szCs w:val="18"/>
              </w:rPr>
            </w:pPr>
            <w:r>
              <w:rPr>
                <w:rFonts w:hint="eastAsia" w:ascii="仿宋" w:hAnsi="仿宋" w:eastAsia="仿宋" w:cs="仿宋"/>
                <w:spacing w:val="-2"/>
                <w:position w:val="8"/>
                <w:sz w:val="18"/>
                <w:szCs w:val="18"/>
              </w:rPr>
              <w:t>服务</w:t>
            </w:r>
          </w:p>
          <w:p w14:paraId="402B7385">
            <w:pPr>
              <w:pStyle w:val="9"/>
              <w:spacing w:line="216" w:lineRule="auto"/>
              <w:ind w:left="151"/>
              <w:jc w:val="center"/>
              <w:rPr>
                <w:rFonts w:hint="eastAsia" w:ascii="仿宋" w:hAnsi="仿宋" w:eastAsia="仿宋" w:cs="仿宋"/>
                <w:sz w:val="18"/>
                <w:szCs w:val="18"/>
              </w:rPr>
            </w:pPr>
            <w:r>
              <w:rPr>
                <w:rFonts w:hint="eastAsia" w:ascii="仿宋" w:hAnsi="仿宋" w:eastAsia="仿宋" w:cs="仿宋"/>
                <w:spacing w:val="8"/>
                <w:sz w:val="18"/>
                <w:szCs w:val="18"/>
              </w:rPr>
              <w:t>能力</w:t>
            </w:r>
          </w:p>
        </w:tc>
        <w:tc>
          <w:tcPr>
            <w:tcW w:w="4336" w:type="dxa"/>
            <w:vAlign w:val="top"/>
          </w:tcPr>
          <w:p w14:paraId="4D298865">
            <w:pPr>
              <w:pStyle w:val="9"/>
              <w:spacing w:before="52" w:line="219" w:lineRule="auto"/>
              <w:ind w:left="102"/>
              <w:jc w:val="center"/>
              <w:rPr>
                <w:rFonts w:hint="eastAsia" w:ascii="仿宋" w:hAnsi="仿宋" w:eastAsia="仿宋" w:cs="仿宋"/>
                <w:sz w:val="18"/>
                <w:szCs w:val="18"/>
              </w:rPr>
            </w:pPr>
            <w:r>
              <w:rPr>
                <w:rFonts w:hint="eastAsia" w:ascii="仿宋" w:hAnsi="仿宋" w:eastAsia="仿宋" w:cs="仿宋"/>
                <w:spacing w:val="-1"/>
                <w:sz w:val="18"/>
                <w:szCs w:val="18"/>
              </w:rPr>
              <w:t>工程师对自己负责科室设备的熟练</w:t>
            </w:r>
          </w:p>
        </w:tc>
        <w:tc>
          <w:tcPr>
            <w:tcW w:w="933" w:type="dxa"/>
            <w:vAlign w:val="top"/>
          </w:tcPr>
          <w:p w14:paraId="420DAE56">
            <w:pPr>
              <w:pStyle w:val="9"/>
              <w:spacing w:before="114" w:line="184" w:lineRule="auto"/>
              <w:ind w:left="336"/>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999" w:type="dxa"/>
            <w:vAlign w:val="top"/>
          </w:tcPr>
          <w:p w14:paraId="7A6BD51C">
            <w:pPr>
              <w:jc w:val="center"/>
              <w:rPr>
                <w:rFonts w:hint="eastAsia" w:ascii="仿宋" w:hAnsi="仿宋" w:eastAsia="仿宋" w:cs="仿宋"/>
                <w:sz w:val="18"/>
                <w:szCs w:val="18"/>
              </w:rPr>
            </w:pPr>
          </w:p>
        </w:tc>
      </w:tr>
      <w:tr w14:paraId="0033D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7" w:hRule="atLeast"/>
        </w:trPr>
        <w:tc>
          <w:tcPr>
            <w:tcW w:w="1009" w:type="dxa"/>
            <w:vMerge w:val="continue"/>
            <w:tcBorders>
              <w:top w:val="nil"/>
            </w:tcBorders>
            <w:vAlign w:val="top"/>
          </w:tcPr>
          <w:p w14:paraId="476A98C4">
            <w:pPr>
              <w:jc w:val="center"/>
              <w:rPr>
                <w:rFonts w:hint="eastAsia" w:ascii="仿宋" w:hAnsi="仿宋" w:eastAsia="仿宋" w:cs="仿宋"/>
                <w:sz w:val="18"/>
                <w:szCs w:val="18"/>
              </w:rPr>
            </w:pPr>
          </w:p>
        </w:tc>
        <w:tc>
          <w:tcPr>
            <w:tcW w:w="352" w:type="dxa"/>
            <w:vAlign w:val="top"/>
          </w:tcPr>
          <w:p w14:paraId="483B0AA0">
            <w:pPr>
              <w:pStyle w:val="9"/>
              <w:spacing w:before="126" w:line="183" w:lineRule="auto"/>
              <w:ind w:left="150"/>
              <w:jc w:val="center"/>
              <w:rPr>
                <w:rFonts w:hint="eastAsia" w:ascii="仿宋" w:hAnsi="仿宋" w:eastAsia="仿宋" w:cs="仿宋"/>
                <w:sz w:val="18"/>
                <w:szCs w:val="18"/>
              </w:rPr>
            </w:pPr>
            <w:r>
              <w:rPr>
                <w:rFonts w:hint="eastAsia" w:ascii="仿宋" w:hAnsi="仿宋" w:eastAsia="仿宋" w:cs="仿宋"/>
                <w:sz w:val="18"/>
                <w:szCs w:val="18"/>
              </w:rPr>
              <w:t>9</w:t>
            </w:r>
          </w:p>
        </w:tc>
        <w:tc>
          <w:tcPr>
            <w:tcW w:w="587" w:type="dxa"/>
            <w:vAlign w:val="top"/>
          </w:tcPr>
          <w:p w14:paraId="6ADD2363">
            <w:pPr>
              <w:pStyle w:val="9"/>
              <w:spacing w:before="35" w:line="330" w:lineRule="exact"/>
              <w:ind w:left="151"/>
              <w:jc w:val="center"/>
              <w:rPr>
                <w:rFonts w:hint="eastAsia" w:ascii="仿宋" w:hAnsi="仿宋" w:eastAsia="仿宋" w:cs="仿宋"/>
                <w:sz w:val="18"/>
                <w:szCs w:val="18"/>
              </w:rPr>
            </w:pPr>
            <w:r>
              <w:rPr>
                <w:rFonts w:hint="eastAsia" w:ascii="仿宋" w:hAnsi="仿宋" w:eastAsia="仿宋" w:cs="仿宋"/>
                <w:spacing w:val="-2"/>
                <w:position w:val="9"/>
                <w:sz w:val="18"/>
                <w:szCs w:val="18"/>
              </w:rPr>
              <w:t>修理</w:t>
            </w:r>
          </w:p>
          <w:p w14:paraId="4EC4606E">
            <w:pPr>
              <w:pStyle w:val="9"/>
              <w:spacing w:line="220" w:lineRule="auto"/>
              <w:ind w:left="151"/>
              <w:jc w:val="center"/>
              <w:rPr>
                <w:rFonts w:hint="eastAsia" w:ascii="仿宋" w:hAnsi="仿宋" w:eastAsia="仿宋" w:cs="仿宋"/>
                <w:sz w:val="18"/>
                <w:szCs w:val="18"/>
              </w:rPr>
            </w:pPr>
            <w:r>
              <w:rPr>
                <w:rFonts w:hint="eastAsia" w:ascii="仿宋" w:hAnsi="仿宋" w:eastAsia="仿宋" w:cs="仿宋"/>
                <w:spacing w:val="-3"/>
                <w:sz w:val="18"/>
                <w:szCs w:val="18"/>
              </w:rPr>
              <w:t>方案</w:t>
            </w:r>
          </w:p>
        </w:tc>
        <w:tc>
          <w:tcPr>
            <w:tcW w:w="4336" w:type="dxa"/>
            <w:vAlign w:val="top"/>
          </w:tcPr>
          <w:p w14:paraId="62DB3654">
            <w:pPr>
              <w:pStyle w:val="9"/>
              <w:spacing w:before="43" w:line="274" w:lineRule="auto"/>
              <w:ind w:left="102" w:right="171"/>
              <w:jc w:val="center"/>
              <w:rPr>
                <w:rFonts w:hint="eastAsia" w:ascii="仿宋" w:hAnsi="仿宋" w:eastAsia="仿宋" w:cs="仿宋"/>
                <w:sz w:val="18"/>
                <w:szCs w:val="18"/>
              </w:rPr>
            </w:pPr>
            <w:r>
              <w:rPr>
                <w:rFonts w:hint="eastAsia" w:ascii="仿宋" w:hAnsi="仿宋" w:eastAsia="仿宋" w:cs="仿宋"/>
                <w:spacing w:val="-1"/>
                <w:sz w:val="18"/>
                <w:szCs w:val="18"/>
              </w:rPr>
              <w:t>现场及时正确地判断故障，迅速合</w:t>
            </w:r>
            <w:r>
              <w:rPr>
                <w:rFonts w:hint="eastAsia" w:ascii="仿宋" w:hAnsi="仿宋" w:eastAsia="仿宋" w:cs="仿宋"/>
                <w:sz w:val="18"/>
                <w:szCs w:val="18"/>
              </w:rPr>
              <w:t>理地确定修理方案，保障设备的正</w:t>
            </w:r>
            <w:r>
              <w:rPr>
                <w:rFonts w:hint="eastAsia" w:ascii="仿宋" w:hAnsi="仿宋" w:eastAsia="仿宋" w:cs="仿宋"/>
                <w:spacing w:val="10"/>
                <w:sz w:val="18"/>
                <w:szCs w:val="18"/>
              </w:rPr>
              <w:t xml:space="preserve"> </w:t>
            </w:r>
            <w:r>
              <w:rPr>
                <w:rFonts w:hint="eastAsia" w:ascii="仿宋" w:hAnsi="仿宋" w:eastAsia="仿宋" w:cs="仿宋"/>
                <w:spacing w:val="2"/>
                <w:sz w:val="18"/>
                <w:szCs w:val="18"/>
              </w:rPr>
              <w:t>常运转</w:t>
            </w:r>
          </w:p>
        </w:tc>
        <w:tc>
          <w:tcPr>
            <w:tcW w:w="933" w:type="dxa"/>
            <w:vAlign w:val="top"/>
          </w:tcPr>
          <w:p w14:paraId="32CE2465">
            <w:pPr>
              <w:pStyle w:val="9"/>
              <w:spacing w:before="135" w:line="184" w:lineRule="auto"/>
              <w:ind w:left="336"/>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999" w:type="dxa"/>
            <w:vAlign w:val="top"/>
          </w:tcPr>
          <w:p w14:paraId="6FDAA60C">
            <w:pPr>
              <w:jc w:val="center"/>
              <w:rPr>
                <w:rFonts w:hint="eastAsia" w:ascii="仿宋" w:hAnsi="仿宋" w:eastAsia="仿宋" w:cs="仿宋"/>
                <w:sz w:val="18"/>
                <w:szCs w:val="18"/>
              </w:rPr>
            </w:pPr>
          </w:p>
        </w:tc>
      </w:tr>
      <w:tr w14:paraId="572F1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1" w:hRule="atLeast"/>
        </w:trPr>
        <w:tc>
          <w:tcPr>
            <w:tcW w:w="1009" w:type="dxa"/>
            <w:vAlign w:val="top"/>
          </w:tcPr>
          <w:p w14:paraId="6814E638">
            <w:pPr>
              <w:pStyle w:val="9"/>
              <w:spacing w:before="56" w:line="309" w:lineRule="exact"/>
              <w:ind w:left="134"/>
              <w:jc w:val="center"/>
              <w:rPr>
                <w:rFonts w:hint="eastAsia" w:ascii="仿宋" w:hAnsi="仿宋" w:eastAsia="仿宋" w:cs="仿宋"/>
                <w:sz w:val="18"/>
                <w:szCs w:val="18"/>
              </w:rPr>
            </w:pPr>
            <w:r>
              <w:rPr>
                <w:rFonts w:hint="eastAsia" w:ascii="仿宋" w:hAnsi="仿宋" w:eastAsia="仿宋" w:cs="仿宋"/>
                <w:spacing w:val="-2"/>
                <w:position w:val="8"/>
                <w:sz w:val="18"/>
                <w:szCs w:val="18"/>
              </w:rPr>
              <w:t>沟通</w:t>
            </w:r>
          </w:p>
          <w:p w14:paraId="57A88BA3">
            <w:pPr>
              <w:pStyle w:val="9"/>
              <w:spacing w:line="219" w:lineRule="auto"/>
              <w:ind w:left="134"/>
              <w:jc w:val="center"/>
              <w:rPr>
                <w:rFonts w:hint="eastAsia" w:ascii="仿宋" w:hAnsi="仿宋" w:eastAsia="仿宋" w:cs="仿宋"/>
                <w:sz w:val="18"/>
                <w:szCs w:val="18"/>
              </w:rPr>
            </w:pPr>
            <w:r>
              <w:rPr>
                <w:rFonts w:hint="eastAsia" w:ascii="仿宋" w:hAnsi="仿宋" w:eastAsia="仿宋" w:cs="仿宋"/>
                <w:spacing w:val="-2"/>
                <w:sz w:val="18"/>
                <w:szCs w:val="18"/>
              </w:rPr>
              <w:t>汇报</w:t>
            </w:r>
          </w:p>
        </w:tc>
        <w:tc>
          <w:tcPr>
            <w:tcW w:w="352" w:type="dxa"/>
            <w:vAlign w:val="top"/>
          </w:tcPr>
          <w:p w14:paraId="3BBB1684">
            <w:pPr>
              <w:pStyle w:val="9"/>
              <w:spacing w:before="126" w:line="184" w:lineRule="auto"/>
              <w:ind w:left="100"/>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587" w:type="dxa"/>
            <w:vAlign w:val="top"/>
          </w:tcPr>
          <w:p w14:paraId="6A3B774F">
            <w:pPr>
              <w:pStyle w:val="9"/>
              <w:spacing w:before="46" w:line="330" w:lineRule="exact"/>
              <w:ind w:left="151"/>
              <w:jc w:val="center"/>
              <w:rPr>
                <w:rFonts w:hint="eastAsia" w:ascii="仿宋" w:hAnsi="仿宋" w:eastAsia="仿宋" w:cs="仿宋"/>
                <w:sz w:val="18"/>
                <w:szCs w:val="18"/>
              </w:rPr>
            </w:pPr>
            <w:r>
              <w:rPr>
                <w:rFonts w:hint="eastAsia" w:ascii="仿宋" w:hAnsi="仿宋" w:eastAsia="仿宋" w:cs="仿宋"/>
                <w:spacing w:val="-2"/>
                <w:position w:val="9"/>
                <w:sz w:val="18"/>
                <w:szCs w:val="18"/>
              </w:rPr>
              <w:t>沟通</w:t>
            </w:r>
          </w:p>
          <w:p w14:paraId="7B308F18">
            <w:pPr>
              <w:pStyle w:val="9"/>
              <w:spacing w:line="219" w:lineRule="auto"/>
              <w:ind w:left="92"/>
              <w:jc w:val="center"/>
              <w:rPr>
                <w:rFonts w:hint="eastAsia" w:ascii="仿宋" w:hAnsi="仿宋" w:eastAsia="仿宋" w:cs="仿宋"/>
                <w:sz w:val="18"/>
                <w:szCs w:val="18"/>
              </w:rPr>
            </w:pPr>
            <w:r>
              <w:rPr>
                <w:rFonts w:hint="eastAsia" w:ascii="仿宋" w:hAnsi="仿宋" w:eastAsia="仿宋" w:cs="仿宋"/>
                <w:spacing w:val="-2"/>
                <w:sz w:val="18"/>
                <w:szCs w:val="18"/>
              </w:rPr>
              <w:t>汇报</w:t>
            </w:r>
          </w:p>
        </w:tc>
        <w:tc>
          <w:tcPr>
            <w:tcW w:w="4336" w:type="dxa"/>
            <w:vAlign w:val="top"/>
          </w:tcPr>
          <w:p w14:paraId="09B7F0BE">
            <w:pPr>
              <w:pStyle w:val="9"/>
              <w:spacing w:before="65" w:line="264" w:lineRule="auto"/>
              <w:ind w:left="102" w:right="152" w:firstLine="10"/>
              <w:jc w:val="center"/>
              <w:rPr>
                <w:rFonts w:hint="eastAsia" w:ascii="仿宋" w:hAnsi="仿宋" w:eastAsia="仿宋" w:cs="仿宋"/>
                <w:sz w:val="18"/>
                <w:szCs w:val="18"/>
              </w:rPr>
            </w:pPr>
            <w:r>
              <w:rPr>
                <w:rFonts w:hint="eastAsia" w:ascii="仿宋" w:hAnsi="仿宋" w:eastAsia="仿宋" w:cs="仿宋"/>
                <w:spacing w:val="1"/>
                <w:sz w:val="18"/>
                <w:szCs w:val="18"/>
              </w:rPr>
              <w:t>及时沟通维修进度，分析故障原因</w:t>
            </w:r>
            <w:r>
              <w:rPr>
                <w:rFonts w:hint="eastAsia" w:ascii="仿宋" w:hAnsi="仿宋" w:eastAsia="仿宋" w:cs="仿宋"/>
                <w:sz w:val="18"/>
                <w:szCs w:val="18"/>
              </w:rPr>
              <w:t>及建议临床科室使用注意事项，定</w:t>
            </w:r>
            <w:r>
              <w:rPr>
                <w:rFonts w:hint="eastAsia" w:ascii="仿宋" w:hAnsi="仿宋" w:eastAsia="仿宋" w:cs="仿宋"/>
                <w:spacing w:val="12"/>
                <w:sz w:val="18"/>
                <w:szCs w:val="18"/>
              </w:rPr>
              <w:t xml:space="preserve"> </w:t>
            </w:r>
            <w:r>
              <w:rPr>
                <w:rFonts w:hint="eastAsia" w:ascii="仿宋" w:hAnsi="仿宋" w:eastAsia="仿宋" w:cs="仿宋"/>
                <w:spacing w:val="-2"/>
                <w:sz w:val="18"/>
                <w:szCs w:val="18"/>
              </w:rPr>
              <w:t>期汇报设备维护情况</w:t>
            </w:r>
          </w:p>
        </w:tc>
        <w:tc>
          <w:tcPr>
            <w:tcW w:w="933" w:type="dxa"/>
            <w:vAlign w:val="top"/>
          </w:tcPr>
          <w:p w14:paraId="0BC2A7FD">
            <w:pPr>
              <w:pStyle w:val="9"/>
              <w:spacing w:before="136" w:line="184" w:lineRule="auto"/>
              <w:ind w:left="336"/>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999" w:type="dxa"/>
            <w:vAlign w:val="top"/>
          </w:tcPr>
          <w:p w14:paraId="2E66F15C">
            <w:pPr>
              <w:jc w:val="center"/>
              <w:rPr>
                <w:rFonts w:hint="eastAsia" w:ascii="仿宋" w:hAnsi="仿宋" w:eastAsia="仿宋" w:cs="仿宋"/>
                <w:sz w:val="18"/>
                <w:szCs w:val="18"/>
              </w:rPr>
            </w:pPr>
          </w:p>
        </w:tc>
      </w:tr>
      <w:tr w14:paraId="3616F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7217" w:type="dxa"/>
            <w:gridSpan w:val="5"/>
            <w:vAlign w:val="top"/>
          </w:tcPr>
          <w:p w14:paraId="55610AAC">
            <w:pPr>
              <w:pStyle w:val="9"/>
              <w:spacing w:before="158" w:line="221" w:lineRule="auto"/>
              <w:ind w:left="2794"/>
              <w:jc w:val="center"/>
              <w:rPr>
                <w:rFonts w:hint="eastAsia" w:ascii="仿宋" w:hAnsi="仿宋" w:eastAsia="仿宋" w:cs="仿宋"/>
                <w:sz w:val="18"/>
                <w:szCs w:val="18"/>
              </w:rPr>
            </w:pPr>
            <w:r>
              <w:rPr>
                <w:rFonts w:hint="eastAsia" w:ascii="仿宋" w:hAnsi="仿宋" w:eastAsia="仿宋" w:cs="仿宋"/>
                <w:spacing w:val="-3"/>
                <w:sz w:val="18"/>
                <w:szCs w:val="18"/>
              </w:rPr>
              <w:t>合计</w:t>
            </w:r>
          </w:p>
        </w:tc>
        <w:tc>
          <w:tcPr>
            <w:tcW w:w="999" w:type="dxa"/>
            <w:vAlign w:val="top"/>
          </w:tcPr>
          <w:p w14:paraId="333223DF">
            <w:pPr>
              <w:jc w:val="center"/>
              <w:rPr>
                <w:rFonts w:hint="eastAsia" w:ascii="仿宋" w:hAnsi="仿宋" w:eastAsia="仿宋" w:cs="仿宋"/>
                <w:sz w:val="18"/>
                <w:szCs w:val="18"/>
              </w:rPr>
            </w:pPr>
          </w:p>
        </w:tc>
      </w:tr>
      <w:tr w14:paraId="4617B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7217" w:type="dxa"/>
            <w:gridSpan w:val="5"/>
            <w:vAlign w:val="top"/>
          </w:tcPr>
          <w:p w14:paraId="026CF2BB">
            <w:pPr>
              <w:pStyle w:val="9"/>
              <w:spacing w:before="67" w:line="220" w:lineRule="auto"/>
              <w:ind w:left="2694"/>
              <w:jc w:val="center"/>
              <w:rPr>
                <w:rFonts w:hint="eastAsia" w:ascii="仿宋" w:hAnsi="仿宋" w:eastAsia="仿宋" w:cs="仿宋"/>
                <w:sz w:val="18"/>
                <w:szCs w:val="18"/>
              </w:rPr>
            </w:pPr>
            <w:r>
              <w:rPr>
                <w:rFonts w:hint="eastAsia" w:ascii="仿宋" w:hAnsi="仿宋" w:eastAsia="仿宋" w:cs="仿宋"/>
                <w:spacing w:val="-2"/>
                <w:sz w:val="18"/>
                <w:szCs w:val="18"/>
              </w:rPr>
              <w:t>平均分</w:t>
            </w:r>
          </w:p>
        </w:tc>
        <w:tc>
          <w:tcPr>
            <w:tcW w:w="999" w:type="dxa"/>
            <w:vAlign w:val="top"/>
          </w:tcPr>
          <w:p w14:paraId="2B8E4D82">
            <w:pPr>
              <w:jc w:val="center"/>
              <w:rPr>
                <w:rFonts w:hint="eastAsia" w:ascii="仿宋" w:hAnsi="仿宋" w:eastAsia="仿宋" w:cs="仿宋"/>
                <w:sz w:val="18"/>
                <w:szCs w:val="18"/>
              </w:rPr>
            </w:pPr>
          </w:p>
        </w:tc>
      </w:tr>
      <w:tr w14:paraId="60BFB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7217" w:type="dxa"/>
            <w:gridSpan w:val="5"/>
            <w:vAlign w:val="top"/>
          </w:tcPr>
          <w:p w14:paraId="736255C2">
            <w:pPr>
              <w:pStyle w:val="9"/>
              <w:spacing w:before="67" w:line="215" w:lineRule="auto"/>
              <w:ind w:left="2594"/>
              <w:jc w:val="center"/>
              <w:rPr>
                <w:rFonts w:hint="eastAsia" w:ascii="仿宋" w:hAnsi="仿宋" w:eastAsia="仿宋" w:cs="仿宋"/>
                <w:sz w:val="18"/>
                <w:szCs w:val="18"/>
              </w:rPr>
            </w:pPr>
            <w:r>
              <w:rPr>
                <w:rFonts w:hint="eastAsia" w:ascii="仿宋" w:hAnsi="仿宋" w:eastAsia="仿宋" w:cs="仿宋"/>
                <w:spacing w:val="-2"/>
                <w:sz w:val="18"/>
                <w:szCs w:val="18"/>
              </w:rPr>
              <w:t>考核结果</w:t>
            </w:r>
          </w:p>
        </w:tc>
        <w:tc>
          <w:tcPr>
            <w:tcW w:w="999" w:type="dxa"/>
            <w:vAlign w:val="top"/>
          </w:tcPr>
          <w:p w14:paraId="55DE55D0">
            <w:pPr>
              <w:jc w:val="center"/>
              <w:rPr>
                <w:rFonts w:hint="eastAsia" w:ascii="仿宋" w:hAnsi="仿宋" w:eastAsia="仿宋" w:cs="仿宋"/>
                <w:sz w:val="18"/>
                <w:szCs w:val="18"/>
              </w:rPr>
            </w:pPr>
          </w:p>
        </w:tc>
      </w:tr>
      <w:tr w14:paraId="4CDA8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6" w:hRule="atLeast"/>
        </w:trPr>
        <w:tc>
          <w:tcPr>
            <w:tcW w:w="8216" w:type="dxa"/>
            <w:gridSpan w:val="6"/>
            <w:vAlign w:val="top"/>
          </w:tcPr>
          <w:p w14:paraId="0B2FD94B">
            <w:pPr>
              <w:pStyle w:val="9"/>
              <w:spacing w:before="51" w:line="216" w:lineRule="auto"/>
              <w:ind w:left="97"/>
              <w:rPr>
                <w:rFonts w:hint="eastAsia" w:ascii="仿宋" w:hAnsi="仿宋" w:eastAsia="仿宋" w:cs="仿宋"/>
                <w:sz w:val="18"/>
                <w:szCs w:val="18"/>
              </w:rPr>
            </w:pPr>
            <w:r>
              <w:rPr>
                <w:rFonts w:hint="eastAsia" w:ascii="仿宋" w:hAnsi="仿宋" w:eastAsia="仿宋" w:cs="仿宋"/>
                <w:b/>
                <w:bCs/>
                <w:spacing w:val="-2"/>
                <w:sz w:val="18"/>
                <w:szCs w:val="18"/>
              </w:rPr>
              <w:t>满意(优秀：90分以上，良好80-90分),不满意(差：60-79分</w:t>
            </w:r>
            <w:r>
              <w:rPr>
                <w:rFonts w:hint="eastAsia" w:ascii="仿宋" w:hAnsi="仿宋" w:eastAsia="仿宋" w:cs="仿宋"/>
                <w:b/>
                <w:bCs/>
                <w:spacing w:val="-3"/>
                <w:sz w:val="18"/>
                <w:szCs w:val="18"/>
              </w:rPr>
              <w:t>),非常不满意(非常差：60</w:t>
            </w:r>
          </w:p>
          <w:p w14:paraId="7B6A5484">
            <w:pPr>
              <w:pStyle w:val="9"/>
              <w:spacing w:before="74" w:line="254" w:lineRule="auto"/>
              <w:ind w:left="137" w:right="468"/>
              <w:rPr>
                <w:rFonts w:hint="eastAsia" w:ascii="仿宋" w:hAnsi="仿宋" w:eastAsia="仿宋" w:cs="仿宋"/>
                <w:sz w:val="18"/>
                <w:szCs w:val="18"/>
              </w:rPr>
            </w:pPr>
            <w:r>
              <w:rPr>
                <w:rFonts w:hint="eastAsia" w:ascii="仿宋" w:hAnsi="仿宋" w:eastAsia="仿宋" w:cs="仿宋"/>
                <w:b/>
                <w:bCs/>
                <w:spacing w:val="-2"/>
                <w:sz w:val="18"/>
                <w:szCs w:val="18"/>
              </w:rPr>
              <w:t>分以下),满意的按相应的维保额支付，不满意的按每低于80分1分，则扣1000元，两次以</w:t>
            </w:r>
            <w:r>
              <w:rPr>
                <w:rFonts w:hint="eastAsia" w:ascii="仿宋" w:hAnsi="仿宋" w:eastAsia="仿宋" w:cs="仿宋"/>
                <w:b/>
                <w:bCs/>
                <w:spacing w:val="-3"/>
                <w:sz w:val="18"/>
                <w:szCs w:val="18"/>
              </w:rPr>
              <w:t>上不合格(低于80分)的，</w:t>
            </w:r>
            <w:r>
              <w:rPr>
                <w:rFonts w:hint="eastAsia" w:ascii="仿宋" w:hAnsi="仿宋" w:eastAsia="仿宋" w:cs="仿宋"/>
                <w:b/>
                <w:bCs/>
                <w:spacing w:val="-3"/>
                <w:sz w:val="18"/>
                <w:szCs w:val="18"/>
                <w:lang w:val="en-US" w:eastAsia="zh-CN"/>
              </w:rPr>
              <w:t>判定为年度考核不及格，</w:t>
            </w:r>
            <w:r>
              <w:rPr>
                <w:rFonts w:hint="eastAsia" w:ascii="仿宋" w:hAnsi="仿宋" w:eastAsia="仿宋" w:cs="仿宋"/>
                <w:b/>
                <w:bCs/>
                <w:spacing w:val="-3"/>
                <w:sz w:val="18"/>
                <w:szCs w:val="18"/>
              </w:rPr>
              <w:t>采购人有权终止合同。</w:t>
            </w:r>
          </w:p>
        </w:tc>
      </w:tr>
      <w:tr w14:paraId="7BFBB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0" w:hRule="atLeast"/>
        </w:trPr>
        <w:tc>
          <w:tcPr>
            <w:tcW w:w="8216" w:type="dxa"/>
            <w:gridSpan w:val="6"/>
            <w:vAlign w:val="top"/>
          </w:tcPr>
          <w:p w14:paraId="542B0853">
            <w:pPr>
              <w:pStyle w:val="9"/>
              <w:spacing w:before="46" w:line="219" w:lineRule="auto"/>
              <w:ind w:left="134"/>
              <w:rPr>
                <w:rFonts w:hint="eastAsia" w:ascii="仿宋" w:hAnsi="仿宋" w:eastAsia="仿宋" w:cs="仿宋"/>
                <w:sz w:val="18"/>
                <w:szCs w:val="18"/>
              </w:rPr>
            </w:pPr>
            <w:r>
              <w:rPr>
                <w:rFonts w:hint="eastAsia" w:ascii="仿宋" w:hAnsi="仿宋" w:eastAsia="仿宋" w:cs="仿宋"/>
                <w:spacing w:val="4"/>
                <w:sz w:val="18"/>
                <w:szCs w:val="18"/>
                <w:lang w:val="en-US" w:eastAsia="zh-CN"/>
              </w:rPr>
              <w:t>甲方</w:t>
            </w:r>
            <w:r>
              <w:rPr>
                <w:rFonts w:hint="eastAsia" w:ascii="仿宋" w:hAnsi="仿宋" w:eastAsia="仿宋" w:cs="仿宋"/>
                <w:spacing w:val="4"/>
                <w:sz w:val="18"/>
                <w:szCs w:val="18"/>
              </w:rPr>
              <w:t>科室负责人(签名):</w:t>
            </w:r>
          </w:p>
          <w:p w14:paraId="56E06D0D">
            <w:pPr>
              <w:pStyle w:val="9"/>
              <w:spacing w:before="93" w:line="312" w:lineRule="exact"/>
              <w:ind w:left="134"/>
              <w:rPr>
                <w:rFonts w:hint="eastAsia" w:ascii="仿宋" w:hAnsi="仿宋" w:eastAsia="仿宋" w:cs="仿宋"/>
                <w:sz w:val="18"/>
                <w:szCs w:val="18"/>
              </w:rPr>
            </w:pPr>
            <w:r>
              <w:rPr>
                <w:rFonts w:hint="eastAsia" w:ascii="仿宋" w:hAnsi="仿宋" w:eastAsia="仿宋" w:cs="仿宋"/>
                <w:spacing w:val="3"/>
                <w:position w:val="8"/>
                <w:sz w:val="18"/>
                <w:szCs w:val="18"/>
                <w:lang w:val="en-US" w:eastAsia="zh-CN"/>
              </w:rPr>
              <w:t>甲</w:t>
            </w:r>
            <w:r>
              <w:rPr>
                <w:rFonts w:hint="eastAsia" w:ascii="仿宋" w:hAnsi="仿宋" w:eastAsia="仿宋" w:cs="仿宋"/>
                <w:spacing w:val="3"/>
                <w:position w:val="8"/>
                <w:sz w:val="18"/>
                <w:szCs w:val="18"/>
              </w:rPr>
              <w:t>方维修工程师(签名):</w:t>
            </w:r>
          </w:p>
          <w:p w14:paraId="35B95513">
            <w:pPr>
              <w:pStyle w:val="9"/>
              <w:spacing w:line="220" w:lineRule="auto"/>
              <w:ind w:left="134"/>
              <w:rPr>
                <w:rFonts w:hint="eastAsia" w:ascii="仿宋" w:hAnsi="仿宋" w:eastAsia="仿宋" w:cs="仿宋"/>
                <w:sz w:val="18"/>
                <w:szCs w:val="18"/>
                <w:lang w:eastAsia="zh-CN"/>
              </w:rPr>
            </w:pPr>
            <w:r>
              <w:rPr>
                <w:rFonts w:hint="eastAsia" w:ascii="仿宋" w:hAnsi="仿宋" w:eastAsia="仿宋" w:cs="仿宋"/>
                <w:spacing w:val="5"/>
                <w:sz w:val="18"/>
                <w:szCs w:val="18"/>
              </w:rPr>
              <w:t>乙方(签名):</w:t>
            </w:r>
            <w:r>
              <w:rPr>
                <w:rFonts w:hint="eastAsia" w:ascii="仿宋" w:hAnsi="仿宋" w:eastAsia="仿宋" w:cs="仿宋"/>
                <w:spacing w:val="5"/>
                <w:sz w:val="18"/>
                <w:szCs w:val="18"/>
                <w:lang w:val="en-US" w:eastAsia="zh-CN"/>
              </w:rPr>
              <w:t xml:space="preserve">                                   </w:t>
            </w:r>
            <w:r>
              <w:rPr>
                <w:rFonts w:hint="eastAsia" w:ascii="仿宋" w:hAnsi="仿宋" w:eastAsia="仿宋" w:cs="仿宋"/>
                <w:spacing w:val="4"/>
                <w:sz w:val="18"/>
                <w:szCs w:val="18"/>
              </w:rPr>
              <w:t>考核时间</w:t>
            </w:r>
            <w:r>
              <w:rPr>
                <w:rFonts w:hint="eastAsia" w:ascii="仿宋" w:hAnsi="仿宋" w:eastAsia="仿宋" w:cs="仿宋"/>
                <w:spacing w:val="4"/>
                <w:sz w:val="18"/>
                <w:szCs w:val="18"/>
                <w:lang w:eastAsia="zh-CN"/>
              </w:rPr>
              <w:t>：</w:t>
            </w:r>
          </w:p>
        </w:tc>
      </w:tr>
    </w:tbl>
    <w:p w14:paraId="045024B6">
      <w:pPr>
        <w:spacing w:line="440" w:lineRule="exact"/>
        <w:rPr>
          <w:rFonts w:hint="default" w:ascii="仿宋" w:hAnsi="仿宋" w:eastAsia="仿宋" w:cs="仿宋"/>
          <w:color w:val="000000" w:themeColor="text1"/>
          <w:sz w:val="24"/>
          <w:lang w:val="en-US" w:eastAsia="zh-CN"/>
          <w14:textFill>
            <w14:solidFill>
              <w14:schemeClr w14:val="tx1"/>
            </w14:solidFill>
          </w14:textFill>
        </w:rPr>
      </w:pPr>
    </w:p>
    <w:p w14:paraId="77E8FF6E">
      <w:pPr>
        <w:rPr>
          <w:rFonts w:ascii="仿宋" w:hAnsi="仿宋" w:eastAsia="仿宋" w:cs="仿宋"/>
          <w:color w:val="000000" w:themeColor="text1"/>
          <w:sz w:val="24"/>
          <w:highlight w:val="cyan"/>
          <w:lang w:val="zh-CN"/>
          <w14:textFill>
            <w14:solidFill>
              <w14:schemeClr w14:val="tx1"/>
            </w14:solidFill>
          </w14:textFill>
        </w:rPr>
      </w:pPr>
    </w:p>
    <w:p w14:paraId="7E86FE5F">
      <w:pPr>
        <w:pStyle w:val="3"/>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设备清单：</w:t>
      </w:r>
    </w:p>
    <w:tbl>
      <w:tblPr>
        <w:tblStyle w:val="6"/>
        <w:tblW w:w="1078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8"/>
        <w:gridCol w:w="1776"/>
        <w:gridCol w:w="1219"/>
        <w:gridCol w:w="1661"/>
        <w:gridCol w:w="1877"/>
        <w:gridCol w:w="2280"/>
        <w:gridCol w:w="1316"/>
      </w:tblGrid>
      <w:tr w14:paraId="61725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6B5EC">
            <w:pPr>
              <w:keepNext w:val="0"/>
              <w:keepLines w:val="0"/>
              <w:widowControl/>
              <w:suppressLineNumbers w:val="0"/>
              <w:snapToGrid w:val="0"/>
              <w:ind w:left="0" w:leftChars="0" w:right="0" w:rightChars="0" w:firstLine="0" w:firstLineChars="0"/>
              <w:jc w:val="center"/>
              <w:textAlignment w:val="center"/>
              <w:rPr>
                <w:rFonts w:ascii="仿宋_GB2312" w:hAnsi="宋体" w:eastAsia="仿宋_GB2312" w:cs="仿宋_GB2312"/>
                <w:b/>
                <w:i w:val="0"/>
                <w:iCs w:val="0"/>
                <w:color w:val="000000"/>
                <w:sz w:val="22"/>
                <w:szCs w:val="22"/>
                <w:u w:val="none"/>
              </w:rPr>
            </w:pPr>
            <w:r>
              <w:rPr>
                <w:rFonts w:hint="eastAsia" w:ascii="仿宋_GB2312" w:hAnsi="宋体" w:eastAsia="仿宋_GB2312" w:cs="仿宋_GB2312"/>
                <w:b/>
                <w:i w:val="0"/>
                <w:iCs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1FBED2">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i w:val="0"/>
                <w:iCs w:val="0"/>
                <w:color w:val="000000"/>
                <w:sz w:val="22"/>
                <w:szCs w:val="22"/>
                <w:u w:val="none"/>
              </w:rPr>
            </w:pPr>
            <w:r>
              <w:rPr>
                <w:rFonts w:hint="eastAsia" w:ascii="仿宋_GB2312" w:hAnsi="宋体" w:eastAsia="仿宋_GB2312" w:cs="仿宋_GB2312"/>
                <w:b/>
                <w:i w:val="0"/>
                <w:iCs w:val="0"/>
                <w:color w:val="000000"/>
                <w:kern w:val="0"/>
                <w:sz w:val="22"/>
                <w:szCs w:val="22"/>
                <w:u w:val="none"/>
                <w:lang w:val="en-US" w:eastAsia="zh-CN" w:bidi="ar"/>
              </w:rPr>
              <w:t>资产科室</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7117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i w:val="0"/>
                <w:iCs w:val="0"/>
                <w:color w:val="000000"/>
                <w:sz w:val="22"/>
                <w:szCs w:val="22"/>
                <w:u w:val="none"/>
              </w:rPr>
            </w:pPr>
            <w:r>
              <w:rPr>
                <w:rFonts w:hint="eastAsia" w:ascii="仿宋_GB2312" w:hAnsi="宋体" w:eastAsia="仿宋_GB2312" w:cs="仿宋_GB2312"/>
                <w:b/>
                <w:i w:val="0"/>
                <w:iCs w:val="0"/>
                <w:color w:val="000000"/>
                <w:kern w:val="0"/>
                <w:sz w:val="22"/>
                <w:szCs w:val="22"/>
                <w:u w:val="none"/>
                <w:lang w:val="en-US" w:eastAsia="zh-CN" w:bidi="ar"/>
              </w:rPr>
              <w:t>资产编码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6B15ED">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i w:val="0"/>
                <w:iCs w:val="0"/>
                <w:color w:val="000000"/>
                <w:sz w:val="22"/>
                <w:szCs w:val="22"/>
                <w:u w:val="none"/>
              </w:rPr>
            </w:pPr>
            <w:r>
              <w:rPr>
                <w:rFonts w:hint="eastAsia" w:ascii="仿宋_GB2312" w:hAnsi="宋体" w:eastAsia="仿宋_GB2312" w:cs="仿宋_GB2312"/>
                <w:b/>
                <w:i w:val="0"/>
                <w:iCs w:val="0"/>
                <w:color w:val="000000"/>
                <w:kern w:val="0"/>
                <w:sz w:val="22"/>
                <w:szCs w:val="22"/>
                <w:u w:val="none"/>
                <w:lang w:val="en-US" w:eastAsia="zh-CN" w:bidi="ar"/>
              </w:rPr>
              <w:t>资产名称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814F5D">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i w:val="0"/>
                <w:iCs w:val="0"/>
                <w:color w:val="000000"/>
                <w:sz w:val="22"/>
                <w:szCs w:val="22"/>
                <w:u w:val="none"/>
              </w:rPr>
            </w:pPr>
            <w:r>
              <w:rPr>
                <w:rFonts w:hint="eastAsia" w:ascii="仿宋_GB2312" w:hAnsi="宋体" w:eastAsia="仿宋_GB2312" w:cs="仿宋_GB2312"/>
                <w:b/>
                <w:i w:val="0"/>
                <w:iCs w:val="0"/>
                <w:color w:val="000000"/>
                <w:kern w:val="0"/>
                <w:sz w:val="22"/>
                <w:szCs w:val="22"/>
                <w:u w:val="none"/>
                <w:lang w:val="en-US" w:eastAsia="zh-CN" w:bidi="ar"/>
              </w:rPr>
              <w:t>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8CAB12">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i w:val="0"/>
                <w:iCs w:val="0"/>
                <w:color w:val="000000"/>
                <w:sz w:val="22"/>
                <w:szCs w:val="22"/>
                <w:u w:val="none"/>
              </w:rPr>
            </w:pPr>
            <w:r>
              <w:rPr>
                <w:rFonts w:hint="eastAsia" w:ascii="仿宋_GB2312" w:hAnsi="宋体" w:eastAsia="仿宋_GB2312" w:cs="仿宋_GB2312"/>
                <w:b/>
                <w:i w:val="0"/>
                <w:iCs w:val="0"/>
                <w:color w:val="000000"/>
                <w:kern w:val="0"/>
                <w:sz w:val="22"/>
                <w:szCs w:val="22"/>
                <w:u w:val="none"/>
                <w:lang w:val="en-US" w:eastAsia="zh-CN" w:bidi="ar"/>
              </w:rPr>
              <w:t>出厂编号</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21A0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i w:val="0"/>
                <w:iCs w:val="0"/>
                <w:color w:val="000000"/>
                <w:sz w:val="22"/>
                <w:szCs w:val="22"/>
                <w:u w:val="none"/>
              </w:rPr>
            </w:pPr>
            <w:r>
              <w:rPr>
                <w:rFonts w:hint="eastAsia" w:ascii="仿宋_GB2312" w:hAnsi="宋体" w:eastAsia="仿宋_GB2312" w:cs="仿宋_GB2312"/>
                <w:b/>
                <w:i w:val="0"/>
                <w:iCs w:val="0"/>
                <w:color w:val="000000"/>
                <w:kern w:val="0"/>
                <w:sz w:val="22"/>
                <w:szCs w:val="22"/>
                <w:u w:val="none"/>
                <w:lang w:val="en-US" w:eastAsia="zh-CN" w:bidi="ar"/>
              </w:rPr>
              <w:t>入账时间</w:t>
            </w:r>
          </w:p>
        </w:tc>
      </w:tr>
      <w:tr w14:paraId="4F9EB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8662C">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2E548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重症医学科一区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C1F9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20030017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3AABB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51131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美国FUJIFILM SONOSITE、X-Porte</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DC1BC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机身号:04JWW2</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9FDCA">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2020-3-31</w:t>
            </w:r>
          </w:p>
        </w:tc>
      </w:tr>
      <w:tr w14:paraId="4247A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EC88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1406B7">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疼痛科门诊</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0161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21050112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97994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彩色多普勒超声诊断仪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36012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LOGIQ e</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ECFBA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6077363WX0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2169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2021-5-21</w:t>
            </w:r>
          </w:p>
        </w:tc>
      </w:tr>
      <w:tr w14:paraId="0221A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47A79">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B450F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疼痛科门诊</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C996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15010012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034AB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BA87D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韩国GE LOGIQ P5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619AD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机身号:264591SU9</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A4B7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2015-1-31</w:t>
            </w:r>
          </w:p>
        </w:tc>
      </w:tr>
      <w:tr w14:paraId="706C2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EDB9A">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6AA59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肾风湿免疫科</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4068A">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12060004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FC556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超声诊断仪(笔记本式)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25B50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中国无锡 GE LOGIQ e</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BD8CC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机身号:5322678</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2C2A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2012-6-30</w:t>
            </w:r>
          </w:p>
        </w:tc>
      </w:tr>
      <w:tr w14:paraId="30213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5205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83EFD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普外二区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2A8F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15110004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C5A01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A51CF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韩国GE LOGIQ E8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94DBF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机身号:292533SU7</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A480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2015-11-30</w:t>
            </w:r>
          </w:p>
        </w:tc>
      </w:tr>
      <w:tr w14:paraId="23560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349BC">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CFFF0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麻醉科</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DEFA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15010010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95A14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19285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美国SonoSite NanoMaxx TM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466A7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机身号:03XTLP;超声换能器:0405K3</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669F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2015-1-31</w:t>
            </w:r>
          </w:p>
        </w:tc>
      </w:tr>
      <w:tr w14:paraId="46910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BB98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9E6BF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急诊科</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846A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14010058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51A574">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8157E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美国西门子 ACUSON X150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D69B3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机身号:335378</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B23F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2014-1-31</w:t>
            </w:r>
          </w:p>
        </w:tc>
      </w:tr>
      <w:tr w14:paraId="52583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E243D">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A2141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骨二科</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C855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14100003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ABFAC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超声扫描系统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20910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印度GE LOGIQ P3 Expert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EE39F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机身号:73399WS8</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0336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2014-10-31</w:t>
            </w:r>
          </w:p>
        </w:tc>
      </w:tr>
      <w:tr w14:paraId="6531E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FCE9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5D5CD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妇科</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DAC3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15120024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B6B027">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7DC29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韩国三星麦迪逊 SONOACE-X6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8E079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机身号:SOLSM3HF600016J</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C1C8A">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2015-12-31</w:t>
            </w:r>
          </w:p>
        </w:tc>
      </w:tr>
      <w:tr w14:paraId="30B55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97F9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80435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妇产科人流室</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8A44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20020020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83269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69DF2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韩国、三星麦迪逊、SONOACE X7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1D470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机身号:S0VQM3HM200003D</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434D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2020-2-29</w:t>
            </w:r>
          </w:p>
        </w:tc>
      </w:tr>
      <w:tr w14:paraId="687BB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8A80A">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FBBED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妇产科人流室</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10F7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14120016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D474FC">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AC012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韩国三星麦迪逊 SONOACE-X6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CDBC8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机身号:SOLSM3HDA00026L</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D581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2014-12-31</w:t>
            </w:r>
          </w:p>
        </w:tc>
      </w:tr>
      <w:tr w14:paraId="22E77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7A55A">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B269D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089B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23060492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B87AC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3374C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Aplio i700 TUS-AI700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D038D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ZHB2232172</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E905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2023-6-23</w:t>
            </w:r>
          </w:p>
        </w:tc>
      </w:tr>
      <w:tr w14:paraId="116A1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BF4E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7C94D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FEF2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23040408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27F82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彩色多普勒超声系统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A348C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Nuewa R9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541AA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LR9-26000148</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EC58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2023-4-20</w:t>
            </w:r>
          </w:p>
        </w:tc>
      </w:tr>
      <w:tr w14:paraId="5ED15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BA4D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029B7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F27A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22060120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874CD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26364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WS80A</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F44A9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SIKEM3HR700002E</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0ED0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2022-6-15</w:t>
            </w:r>
          </w:p>
        </w:tc>
      </w:tr>
      <w:tr w14:paraId="0D8A9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091F2">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A337C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E915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21010550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63AED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10028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Voluson E6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3E35E9">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E12704</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E687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2021-1-14</w:t>
            </w:r>
          </w:p>
        </w:tc>
      </w:tr>
      <w:tr w14:paraId="5314D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C8F2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65116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11089">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21010549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DE6D5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便携式彩色多普勒超声系统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E8F83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M9CV</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8F83E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CC2-0200325</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1897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2021-1-14</w:t>
            </w:r>
          </w:p>
        </w:tc>
      </w:tr>
      <w:tr w14:paraId="2E5AA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EE0A7">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C9ED7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A09E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20020021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1A37A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795B99">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美国、飞利浦、EPIQ 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3F354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机身号:US819C1064</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65D6A">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2020-2-29</w:t>
            </w:r>
          </w:p>
        </w:tc>
      </w:tr>
      <w:tr w14:paraId="7288F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56E8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BCFD5D">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F0C9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19040030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244C1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0C26B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日本、日立、HI VISION Avius 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5D9E7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机身号:G320373817</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54A2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2019-4-30</w:t>
            </w:r>
          </w:p>
        </w:tc>
      </w:tr>
      <w:tr w14:paraId="751D4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D224C">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EEFB2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1F16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19040029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91ABD4">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799BB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日本、日立、HI VISION Avius 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4BE09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机身号:G320373917</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8DBB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2019-4-30</w:t>
            </w:r>
          </w:p>
        </w:tc>
      </w:tr>
      <w:tr w14:paraId="43039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4C46A">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A59F1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1893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17120004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84F88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D7AFB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奥地利、GE、Voluson E10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19888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机身号:E62555</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2717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2017-12-31</w:t>
            </w:r>
          </w:p>
        </w:tc>
      </w:tr>
      <w:tr w14:paraId="1865A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7692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46BFC4">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1498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15010011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0A49EA">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9CD40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奥地利GE Voluson E6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EF13B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机身号:D59608</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21BE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2015-1-31</w:t>
            </w:r>
          </w:p>
        </w:tc>
      </w:tr>
      <w:tr w14:paraId="2520C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5B75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FCC68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15FB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12010002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199CF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彩色超声诊断仪(实时4维)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7CE249">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奥地利GE Voluson E6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8889A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机身号:D53650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267A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2012-1-31</w:t>
            </w:r>
          </w:p>
        </w:tc>
      </w:tr>
      <w:tr w14:paraId="6481D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42957">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089D89">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FAA2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21080135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C22A2C">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0FDCC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EPIQ 7C</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E0644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US421B1590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6507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2021-8-18</w:t>
            </w:r>
          </w:p>
        </w:tc>
      </w:tr>
      <w:tr w14:paraId="5C988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434A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1649A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7669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21060146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4B341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371C3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ACUSON Sequoia</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B19F6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802259</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A4E2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2021-6-21</w:t>
            </w:r>
          </w:p>
        </w:tc>
      </w:tr>
      <w:tr w14:paraId="35082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3ABFC">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7E709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A388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21010545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9BF9E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数字化彩色超声波诊断装置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CC7E4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Noblus</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BEDFE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G3043661</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B622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2021-1-13</w:t>
            </w:r>
          </w:p>
        </w:tc>
      </w:tr>
      <w:tr w14:paraId="3EC72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367D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7D077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043E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21010004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FD43A7">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82F74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ALOKA ARIETTA 850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30D0D9">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G3060326</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F57F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2021-1-5</w:t>
            </w:r>
          </w:p>
        </w:tc>
      </w:tr>
      <w:tr w14:paraId="58C15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808CD">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690E57">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FE43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20120025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D0D61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202C7A">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APLIO 400 TUS-A400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2A903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W5I2032928</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520B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2020-12-12</w:t>
            </w:r>
          </w:p>
        </w:tc>
      </w:tr>
      <w:tr w14:paraId="349A1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B112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8C7A7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6A0FA">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19050013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7CD45A">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08342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美国、飞利浦、EPIQ 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A5212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机身号:USD18B1451</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8876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2019-5-31</w:t>
            </w:r>
          </w:p>
        </w:tc>
      </w:tr>
      <w:tr w14:paraId="40F7A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2D89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DAAA7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F7FE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19030010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866AB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45150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韩国、GE、LOGIQ S8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6CB5A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机身号:504709SU2</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E5CD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2019-3-31</w:t>
            </w:r>
          </w:p>
        </w:tc>
      </w:tr>
      <w:tr w14:paraId="444AD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02E3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A25F4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C796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18100006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0472D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172CE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韩国、西门子、ACUSON NX3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509EE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机身号:511317</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F1FE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2018-10-31</w:t>
            </w:r>
          </w:p>
        </w:tc>
      </w:tr>
      <w:tr w14:paraId="7BD5E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3634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2E6ED9">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A32F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18030003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09FEC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0EB74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日本、日立、HI VISION Avius 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4A3B2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机身号:G320016117</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D011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2018-3-31</w:t>
            </w:r>
          </w:p>
        </w:tc>
      </w:tr>
      <w:tr w14:paraId="72890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DAA3A">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1B9F07">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8D2A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17080011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C3484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超声图像诊断仪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59782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法国、声科(Supersonic)、Aixplorer</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85AE7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机身号:KJ69SP84</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E4B2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2017-8-31</w:t>
            </w:r>
          </w:p>
        </w:tc>
      </w:tr>
      <w:tr w14:paraId="2CE63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7EC8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6DF1F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1389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15050004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B1D49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DAA5D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挪威GE Vivid E9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EC296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机身号:VE98138</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1E53A">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2015-5-31</w:t>
            </w:r>
          </w:p>
        </w:tc>
      </w:tr>
      <w:tr w14:paraId="473E9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21D3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37E20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2BFD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13020001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890BA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C33A1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奥地利GE Voluson 730 Expert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6B417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机身号:A16612</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345B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2013-2-28</w:t>
            </w:r>
          </w:p>
        </w:tc>
      </w:tr>
      <w:tr w14:paraId="7BD34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F585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A78A3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2FCDA">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13010006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878FE2">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超声扫描系统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3034D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印度GE LOGIQ P3 Expert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3A2B9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机身号:69988WS4</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865C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2013-1-31</w:t>
            </w:r>
          </w:p>
        </w:tc>
      </w:tr>
      <w:tr w14:paraId="78BF5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ECED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9A1F04">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产前诊断中心</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E8C3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16120013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162D8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809829">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日本、日立阿洛卡、F37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A2529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机身号:204G9406</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E03A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2016-12-31</w:t>
            </w:r>
          </w:p>
        </w:tc>
      </w:tr>
      <w:tr w14:paraId="2860B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52F3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EB2EA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产房</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BB19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20120080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5FA122">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C1D97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F31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7FF649">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205Z3479</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9EE3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2020-12-14</w:t>
            </w:r>
          </w:p>
        </w:tc>
      </w:tr>
      <w:tr w14:paraId="78EDD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8D25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38</w:t>
            </w:r>
          </w:p>
        </w:tc>
        <w:tc>
          <w:tcPr>
            <w:tcW w:w="1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B16C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产房</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BF02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15120001</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0DFAC">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彩色超声诊断仪</w:t>
            </w:r>
          </w:p>
        </w:tc>
        <w:tc>
          <w:tcPr>
            <w:tcW w:w="1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AB709">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韩国三星麦迪逊 SONOACE-X6</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753B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机身号:SOLSM3HF600015H</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59259">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2015-12-31</w:t>
            </w:r>
          </w:p>
        </w:tc>
      </w:tr>
    </w:tbl>
    <w:p w14:paraId="63DAEF06">
      <w:pPr>
        <w:sectPr>
          <w:footerReference r:id="rId3" w:type="default"/>
          <w:pgSz w:w="11906" w:h="16838"/>
          <w:pgMar w:top="1440" w:right="1800" w:bottom="1440" w:left="1800" w:header="851" w:footer="992" w:gutter="0"/>
          <w:cols w:space="425" w:num="1"/>
          <w:docGrid w:type="lines" w:linePitch="312" w:charSpace="0"/>
        </w:sectPr>
      </w:pP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32"/>
        <w:gridCol w:w="2097"/>
        <w:gridCol w:w="5076"/>
      </w:tblGrid>
      <w:tr w14:paraId="020520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132" w:type="dxa"/>
          </w:tcPr>
          <w:p w14:paraId="186E88C1">
            <w:pPr>
              <w:pStyle w:val="11"/>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评审因素</w:t>
            </w:r>
          </w:p>
        </w:tc>
        <w:tc>
          <w:tcPr>
            <w:tcW w:w="7173" w:type="dxa"/>
            <w:gridSpan w:val="2"/>
          </w:tcPr>
          <w:p w14:paraId="1E17DE11">
            <w:pPr>
              <w:pStyle w:val="11"/>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评审标准</w:t>
            </w:r>
          </w:p>
        </w:tc>
      </w:tr>
      <w:tr w14:paraId="1524A9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32" w:type="dxa"/>
          </w:tcPr>
          <w:p w14:paraId="284D2D2E">
            <w:pPr>
              <w:pStyle w:val="11"/>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分值构成</w:t>
            </w:r>
          </w:p>
        </w:tc>
        <w:tc>
          <w:tcPr>
            <w:tcW w:w="7173" w:type="dxa"/>
            <w:gridSpan w:val="2"/>
          </w:tcPr>
          <w:p w14:paraId="5103EB61">
            <w:pPr>
              <w:pStyle w:val="11"/>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商务部分</w:t>
            </w:r>
            <w:r>
              <w:rPr>
                <w:rFonts w:hint="eastAsia" w:ascii="仿宋" w:hAnsi="仿宋" w:eastAsia="仿宋" w:cs="仿宋"/>
                <w:color w:val="auto"/>
                <w:sz w:val="22"/>
                <w:szCs w:val="22"/>
                <w:highlight w:val="none"/>
                <w:lang w:val="en-US" w:eastAsia="zh-CN"/>
              </w:rPr>
              <w:t>9</w:t>
            </w:r>
            <w:r>
              <w:rPr>
                <w:rFonts w:hint="eastAsia" w:ascii="仿宋" w:hAnsi="仿宋" w:eastAsia="仿宋" w:cs="仿宋"/>
                <w:color w:val="auto"/>
                <w:sz w:val="22"/>
                <w:szCs w:val="22"/>
                <w:highlight w:val="none"/>
              </w:rPr>
              <w:t>分</w:t>
            </w:r>
          </w:p>
          <w:p w14:paraId="4BAF2527">
            <w:pPr>
              <w:pStyle w:val="11"/>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技术部分</w:t>
            </w:r>
            <w:r>
              <w:rPr>
                <w:rFonts w:hint="eastAsia" w:ascii="仿宋" w:hAnsi="仿宋" w:eastAsia="仿宋" w:cs="仿宋"/>
                <w:color w:val="auto"/>
                <w:sz w:val="22"/>
                <w:szCs w:val="22"/>
                <w:highlight w:val="none"/>
                <w:lang w:val="en-US" w:eastAsia="zh-CN"/>
              </w:rPr>
              <w:t>71</w:t>
            </w:r>
            <w:r>
              <w:rPr>
                <w:rFonts w:hint="eastAsia" w:ascii="仿宋" w:hAnsi="仿宋" w:eastAsia="仿宋" w:cs="仿宋"/>
                <w:color w:val="auto"/>
                <w:sz w:val="22"/>
                <w:szCs w:val="22"/>
                <w:highlight w:val="none"/>
              </w:rPr>
              <w:t>分</w:t>
            </w:r>
          </w:p>
          <w:p w14:paraId="6C916B5B">
            <w:pPr>
              <w:pStyle w:val="11"/>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报价得分</w:t>
            </w:r>
            <w:r>
              <w:rPr>
                <w:rFonts w:hint="eastAsia" w:ascii="仿宋" w:hAnsi="仿宋" w:eastAsia="仿宋" w:cs="仿宋"/>
                <w:color w:val="auto"/>
                <w:sz w:val="22"/>
                <w:szCs w:val="22"/>
                <w:highlight w:val="none"/>
                <w:lang w:val="en-US" w:eastAsia="zh-CN"/>
              </w:rPr>
              <w:t>20</w:t>
            </w:r>
            <w:r>
              <w:rPr>
                <w:rFonts w:hint="eastAsia" w:ascii="仿宋" w:hAnsi="仿宋" w:eastAsia="仿宋" w:cs="仿宋"/>
                <w:color w:val="auto"/>
                <w:sz w:val="22"/>
                <w:szCs w:val="22"/>
                <w:highlight w:val="none"/>
              </w:rPr>
              <w:t>分</w:t>
            </w:r>
          </w:p>
        </w:tc>
      </w:tr>
      <w:tr w14:paraId="0BF4DD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32" w:type="dxa"/>
            <w:vMerge w:val="restart"/>
          </w:tcPr>
          <w:p w14:paraId="0FFC1EB9">
            <w:pPr>
              <w:pStyle w:val="11"/>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技术部分</w:t>
            </w:r>
          </w:p>
        </w:tc>
        <w:tc>
          <w:tcPr>
            <w:tcW w:w="2097" w:type="dxa"/>
          </w:tcPr>
          <w:p w14:paraId="381221D5">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对《采购需求》 中的“三、技术参数”的条款的响应情况  (</w:t>
            </w:r>
            <w:r>
              <w:rPr>
                <w:rFonts w:hint="eastAsia" w:ascii="仿宋" w:hAnsi="仿宋" w:eastAsia="仿宋" w:cs="仿宋"/>
                <w:color w:val="auto"/>
                <w:sz w:val="22"/>
                <w:szCs w:val="22"/>
                <w:highlight w:val="none"/>
                <w:lang w:val="en-US" w:eastAsia="zh-CN"/>
              </w:rPr>
              <w:t>24</w:t>
            </w:r>
            <w:r>
              <w:rPr>
                <w:rFonts w:hint="eastAsia" w:ascii="仿宋" w:hAnsi="仿宋" w:eastAsia="仿宋" w:cs="仿宋"/>
                <w:color w:val="auto"/>
                <w:sz w:val="22"/>
                <w:szCs w:val="22"/>
                <w:highlight w:val="none"/>
              </w:rPr>
              <w:t>.0分)</w:t>
            </w:r>
          </w:p>
        </w:tc>
        <w:tc>
          <w:tcPr>
            <w:tcW w:w="5076" w:type="dxa"/>
          </w:tcPr>
          <w:p w14:paraId="43E6CE78">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考核投标人对《采购需求》 中的</w:t>
            </w:r>
            <w:r>
              <w:rPr>
                <w:rFonts w:hint="eastAsia" w:ascii="仿宋" w:hAnsi="仿宋" w:eastAsia="仿宋" w:cs="仿宋"/>
                <w:b/>
                <w:bCs/>
                <w:color w:val="auto"/>
                <w:sz w:val="22"/>
                <w:szCs w:val="22"/>
                <w:highlight w:val="none"/>
              </w:rPr>
              <w:t>“三、技术参数”</w:t>
            </w:r>
            <w:r>
              <w:rPr>
                <w:rFonts w:hint="eastAsia" w:ascii="仿宋" w:hAnsi="仿宋" w:eastAsia="仿宋" w:cs="仿宋"/>
                <w:color w:val="auto"/>
                <w:sz w:val="22"/>
                <w:szCs w:val="22"/>
                <w:highlight w:val="none"/>
              </w:rPr>
              <w:t>的条款的响应情况中除“★”条款外的所有条款的响应程度（每条条款最小一级序号均以一项计算）：</w:t>
            </w:r>
          </w:p>
          <w:p w14:paraId="6C348013">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1.完全响应技术要求的得</w:t>
            </w:r>
            <w:r>
              <w:rPr>
                <w:rFonts w:hint="eastAsia" w:ascii="仿宋" w:hAnsi="仿宋" w:eastAsia="仿宋" w:cs="仿宋"/>
                <w:color w:val="auto"/>
                <w:sz w:val="22"/>
                <w:szCs w:val="22"/>
                <w:highlight w:val="none"/>
                <w:lang w:val="en-US" w:eastAsia="zh-CN"/>
              </w:rPr>
              <w:t>24</w:t>
            </w:r>
            <w:r>
              <w:rPr>
                <w:rFonts w:hint="eastAsia" w:ascii="仿宋" w:hAnsi="仿宋" w:eastAsia="仿宋" w:cs="仿宋"/>
                <w:color w:val="auto"/>
                <w:sz w:val="22"/>
                <w:szCs w:val="22"/>
                <w:highlight w:val="none"/>
              </w:rPr>
              <w:t xml:space="preserve">分； </w:t>
            </w:r>
          </w:p>
          <w:p w14:paraId="658572F2">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2.本项目“▲”条款参数共</w:t>
            </w:r>
            <w:r>
              <w:rPr>
                <w:rFonts w:hint="eastAsia" w:ascii="仿宋" w:hAnsi="仿宋" w:eastAsia="仿宋" w:cs="仿宋"/>
                <w:b/>
                <w:bCs/>
                <w:color w:val="auto"/>
                <w:sz w:val="22"/>
                <w:szCs w:val="22"/>
                <w:highlight w:val="none"/>
                <w:lang w:val="en-US" w:eastAsia="zh-CN"/>
              </w:rPr>
              <w:t>4</w:t>
            </w:r>
            <w:r>
              <w:rPr>
                <w:rFonts w:hint="eastAsia" w:ascii="仿宋" w:hAnsi="仿宋" w:eastAsia="仿宋" w:cs="仿宋"/>
                <w:color w:val="auto"/>
                <w:sz w:val="22"/>
                <w:szCs w:val="22"/>
                <w:highlight w:val="none"/>
              </w:rPr>
              <w:t>条。按量化指标，评审分数按以下公式进行计算：优于或完全响应的参数数量/参数总数量*</w:t>
            </w:r>
            <w:r>
              <w:rPr>
                <w:rFonts w:hint="eastAsia" w:ascii="仿宋" w:hAnsi="仿宋" w:eastAsia="仿宋" w:cs="仿宋"/>
                <w:color w:val="auto"/>
                <w:sz w:val="22"/>
                <w:szCs w:val="22"/>
                <w:highlight w:val="none"/>
                <w:lang w:val="en-US" w:eastAsia="zh-CN"/>
              </w:rPr>
              <w:t>12</w:t>
            </w:r>
            <w:r>
              <w:rPr>
                <w:rFonts w:hint="eastAsia" w:ascii="仿宋" w:hAnsi="仿宋" w:eastAsia="仿宋" w:cs="仿宋"/>
                <w:color w:val="auto"/>
                <w:sz w:val="22"/>
                <w:szCs w:val="22"/>
                <w:highlight w:val="none"/>
              </w:rPr>
              <w:t>分=“▲”条款参数得分；本小项共</w:t>
            </w:r>
            <w:r>
              <w:rPr>
                <w:rFonts w:hint="eastAsia" w:ascii="仿宋" w:hAnsi="仿宋" w:eastAsia="仿宋" w:cs="仿宋"/>
                <w:color w:val="auto"/>
                <w:sz w:val="22"/>
                <w:szCs w:val="22"/>
                <w:highlight w:val="none"/>
                <w:lang w:val="en-US" w:eastAsia="zh-CN"/>
              </w:rPr>
              <w:t>12</w:t>
            </w:r>
            <w:r>
              <w:rPr>
                <w:rFonts w:hint="eastAsia" w:ascii="仿宋" w:hAnsi="仿宋" w:eastAsia="仿宋" w:cs="仿宋"/>
                <w:color w:val="auto"/>
                <w:sz w:val="22"/>
                <w:szCs w:val="22"/>
                <w:highlight w:val="none"/>
              </w:rPr>
              <w:t xml:space="preserve">分（计算得分按四舍五入保留2位小数）； </w:t>
            </w:r>
          </w:p>
          <w:p w14:paraId="29590B34">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3.本项目一般条款参数共</w:t>
            </w:r>
            <w:r>
              <w:rPr>
                <w:rFonts w:hint="eastAsia" w:ascii="仿宋" w:hAnsi="仿宋" w:eastAsia="仿宋" w:cs="仿宋"/>
                <w:b/>
                <w:bCs/>
                <w:color w:val="auto"/>
                <w:sz w:val="22"/>
                <w:szCs w:val="22"/>
                <w:highlight w:val="none"/>
                <w:lang w:val="en-US" w:eastAsia="zh-CN"/>
              </w:rPr>
              <w:t>12</w:t>
            </w:r>
            <w:r>
              <w:rPr>
                <w:rFonts w:hint="eastAsia" w:ascii="仿宋" w:hAnsi="仿宋" w:eastAsia="仿宋" w:cs="仿宋"/>
                <w:color w:val="auto"/>
                <w:sz w:val="22"/>
                <w:szCs w:val="22"/>
                <w:highlight w:val="none"/>
              </w:rPr>
              <w:t>条。按量化指标，评审分数按以下公式进行计算：优于或完全响应的参数数量/参数总数量*</w:t>
            </w:r>
            <w:r>
              <w:rPr>
                <w:rFonts w:hint="eastAsia" w:ascii="仿宋" w:hAnsi="仿宋" w:eastAsia="仿宋" w:cs="仿宋"/>
                <w:color w:val="auto"/>
                <w:sz w:val="22"/>
                <w:szCs w:val="22"/>
                <w:highlight w:val="none"/>
                <w:lang w:val="en-US" w:eastAsia="zh-CN"/>
              </w:rPr>
              <w:t>12</w:t>
            </w:r>
            <w:r>
              <w:rPr>
                <w:rFonts w:hint="eastAsia" w:ascii="仿宋" w:hAnsi="仿宋" w:eastAsia="仿宋" w:cs="仿宋"/>
                <w:color w:val="auto"/>
                <w:sz w:val="22"/>
                <w:szCs w:val="22"/>
                <w:highlight w:val="none"/>
              </w:rPr>
              <w:t>分=非“▲”条款参数得分。本小项共</w:t>
            </w:r>
            <w:r>
              <w:rPr>
                <w:rFonts w:hint="eastAsia" w:ascii="仿宋" w:hAnsi="仿宋" w:eastAsia="仿宋" w:cs="仿宋"/>
                <w:color w:val="auto"/>
                <w:sz w:val="22"/>
                <w:szCs w:val="22"/>
                <w:highlight w:val="none"/>
                <w:lang w:val="en-US" w:eastAsia="zh-CN"/>
              </w:rPr>
              <w:t>12</w:t>
            </w:r>
            <w:r>
              <w:rPr>
                <w:rFonts w:hint="eastAsia" w:ascii="仿宋" w:hAnsi="仿宋" w:eastAsia="仿宋" w:cs="仿宋"/>
                <w:color w:val="auto"/>
                <w:sz w:val="22"/>
                <w:szCs w:val="22"/>
                <w:highlight w:val="none"/>
              </w:rPr>
              <w:t xml:space="preserve">分（计算得分按四舍五入保留2位小数）。 </w:t>
            </w:r>
          </w:p>
          <w:p w14:paraId="382C94EA">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注：（1）评审依据以投标文件中响应表填写内容为准，未填写的视为负偏离。</w:t>
            </w:r>
          </w:p>
          <w:p w14:paraId="739ADADA">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如采购需求中有明确要求提供具体证明资料的，必须按采购需求单独（额外）提供，提供的证明材料如果是英文的必须提供有资质的单位翻译成的中文版本，以翻译后的中文版本内容为准，如评标委员会无法从所提供资料中判断其响应内容是否符合要求的，视为负偏离。</w:t>
            </w:r>
            <w:bookmarkStart w:id="2" w:name="_GoBack"/>
            <w:bookmarkEnd w:id="2"/>
          </w:p>
          <w:p w14:paraId="22A3FF83">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（3）以上要求，投标人无提供或未按要求提供材料的不得分。</w:t>
            </w:r>
          </w:p>
        </w:tc>
      </w:tr>
      <w:tr w14:paraId="6B816A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32" w:type="dxa"/>
            <w:vMerge w:val="continue"/>
          </w:tcPr>
          <w:p w14:paraId="07B67C6E">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rPr>
            </w:pPr>
          </w:p>
        </w:tc>
        <w:tc>
          <w:tcPr>
            <w:tcW w:w="2097" w:type="dxa"/>
          </w:tcPr>
          <w:p w14:paraId="201F928F">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维保</w:t>
            </w:r>
            <w:r>
              <w:rPr>
                <w:rFonts w:hint="eastAsia" w:ascii="仿宋" w:hAnsi="仿宋" w:eastAsia="仿宋" w:cs="仿宋"/>
                <w:color w:val="auto"/>
                <w:sz w:val="22"/>
                <w:szCs w:val="22"/>
                <w:highlight w:val="none"/>
                <w:lang w:val="en-US" w:eastAsia="zh-CN"/>
              </w:rPr>
              <w:t>及升级</w:t>
            </w:r>
            <w:r>
              <w:rPr>
                <w:rFonts w:hint="eastAsia" w:ascii="仿宋" w:hAnsi="仿宋" w:eastAsia="仿宋" w:cs="仿宋"/>
                <w:color w:val="auto"/>
                <w:sz w:val="22"/>
                <w:szCs w:val="22"/>
                <w:highlight w:val="none"/>
              </w:rPr>
              <w:t>服务方案 (</w:t>
            </w:r>
            <w:r>
              <w:rPr>
                <w:rFonts w:hint="eastAsia" w:ascii="仿宋" w:hAnsi="仿宋" w:eastAsia="仿宋" w:cs="仿宋"/>
                <w:color w:val="auto"/>
                <w:sz w:val="22"/>
                <w:szCs w:val="22"/>
                <w:highlight w:val="none"/>
                <w:lang w:val="en-US" w:eastAsia="zh-CN"/>
              </w:rPr>
              <w:t>14</w:t>
            </w:r>
            <w:r>
              <w:rPr>
                <w:rFonts w:hint="eastAsia" w:ascii="仿宋" w:hAnsi="仿宋" w:eastAsia="仿宋" w:cs="仿宋"/>
                <w:color w:val="auto"/>
                <w:sz w:val="22"/>
                <w:szCs w:val="22"/>
                <w:highlight w:val="none"/>
              </w:rPr>
              <w:t>.0分)</w:t>
            </w:r>
          </w:p>
        </w:tc>
        <w:tc>
          <w:tcPr>
            <w:tcW w:w="5076" w:type="dxa"/>
          </w:tcPr>
          <w:p w14:paraId="076D4589">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评标委员会根据投标人针对本项目提供的维保及升级服务方案（包括但不限于对本项目维保设备常见故障的了解情况、维保工作计划、维保总结报告、升级服务方案等）进行综合评审：</w:t>
            </w:r>
          </w:p>
          <w:p w14:paraId="07C47196">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根据采购需求中维保及升级服务要求的内容，投标人提供的维保及升级服务方案，全面完善，契合本项目服务要求，对本项目维保设备常见故障了解全面具体，维保工作计划可行性强，维保总结报告详细合理、升级服务方案针对性强，优于采购需求的，得1</w:t>
            </w: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rPr>
              <w:t>分；</w:t>
            </w:r>
          </w:p>
          <w:p w14:paraId="3B90CD7E">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根据采购需求中维保及升级服务要求的内容，投标人提供的维保及升级服务方案完整，较为契合本项目服务要求，基本例举出本项目维保设备常见故障情况，维保工作计划具备实操性，维保总结报告较为合理、升级服务方案针对性较强，满足采购需求的，得</w:t>
            </w:r>
            <w:r>
              <w:rPr>
                <w:rFonts w:hint="eastAsia" w:ascii="仿宋" w:hAnsi="仿宋" w:eastAsia="仿宋" w:cs="仿宋"/>
                <w:color w:val="auto"/>
                <w:sz w:val="22"/>
                <w:szCs w:val="22"/>
                <w:highlight w:val="none"/>
                <w:lang w:val="en-US" w:eastAsia="zh-CN"/>
              </w:rPr>
              <w:t>7</w:t>
            </w:r>
            <w:r>
              <w:rPr>
                <w:rFonts w:hint="eastAsia" w:ascii="仿宋" w:hAnsi="仿宋" w:eastAsia="仿宋" w:cs="仿宋"/>
                <w:color w:val="auto"/>
                <w:sz w:val="22"/>
                <w:szCs w:val="22"/>
                <w:highlight w:val="none"/>
              </w:rPr>
              <w:t>分；</w:t>
            </w:r>
          </w:p>
          <w:p w14:paraId="3E0C9A52">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根据采购需求中维保及升级服务要求的内容，投标人提供的维保及升级服务方案，不够全面完善，部分契合本项目服务要求，对本项目维保设备常见故障了解欠缺、维保工作计划实施难度大、维保总结报告内容简易、升级服务方案针对性弱，部分满足采购需求的，得1分； </w:t>
            </w:r>
          </w:p>
          <w:p w14:paraId="6ECF7BD5">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rPr>
              <w:t>.未提供相关方案或未按要求提供不得分。</w:t>
            </w:r>
          </w:p>
        </w:tc>
      </w:tr>
      <w:tr w14:paraId="0803F7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465" w:hRule="atLeast"/>
        </w:trPr>
        <w:tc>
          <w:tcPr>
            <w:tcW w:w="1132" w:type="dxa"/>
            <w:vMerge w:val="continue"/>
          </w:tcPr>
          <w:p w14:paraId="36BADA77">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rPr>
            </w:pPr>
          </w:p>
        </w:tc>
        <w:tc>
          <w:tcPr>
            <w:tcW w:w="2097" w:type="dxa"/>
          </w:tcPr>
          <w:p w14:paraId="2BF776AE">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服务响应、配件更换售后及应急措施方案 (12.0分)</w:t>
            </w:r>
          </w:p>
          <w:p w14:paraId="259C86F3">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p>
        </w:tc>
        <w:tc>
          <w:tcPr>
            <w:tcW w:w="5076" w:type="dxa"/>
          </w:tcPr>
          <w:p w14:paraId="1CEEA6D9">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评标委员会根据投标人针对本项目提供的服务响应、配件更换售后及应急措施方案（包括但不限于服务响应时间，保修、维护、服务、技术支持措施计划和承诺，应急方案等）进行评审： </w:t>
            </w:r>
          </w:p>
          <w:p w14:paraId="6FB62828">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方案内容无缺漏，服务响应时间优于招标文件要求；有详细具体可行的保修、维护、服务、技术支持措施计划和承诺，处理问题能力强，售后及保修期内的服务方案完全符合项目需求；应急措施方案周全、详尽、可行，得12分； </w:t>
            </w:r>
          </w:p>
          <w:p w14:paraId="0C9ECC26">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方案内容无缺漏，服务响应时间满足招标文件要求；保修、维护、服务、技术支持措施计划和承诺能落实到位，体现其具备一定处理问题的能力，售后及保修期内的服务方案符合项目要求；应急措施方案具备可行性和操作性，得6.5分； </w:t>
            </w:r>
          </w:p>
          <w:p w14:paraId="73626E55">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3.方案内容无缺漏，服务响应时间满足招标文件要求；保修、维护、服务、技术支持措施计划和承诺比较空乏，售后及保修期内的服务方案针对性不强；应急措施方案未能全面具体涵盖风险预测的，得1分； </w:t>
            </w:r>
          </w:p>
          <w:p w14:paraId="31209E77">
            <w:pPr>
              <w:pStyle w:val="2"/>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4.未提供相关方案或未按要求提供不得分。</w:t>
            </w:r>
          </w:p>
        </w:tc>
      </w:tr>
      <w:tr w14:paraId="3E924A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32" w:type="dxa"/>
            <w:vMerge w:val="continue"/>
          </w:tcPr>
          <w:p w14:paraId="6D4D841C">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rPr>
            </w:pPr>
          </w:p>
        </w:tc>
        <w:tc>
          <w:tcPr>
            <w:tcW w:w="2097" w:type="dxa"/>
          </w:tcPr>
          <w:p w14:paraId="664F35B1">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质量保障方案 (11.0分)</w:t>
            </w:r>
          </w:p>
        </w:tc>
        <w:tc>
          <w:tcPr>
            <w:tcW w:w="5076" w:type="dxa"/>
          </w:tcPr>
          <w:p w14:paraId="5097A407">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评标委员会根据投标人针对本项目提供的质量保障方案（包括但不限于质量管理目标、质量控制过程所使用的方法、质量管理的纠偏措施、风险预防和应对措施等）进行综合评审： </w:t>
            </w:r>
          </w:p>
          <w:p w14:paraId="4F1D0759">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1.根据采购需求中质量保障要求的内容，投标人提供的质量保障方案，全面完善，契合本项目服务要求，优于采购需求的，得11分；</w:t>
            </w:r>
          </w:p>
          <w:p w14:paraId="6B196AE1">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2.据采购需求中质量保障要求的内容，投标人提供的质量保障方案完整，较为契合本项目服务要求，完全满足采购需求的，得6分； </w:t>
            </w:r>
          </w:p>
          <w:p w14:paraId="77A871F6">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3.根据采购需求中质量保障要求的内容，投标人提供的质量保障方案，不够全面完善，部分契合本项目服务要求，部分满足采购需求的，得1分； </w:t>
            </w:r>
          </w:p>
          <w:p w14:paraId="0818FC80">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4.未提供相关方案或未按要求提供不得分。</w:t>
            </w:r>
          </w:p>
        </w:tc>
      </w:tr>
      <w:tr w14:paraId="4E54FC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612" w:hRule="atLeast"/>
        </w:trPr>
        <w:tc>
          <w:tcPr>
            <w:tcW w:w="1132" w:type="dxa"/>
            <w:vMerge w:val="continue"/>
          </w:tcPr>
          <w:p w14:paraId="3B5606FD">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rPr>
            </w:pPr>
          </w:p>
        </w:tc>
        <w:tc>
          <w:tcPr>
            <w:tcW w:w="2097" w:type="dxa"/>
          </w:tcPr>
          <w:p w14:paraId="365AF2D4">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培训服务方案 (10.0分)</w:t>
            </w:r>
          </w:p>
          <w:p w14:paraId="7CC8CDC8">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p>
        </w:tc>
        <w:tc>
          <w:tcPr>
            <w:tcW w:w="5076" w:type="dxa"/>
          </w:tcPr>
          <w:p w14:paraId="055616E2">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评标委员会根据投标人针对本项目提供的培训服务方案（包括但不限于培训目标及方式、培训师资安排、培训结果保障措施等）进行综合评审： </w:t>
            </w:r>
          </w:p>
          <w:p w14:paraId="0E519B46">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1.根据采购需求中培训要求的内容，投标人提供的培训方案，全面完善，契合本项目服务要求，优于采购需求的，得10分；</w:t>
            </w:r>
          </w:p>
          <w:p w14:paraId="27979C2E">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2.根据采购需求中培训要求的内容，投标人提供的培训方案完整，较为契合本项目服务要求，满足采购需求的，得5.5分； </w:t>
            </w:r>
          </w:p>
          <w:p w14:paraId="01BA20C4">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3.根据采购需求中培训要求的内容，投标人提供的培训方案，不够全面完善，部分契合本项目服务要求，部分满足采购需求的，得1分；  </w:t>
            </w:r>
          </w:p>
          <w:p w14:paraId="06AF2C47">
            <w:pPr>
              <w:pStyle w:val="2"/>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4.未提供相关方案或未按要求提供不得分。</w:t>
            </w:r>
          </w:p>
        </w:tc>
      </w:tr>
      <w:tr w14:paraId="6A44D3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200" w:hRule="atLeast"/>
        </w:trPr>
        <w:tc>
          <w:tcPr>
            <w:tcW w:w="1132" w:type="dxa"/>
            <w:vMerge w:val="restart"/>
          </w:tcPr>
          <w:p w14:paraId="6181265D">
            <w:pPr>
              <w:pStyle w:val="11"/>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商务部分</w:t>
            </w:r>
          </w:p>
        </w:tc>
        <w:tc>
          <w:tcPr>
            <w:tcW w:w="2097" w:type="dxa"/>
          </w:tcPr>
          <w:p w14:paraId="7C7299F7">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同类项目业绩 (</w:t>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rPr>
              <w:t>.0分)</w:t>
            </w:r>
          </w:p>
        </w:tc>
        <w:tc>
          <w:tcPr>
            <w:tcW w:w="5076" w:type="dxa"/>
          </w:tcPr>
          <w:p w14:paraId="04FBF02B">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评标委员会根据投标人提供的同类项目业绩情况进行评审：202</w:t>
            </w: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rPr>
              <w:t>年1月1日以来（以合同（协议）签订日期或合同（协议）约定生效日期或合同（协议）履约期限为准）投标人承接的同类项目业绩，每提供1个符合要求的项目业绩得1分，最高得</w:t>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rPr>
              <w:t xml:space="preserve">分。 </w:t>
            </w:r>
          </w:p>
          <w:p w14:paraId="2B19880B">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注：（1）投标文件中提供合同关键页（包括但不限于签订合同双方的单位名称、合同项目名称、签订合同双方的落款盖章、签订日期的关键页）的复印件作为同类业绩评价证明资料等相应的业绩证明材料复印件或扫描件，业绩证明材料须清晰体现与本项目用户需求采购标的内容同类业绩要求，如评标委员会无法从所提供的材料中判断是否符合要求的，视为不符合； </w:t>
            </w:r>
          </w:p>
          <w:p w14:paraId="7B3035DE">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（2）同一个项目提供多份合同的不重复计分； </w:t>
            </w:r>
          </w:p>
          <w:p w14:paraId="023A949F">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（3）未提供或未按要求提供的，不得分。</w:t>
            </w:r>
          </w:p>
        </w:tc>
      </w:tr>
      <w:tr w14:paraId="7B0771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68" w:hRule="atLeast"/>
        </w:trPr>
        <w:tc>
          <w:tcPr>
            <w:tcW w:w="1132" w:type="dxa"/>
            <w:vMerge w:val="continue"/>
          </w:tcPr>
          <w:p w14:paraId="23B7ADCC">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rPr>
            </w:pPr>
          </w:p>
        </w:tc>
        <w:tc>
          <w:tcPr>
            <w:tcW w:w="2097" w:type="dxa"/>
          </w:tcPr>
          <w:p w14:paraId="106F4799">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拟投入团队人员情况 (</w:t>
            </w: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rPr>
              <w:t>.0分)</w:t>
            </w:r>
          </w:p>
        </w:tc>
        <w:tc>
          <w:tcPr>
            <w:tcW w:w="5076" w:type="dxa"/>
          </w:tcPr>
          <w:p w14:paraId="41FB1B9F">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根据投标人为本项目拟投入团队人员情况进行评审：</w:t>
            </w:r>
          </w:p>
          <w:p w14:paraId="0265B360">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（本项目采购需求要求具备不少于2名</w:t>
            </w:r>
            <w:r>
              <w:rPr>
                <w:rFonts w:hint="eastAsia" w:ascii="仿宋" w:hAnsi="仿宋" w:eastAsia="仿宋" w:cs="仿宋"/>
                <w:color w:val="auto"/>
                <w:sz w:val="22"/>
                <w:szCs w:val="22"/>
                <w:highlight w:val="none"/>
                <w:lang w:val="en-US" w:eastAsia="zh-CN"/>
              </w:rPr>
              <w:t>超声</w:t>
            </w:r>
            <w:r>
              <w:rPr>
                <w:rFonts w:hint="eastAsia" w:ascii="仿宋" w:hAnsi="仿宋" w:eastAsia="仿宋" w:cs="仿宋"/>
                <w:color w:val="auto"/>
                <w:sz w:val="22"/>
                <w:szCs w:val="22"/>
                <w:highlight w:val="none"/>
              </w:rPr>
              <w:t>设备维修资质的工程师组成的服务团队）</w:t>
            </w:r>
          </w:p>
          <w:p w14:paraId="23B8325D">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1.在具备2名符合要求的人员的前提下，每增加1名符合要求工程师的，得</w:t>
            </w:r>
            <w:r>
              <w:rPr>
                <w:rFonts w:hint="eastAsia" w:ascii="仿宋" w:hAnsi="仿宋" w:eastAsia="仿宋" w:cs="仿宋"/>
                <w:color w:val="auto"/>
                <w:sz w:val="22"/>
                <w:szCs w:val="22"/>
                <w:highlight w:val="none"/>
                <w:lang w:val="en-US" w:eastAsia="zh-CN"/>
              </w:rPr>
              <w:t>2</w:t>
            </w:r>
            <w:r>
              <w:rPr>
                <w:rFonts w:hint="eastAsia" w:ascii="仿宋" w:hAnsi="仿宋" w:eastAsia="仿宋" w:cs="仿宋"/>
                <w:color w:val="auto"/>
                <w:sz w:val="22"/>
                <w:szCs w:val="22"/>
                <w:highlight w:val="none"/>
              </w:rPr>
              <w:t>分，本小项最高可得</w:t>
            </w: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rPr>
              <w:t>分。</w:t>
            </w:r>
          </w:p>
          <w:p w14:paraId="3CDD9EC8">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注：（1）提供</w:t>
            </w:r>
            <w:r>
              <w:rPr>
                <w:rFonts w:hint="eastAsia" w:ascii="仿宋" w:hAnsi="仿宋" w:eastAsia="仿宋" w:cs="仿宋"/>
                <w:color w:val="auto"/>
                <w:sz w:val="22"/>
                <w:szCs w:val="22"/>
                <w:highlight w:val="none"/>
                <w:lang w:val="en-US" w:eastAsia="zh-CN"/>
              </w:rPr>
              <w:t>超声</w:t>
            </w:r>
            <w:r>
              <w:rPr>
                <w:rFonts w:hint="eastAsia" w:ascii="仿宋" w:hAnsi="仿宋" w:eastAsia="仿宋" w:cs="仿宋"/>
                <w:color w:val="auto"/>
                <w:sz w:val="22"/>
                <w:szCs w:val="22"/>
                <w:highlight w:val="none"/>
              </w:rPr>
              <w:t>设备培训证书作为工程师维修资质证明</w:t>
            </w:r>
            <w:r>
              <w:rPr>
                <w:rFonts w:hint="eastAsia" w:ascii="仿宋" w:hAnsi="仿宋" w:eastAsia="仿宋" w:cs="仿宋"/>
                <w:color w:val="auto"/>
                <w:sz w:val="22"/>
                <w:szCs w:val="22"/>
                <w:highlight w:val="none"/>
                <w:lang w:eastAsia="zh-CN"/>
              </w:rPr>
              <w:t>。</w:t>
            </w:r>
          </w:p>
          <w:p w14:paraId="7C0529E2">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同时须提供以投标截止日为基准，往前倒推3个月内任意1个月由投标人为其购买社保的参保证明复印件（或扫描件）及劳动合同关键页复印件（或扫描件）（可隐去隐私信息）。①如投标人成立时间不足3个月或该人员入职不足1个月，则只需提供该人员劳动合同关键页复印件（或扫描件）；②对于确实无法提供社保的特殊人才（如退休返聘专家），可提供聘用协议或其他相关劳动关系证明材料复印件（或扫描件）；③若投标人投标时未能提供相关人员参保证明及劳动合同的，可在投标文件中提供承诺函并加盖投标人公章，承诺函内容包括但不限于：“若我单位中标，合同签订前保证按投标文件中所承诺投入本项目的人员全部到位，并提供所投人员以我单位名义缴纳的参保证明及劳动合同，否则视为我单位放弃中标资格”，视为满足评审要求。</w:t>
            </w:r>
          </w:p>
          <w:p w14:paraId="0824CA7F">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（3）未按要求提供或材料不齐全的不得分。</w:t>
            </w:r>
          </w:p>
        </w:tc>
      </w:tr>
      <w:tr w14:paraId="2FF633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32" w:type="dxa"/>
          </w:tcPr>
          <w:p w14:paraId="0F733552">
            <w:pPr>
              <w:pStyle w:val="11"/>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投标报价</w:t>
            </w:r>
          </w:p>
        </w:tc>
        <w:tc>
          <w:tcPr>
            <w:tcW w:w="2097" w:type="dxa"/>
          </w:tcPr>
          <w:p w14:paraId="74A8DDF3">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投标报价得分 (</w:t>
            </w:r>
            <w:r>
              <w:rPr>
                <w:rFonts w:hint="eastAsia" w:ascii="仿宋" w:hAnsi="仿宋" w:eastAsia="仿宋" w:cs="仿宋"/>
                <w:color w:val="auto"/>
                <w:sz w:val="22"/>
                <w:szCs w:val="22"/>
                <w:highlight w:val="none"/>
                <w:lang w:val="en-US" w:eastAsia="zh-CN"/>
              </w:rPr>
              <w:t>2</w:t>
            </w:r>
            <w:r>
              <w:rPr>
                <w:rFonts w:hint="eastAsia" w:ascii="仿宋" w:hAnsi="仿宋" w:eastAsia="仿宋" w:cs="仿宋"/>
                <w:color w:val="auto"/>
                <w:sz w:val="22"/>
                <w:szCs w:val="22"/>
                <w:highlight w:val="none"/>
              </w:rPr>
              <w:t>0.0分)</w:t>
            </w:r>
          </w:p>
        </w:tc>
        <w:tc>
          <w:tcPr>
            <w:tcW w:w="5076" w:type="dxa"/>
          </w:tcPr>
          <w:p w14:paraId="27A4EAD2">
            <w:pPr>
              <w:pStyle w:val="11"/>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tc>
      </w:tr>
    </w:tbl>
    <w:p w14:paraId="51E4919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6A89C">
    <w:pPr>
      <w:pStyle w:val="4"/>
      <w:rPr>
        <w:rFonts w:hint="default" w:eastAsiaTheme="minorEastAsia"/>
        <w:lang w:val="en-US" w:eastAsia="zh-CN"/>
      </w:rPr>
    </w:pPr>
    <w:r>
      <w:rPr>
        <w:rFonts w:hint="eastAsia"/>
        <w:lang w:val="en-US" w:eastAsia="zh-CN"/>
      </w:rPr>
      <w:t>需求科室：                                             审核科室：</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7E8738"/>
    <w:multiLevelType w:val="singleLevel"/>
    <w:tmpl w:val="1E7E8738"/>
    <w:lvl w:ilvl="0" w:tentative="0">
      <w:start w:val="1"/>
      <w:numFmt w:val="chineseCounting"/>
      <w:suff w:val="nothing"/>
      <w:lvlText w:val="%1、"/>
      <w:lvlJc w:val="left"/>
      <w:rPr>
        <w:rFonts w:hint="eastAsia"/>
      </w:rPr>
    </w:lvl>
  </w:abstractNum>
  <w:abstractNum w:abstractNumId="1">
    <w:nsid w:val="62D10356"/>
    <w:multiLevelType w:val="singleLevel"/>
    <w:tmpl w:val="62D10356"/>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2B40E5"/>
    <w:rsid w:val="11607B7A"/>
    <w:rsid w:val="19CE30FF"/>
    <w:rsid w:val="202B40E5"/>
    <w:rsid w:val="5A020EA0"/>
    <w:rsid w:val="6CB372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widowControl/>
      <w:jc w:val="left"/>
    </w:pPr>
    <w:rPr>
      <w:kern w:val="0"/>
      <w:szCs w:val="20"/>
    </w:rPr>
  </w:style>
  <w:style w:type="paragraph" w:styleId="3">
    <w:name w:val="Body Text"/>
    <w:basedOn w:val="1"/>
    <w:qFormat/>
    <w:uiPriority w:val="0"/>
    <w:pPr>
      <w:spacing w:after="120"/>
    </w:p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
    <w:name w:val="Table Text"/>
    <w:basedOn w:val="1"/>
    <w:semiHidden/>
    <w:qFormat/>
    <w:uiPriority w:val="0"/>
    <w:rPr>
      <w:rFonts w:ascii="宋体" w:hAnsi="宋体" w:cs="宋体"/>
      <w:sz w:val="24"/>
      <w:lang w:eastAsia="en-US"/>
    </w:rPr>
  </w:style>
  <w:style w:type="table" w:customStyle="1" w:styleId="10">
    <w:name w:val="Table Normal"/>
    <w:unhideWhenUsed/>
    <w:qFormat/>
    <w:uiPriority w:val="0"/>
    <w:tblPr>
      <w:tblCellMar>
        <w:top w:w="0" w:type="dxa"/>
        <w:left w:w="0" w:type="dxa"/>
        <w:bottom w:w="0" w:type="dxa"/>
        <w:right w:w="0" w:type="dxa"/>
      </w:tblCellMar>
    </w:tblPr>
  </w:style>
  <w:style w:type="paragraph" w:customStyle="1" w:styleId="1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3184</Words>
  <Characters>4529</Characters>
  <Lines>0</Lines>
  <Paragraphs>0</Paragraphs>
  <TotalTime>19</TotalTime>
  <ScaleCrop>false</ScaleCrop>
  <LinksUpToDate>false</LinksUpToDate>
  <CharactersWithSpaces>4637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2026-08-20T01:31:00Z</dcterms:created>
  <dc:creator>ye</dc:creator>
  <cp:lastModifiedBy>维</cp:lastModifiedBy>
  <cp:lastPrinted>2026-09-03T00:54:00Z</cp:lastPrinted>
  <dcterms:modified xsi:type="dcterms:W3CDTF">2026-09-14T02:27:25Z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DDA712F2033D4DE0B238DD93DC222950_11</vt:lpwstr>
  </property>
  <property fmtid="{D5CDD505-2E9C-101B-9397-08002B2CF9AE}" pid="4" name="KSOTemplateDocerSaveRecord">
    <vt:lpwstr>eyJoZGlkIjoiZTIwMTMwYTA2NTI3OTgwOGYwYzA4NmFiZDYzYTU5NzEiLCJ1c2VySWQiOiI2NzkzNTU2NjEifQ==</vt:lpwstr>
  </property>
</Properties>
</file>