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915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6"/>
        <w:gridCol w:w="1034"/>
        <w:gridCol w:w="7408"/>
      </w:tblGrid>
      <w:tr w14:paraId="220954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  <w:jc w:val="center"/>
        </w:trPr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D4728A">
            <w:pPr>
              <w:widowControl/>
              <w:jc w:val="center"/>
              <w:textAlignment w:val="center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kern w:val="0"/>
                <w:sz w:val="18"/>
                <w:szCs w:val="18"/>
              </w:rPr>
              <w:t>序号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CAD3E9">
            <w:pPr>
              <w:widowControl/>
              <w:jc w:val="center"/>
              <w:textAlignment w:val="center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kern w:val="0"/>
                <w:sz w:val="18"/>
                <w:szCs w:val="18"/>
              </w:rPr>
              <w:t>名称</w:t>
            </w:r>
          </w:p>
        </w:tc>
        <w:tc>
          <w:tcPr>
            <w:tcW w:w="7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95A16E">
            <w:pPr>
              <w:widowControl/>
              <w:jc w:val="center"/>
              <w:textAlignment w:val="center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kern w:val="0"/>
                <w:sz w:val="18"/>
                <w:szCs w:val="18"/>
              </w:rPr>
              <w:t>技术参数</w:t>
            </w:r>
          </w:p>
        </w:tc>
      </w:tr>
      <w:tr w14:paraId="09438E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8" w:hRule="atLeast"/>
          <w:jc w:val="center"/>
        </w:trPr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42EA35">
            <w:pPr>
              <w:widowControl/>
              <w:spacing w:line="240" w:lineRule="auto"/>
              <w:jc w:val="center"/>
              <w:textAlignment w:val="center"/>
              <w:rPr>
                <w:rFonts w:hint="eastAsia" w:ascii="微软雅黑" w:hAnsi="微软雅黑" w:eastAsia="微软雅黑" w:cs="微软雅黑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E9E8AC">
            <w:pPr>
              <w:widowControl/>
              <w:spacing w:line="240" w:lineRule="auto"/>
              <w:jc w:val="center"/>
              <w:textAlignment w:val="center"/>
              <w:rPr>
                <w:rFonts w:hint="eastAsia" w:ascii="微软雅黑" w:hAnsi="微软雅黑" w:eastAsia="微软雅黑" w:cs="微软雅黑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kern w:val="0"/>
                <w:sz w:val="16"/>
                <w:szCs w:val="16"/>
                <w:lang w:val="en-US" w:eastAsia="zh-CN"/>
              </w:rPr>
              <w:t>65</w:t>
            </w:r>
            <w:r>
              <w:rPr>
                <w:rFonts w:hint="eastAsia" w:ascii="微软雅黑" w:hAnsi="微软雅黑" w:eastAsia="微软雅黑" w:cs="微软雅黑"/>
                <w:b/>
                <w:bCs/>
                <w:kern w:val="0"/>
                <w:sz w:val="16"/>
                <w:szCs w:val="16"/>
              </w:rPr>
              <w:t>寸智能会议平板</w:t>
            </w:r>
          </w:p>
        </w:tc>
        <w:tc>
          <w:tcPr>
            <w:tcW w:w="7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CF511A">
            <w:pPr>
              <w:spacing w:line="240" w:lineRule="auto"/>
              <w:rPr>
                <w:rFonts w:hint="eastAsia" w:ascii="微软雅黑" w:hAnsi="微软雅黑" w:eastAsia="微软雅黑" w:cs="微软雅黑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1、</w:t>
            </w: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★整机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采用A级液晶面板，尺寸≥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65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英寸。整机采用一体设计，外部无任何可见内部功能模块连接线。边角采用弧形设计，表面无尖锐边缘或凸起。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（提供具有CNAS机构认可的权威实验室出具的检测报告复印件加盖供货商盖章）</w:t>
            </w:r>
          </w:p>
          <w:p w14:paraId="0B1E2D62">
            <w:pPr>
              <w:adjustRightInd w:val="0"/>
              <w:snapToGrid w:val="0"/>
              <w:spacing w:line="240" w:lineRule="auto"/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2、整机支持4K UHD超高清显示，</w:t>
            </w:r>
            <w:r>
              <w:rPr>
                <w:rFonts w:hint="eastAsia" w:ascii="微软雅黑" w:hAnsi="微软雅黑" w:eastAsia="微软雅黑" w:cs="微软雅黑"/>
                <w:spacing w:val="-4"/>
                <w:sz w:val="16"/>
                <w:szCs w:val="16"/>
              </w:rPr>
              <w:t>物理分辨率≥3840*2160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，亮度（最亮）≥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35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0cd/㎡；对比度≥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12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00:1，灰阶分辨率等级达到128灰阶，显示比例 16:9</w:t>
            </w:r>
            <w:r>
              <w:rPr>
                <w:rFonts w:hint="eastAsia" w:ascii="微软雅黑" w:hAnsi="微软雅黑" w:eastAsia="微软雅黑" w:cs="微软雅黑"/>
                <w:spacing w:val="-4"/>
                <w:sz w:val="16"/>
                <w:szCs w:val="16"/>
              </w:rPr>
              <w:t>。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（提供具有CNAS机构认可的权威实验室出具的检测报告复印件加盖原厂公章，原件备查）</w:t>
            </w:r>
          </w:p>
          <w:p w14:paraId="7AF18CD2">
            <w:pPr>
              <w:spacing w:line="240" w:lineRule="auto"/>
              <w:rPr>
                <w:rFonts w:hint="eastAsia" w:ascii="微软雅黑" w:hAnsi="微软雅黑" w:eastAsia="微软雅黑" w:cs="微软雅黑"/>
                <w:b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3、整机经过国家权威机构安全测试，电磁兼容测试，4级防 雷击功能测试，产品在雷雨天气也能正常使用，保证观看不受环境影响。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（提供具有CNAS机构认可的权威实验室出具的检测报告复印件加盖原厂公章，原件备查）</w:t>
            </w:r>
          </w:p>
          <w:p w14:paraId="18D30CDB">
            <w:pPr>
              <w:adjustRightInd w:val="0"/>
              <w:snapToGrid w:val="0"/>
              <w:spacing w:line="240" w:lineRule="auto"/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4、★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整机具备智能手势识别功能，在任意信号源通道下可识别五指 上、下、左、右方向手势滑动并调用响应功能，支持将各手 势滑动方向自定义设置为无操作、熄屏、批注、桌面、半屏 模式。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（提供具有CNAS机构认可的权威实验室出具的检测报告复印件加盖原厂公章，原件备查）</w:t>
            </w:r>
          </w:p>
          <w:p w14:paraId="5EFE59E0">
            <w:pPr>
              <w:widowControl/>
              <w:spacing w:line="240" w:lineRule="auto"/>
              <w:jc w:val="left"/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5、★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整机支持双系统，内置嵌入式系统版本≥Android14.0，内存≥4GB，固态存储≥32GB</w:t>
            </w: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。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提供实物或视频图片并加原厂公章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）</w:t>
            </w:r>
          </w:p>
          <w:p w14:paraId="327D2F9D">
            <w:pPr>
              <w:widowControl/>
              <w:spacing w:line="240" w:lineRule="auto"/>
              <w:jc w:val="left"/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6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、▲整机具有防眩光效果，确保宽视角，保证会议室观看清晰，产品平面通过拼接形成表面一体化，无推拉式结构正反面无外露连接线。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（提供具有CNAS机构认可的权威实验室出具的检测报告复印件加盖原厂公章，原件备查）</w:t>
            </w:r>
          </w:p>
          <w:p w14:paraId="3E21A604">
            <w:pPr>
              <w:pStyle w:val="9"/>
              <w:spacing w:line="240" w:lineRule="auto"/>
              <w:ind w:firstLine="0" w:firstLineChars="0"/>
              <w:rPr>
                <w:rFonts w:hint="eastAsia" w:ascii="微软雅黑" w:hAnsi="微软雅黑" w:eastAsia="微软雅黑" w:cs="微软雅黑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7、★整机前置端口需具备：1路TYPE-C接口，3路USB 3.0接口，1路HDMI2.0接口，1路TOUCH USB触摸接口。USB 3.0接口支持Windows及Android 双系统读取及触摸信号识别，全部采用中文标识便于用户使用。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16"/>
                <w:szCs w:val="16"/>
              </w:rPr>
              <w:t>（提供实物或视频图片并加原厂公章）</w:t>
            </w:r>
          </w:p>
          <w:p w14:paraId="5CE31BEA">
            <w:pPr>
              <w:pStyle w:val="9"/>
              <w:spacing w:line="240" w:lineRule="auto"/>
              <w:ind w:firstLine="0" w:firstLineChars="0"/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8、整机机身达到防盐雾十级要求，避免长期使用过程中生锈老化。具备防火安全功能，防爆认证，并经过抗震测试。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（提供具有CNAS机构认可的权威实验室出具的检测报告复印件加盖原厂公章，原件备查）</w:t>
            </w:r>
          </w:p>
          <w:p w14:paraId="3B9AD3BE">
            <w:pPr>
              <w:pStyle w:val="9"/>
              <w:spacing w:line="240" w:lineRule="auto"/>
              <w:ind w:firstLine="0" w:firstLineChars="0"/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9、整机屏幕符合防眩目和防划伤钢化玻璃的相关要求，可承受800克钢球在1米高度自由下落的撞击，4㎜后全钢化玻璃，表面硬度不低于7H，雾度≤5%；透光率不低92%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（提供具有CNAS机构认可的权威实验室出具的检测报告复印件加盖原厂公章，原件备查）</w:t>
            </w:r>
          </w:p>
          <w:p w14:paraId="40483E22">
            <w:pPr>
              <w:pStyle w:val="9"/>
              <w:spacing w:line="240" w:lineRule="auto"/>
              <w:ind w:firstLine="0" w:firstLineChars="0"/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10、整机经过高低温负荷试验、高低温贮存试验、恒定湿热试验；整机在0℃-40℃环境下可正常工作，在-20℃---60℃环境下可正常贮存且贮存后功能无损。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（提供具有CNAS机构认可的权威实验室出具的检测报告复印件加盖原厂公章，原件备查）</w:t>
            </w:r>
          </w:p>
          <w:p w14:paraId="7F4ED679">
            <w:pPr>
              <w:pStyle w:val="9"/>
              <w:spacing w:line="240" w:lineRule="auto"/>
              <w:ind w:firstLine="0" w:firstLineChars="0"/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11、▲为适应不同身高条件操作人员对会议平板实际操作的需求，在不采用任何任何物理升降结构的前提下，可实现液晶屏显示窗口下移，自动锁定触摸区域，方便老师操作。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（提供具有CNAS机构认可的权威实验室出具的检测报告复印件加盖原厂公章，原件备查）</w:t>
            </w:r>
          </w:p>
          <w:p w14:paraId="2351CC17">
            <w:pPr>
              <w:pStyle w:val="9"/>
              <w:tabs>
                <w:tab w:val="left" w:pos="9214"/>
              </w:tabs>
              <w:spacing w:line="240" w:lineRule="auto"/>
              <w:ind w:firstLine="0" w:firstLineChars="0"/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12、▲整机开关机、电脑开关机、一键黑屏节能、锁定和解锁屏幕、支持一键调取和关闭中控菜单，在黑屏节能状态下可实现节能78%以上，并可通过前置按键或者敲击屏幕重新唤醒屏幕；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（提供具有CNAS机构认可的权威实验室出具的检测报告复印件加盖原厂公章，原件备查）</w:t>
            </w:r>
          </w:p>
          <w:p w14:paraId="2FD89FF0">
            <w:pPr>
              <w:pStyle w:val="9"/>
              <w:spacing w:line="240" w:lineRule="auto"/>
              <w:ind w:firstLine="0" w:firstLineChars="0"/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1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、整机</w:t>
            </w: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支持多种息屏模式，包含手势息屏、感光息屏、按键息屏等，可通过前置物理按键或五指按压显示屏和前置感光窗口进行息屏。</w:t>
            </w:r>
          </w:p>
          <w:p w14:paraId="7FA1E417">
            <w:pPr>
              <w:pStyle w:val="9"/>
              <w:spacing w:line="240" w:lineRule="auto"/>
              <w:ind w:firstLine="0" w:firstLineChars="0"/>
              <w:rPr>
                <w:rFonts w:hint="eastAsia" w:ascii="微软雅黑" w:hAnsi="微软雅黑" w:eastAsia="微软雅黑" w:cs="微软雅黑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1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4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、整机内置硬件系统检测（支持无PC状态下使用）：对系统内存、硬盘、内嵌电脑、屏温监控、光感系统等提供直观的状态、故障提示。整机具备一键还原功能，无需专业人员即可轻松解决电脑系统故障。</w:t>
            </w: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具备一键还原电脑复位按钮，为防止误操作，按钮须为隐藏式或针孔式的，方便维护电脑系统。</w:t>
            </w:r>
          </w:p>
          <w:p w14:paraId="36185F64">
            <w:pPr>
              <w:pStyle w:val="9"/>
              <w:spacing w:line="240" w:lineRule="auto"/>
              <w:ind w:firstLine="0" w:firstLineChars="0"/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1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、</w:t>
            </w: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★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整机具有防蓝光自动护眼功能、童锁功能、温度监控、安卓录屏功能 、半屏功能。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（提供具有CNAS机构认可的权威实验室出具的检测报告复印件加盖原厂公章，原件备查）</w:t>
            </w:r>
          </w:p>
          <w:p w14:paraId="624550AC">
            <w:pPr>
              <w:pStyle w:val="9"/>
              <w:spacing w:line="240" w:lineRule="auto"/>
              <w:ind w:firstLine="0" w:firstLineChars="0"/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1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6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、</w:t>
            </w: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★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整机具备多接口：网络端口、HDMI、USB、Audio、AV、同轴等多种接口，能对多媒体USB所读取到的课件文件进行自动归类可快速分类查找，检索后可直接在界面中打开。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（提供具有CNAS机构认可的权威实验室出具的检测报告复印件加盖原厂公章，原件备查）</w:t>
            </w:r>
          </w:p>
          <w:p w14:paraId="5F176501">
            <w:pPr>
              <w:pStyle w:val="9"/>
              <w:spacing w:line="240" w:lineRule="auto"/>
              <w:ind w:firstLine="0" w:firstLineChars="0"/>
              <w:rPr>
                <w:rFonts w:hint="eastAsia" w:ascii="微软雅黑" w:hAnsi="微软雅黑" w:eastAsia="微软雅黑" w:cs="微软雅黑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1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7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、整机钢化玻璃通过无爆边、无划伤、无夹钳印、无裂纹、无缺角检测</w:t>
            </w:r>
          </w:p>
          <w:p w14:paraId="37CBDA51">
            <w:pPr>
              <w:pStyle w:val="9"/>
              <w:spacing w:line="240" w:lineRule="auto"/>
              <w:ind w:firstLine="0" w:firstLineChars="0"/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1</w:t>
            </w: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  <w:lang w:val="en-US" w:eastAsia="zh-CN"/>
              </w:rPr>
              <w:t>8</w:t>
            </w: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、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整机具有抗强光干扰：能在照度90K LUX（勒克司）环境下仍能正常工作。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（提供具有CNAS机构认可的权威实验室出具的检测报告复印件加盖原厂公章）</w:t>
            </w:r>
          </w:p>
          <w:p w14:paraId="2CAB1B0E">
            <w:pPr>
              <w:pStyle w:val="9"/>
              <w:spacing w:line="240" w:lineRule="auto"/>
              <w:ind w:firstLine="0" w:firstLineChars="0"/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19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、▲整机平均无故障时间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bidi="en-US"/>
              </w:rPr>
              <w:t>（MTBF）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不低于120000小时</w:t>
            </w: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。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（提供具有CNAS机构认可的权威实验室出具的检测报告复印件加盖原厂公章）</w:t>
            </w:r>
          </w:p>
          <w:p w14:paraId="38AF4F25">
            <w:pPr>
              <w:pStyle w:val="9"/>
              <w:spacing w:line="240" w:lineRule="auto"/>
              <w:ind w:firstLine="0" w:firstLineChars="0"/>
              <w:jc w:val="left"/>
              <w:rPr>
                <w:rFonts w:hint="eastAsia" w:ascii="微软雅黑" w:hAnsi="微软雅黑" w:eastAsia="微软雅黑" w:cs="微软雅黑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2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、</w:t>
            </w: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★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整机内置2.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声道扬声器，前朝向1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W高音扬声器2个，额定总功率≥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0W。</w:t>
            </w:r>
          </w:p>
          <w:p w14:paraId="11E767A2">
            <w:pPr>
              <w:pStyle w:val="9"/>
              <w:spacing w:line="240" w:lineRule="auto"/>
              <w:ind w:firstLine="0" w:firstLineChars="0"/>
              <w:jc w:val="left"/>
              <w:rPr>
                <w:rFonts w:hint="eastAsia" w:ascii="微软雅黑" w:hAnsi="微软雅黑" w:eastAsia="微软雅黑" w:cs="微软雅黑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2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1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、支持自定义开机通道，用户可设置默认通道，开机自动进入无需手动切换。支持通道自动跳转功能，如整机处于正常使用状态，HDMI信号接入时，能自动识别并切换到对应的HDMI信号源通道，且断开后能回到上一通道，自动跳转前支持选择确认，待确认后再跳转。（提供实物或视频图片并加原厂公章）</w:t>
            </w:r>
          </w:p>
          <w:p w14:paraId="30D2B1A9">
            <w:pPr>
              <w:pStyle w:val="9"/>
              <w:spacing w:line="240" w:lineRule="auto"/>
              <w:ind w:firstLine="0" w:firstLineChars="0"/>
              <w:rPr>
                <w:rFonts w:hint="eastAsia" w:ascii="微软雅黑" w:hAnsi="微软雅黑" w:eastAsia="微软雅黑" w:cs="微软雅黑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2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2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、</w:t>
            </w: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★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整机采用模块化电脑方案，抽拉内置式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eastAsia="zh-CN"/>
              </w:rPr>
              <w:t>，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兼容40P、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80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P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接口，实现无单独的插拔，低噪音热管传导散热设计。</w:t>
            </w: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电脑配置要求：</w:t>
            </w:r>
            <w:r>
              <w:rPr>
                <w:rFonts w:hint="eastAsia" w:ascii="微软雅黑" w:hAnsi="微软雅黑" w:eastAsia="微软雅黑" w:cs="微软雅黑"/>
                <w:spacing w:val="-4"/>
                <w:sz w:val="16"/>
                <w:szCs w:val="16"/>
              </w:rPr>
              <w:t xml:space="preserve"> Intel酷睿系列CPU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≥</w:t>
            </w:r>
            <w:r>
              <w:rPr>
                <w:rFonts w:hint="eastAsia" w:ascii="微软雅黑" w:hAnsi="微软雅黑" w:eastAsia="微软雅黑" w:cs="微软雅黑"/>
                <w:spacing w:val="-4"/>
                <w:sz w:val="16"/>
                <w:szCs w:val="16"/>
              </w:rPr>
              <w:t xml:space="preserve"> i5</w:t>
            </w:r>
            <w:r>
              <w:rPr>
                <w:rFonts w:hint="eastAsia" w:ascii="微软雅黑" w:hAnsi="微软雅黑" w:eastAsia="微软雅黑" w:cs="微软雅黑"/>
                <w:spacing w:val="-4"/>
                <w:sz w:val="16"/>
                <w:szCs w:val="16"/>
                <w:lang w:val="en-US" w:eastAsia="zh-CN"/>
              </w:rPr>
              <w:t>六</w:t>
            </w:r>
            <w:r>
              <w:rPr>
                <w:rFonts w:hint="eastAsia" w:ascii="微软雅黑" w:hAnsi="微软雅黑" w:eastAsia="微软雅黑" w:cs="微软雅黑"/>
                <w:spacing w:val="-4"/>
                <w:sz w:val="16"/>
                <w:szCs w:val="16"/>
              </w:rPr>
              <w:t>代，</w:t>
            </w:r>
            <w:r>
              <w:rPr>
                <w:rFonts w:hint="eastAsia" w:ascii="微软雅黑" w:hAnsi="微软雅黑" w:eastAsia="微软雅黑" w:cs="微软雅黑"/>
                <w:spacing w:val="-11"/>
                <w:sz w:val="16"/>
                <w:szCs w:val="16"/>
              </w:rPr>
              <w:t>内存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≥</w:t>
            </w:r>
            <w:r>
              <w:rPr>
                <w:rFonts w:hint="eastAsia" w:ascii="微软雅黑" w:hAnsi="微软雅黑" w:eastAsia="微软雅黑" w:cs="微软雅黑"/>
                <w:spacing w:val="-11"/>
                <w:sz w:val="16"/>
                <w:szCs w:val="16"/>
              </w:rPr>
              <w:t>8GB，</w:t>
            </w:r>
            <w:r>
              <w:rPr>
                <w:rFonts w:hint="eastAsia" w:ascii="微软雅黑" w:hAnsi="微软雅黑" w:eastAsia="微软雅黑" w:cs="微软雅黑"/>
                <w:spacing w:val="-12"/>
                <w:w w:val="99"/>
                <w:sz w:val="16"/>
                <w:szCs w:val="16"/>
              </w:rPr>
              <w:t>固态硬盘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≥</w:t>
            </w:r>
            <w:r>
              <w:rPr>
                <w:rFonts w:hint="eastAsia" w:ascii="微软雅黑" w:hAnsi="微软雅黑" w:eastAsia="微软雅黑" w:cs="微软雅黑"/>
                <w:spacing w:val="-12"/>
                <w:w w:val="99"/>
                <w:sz w:val="16"/>
                <w:szCs w:val="16"/>
              </w:rPr>
              <w:t>256GB。</w:t>
            </w:r>
          </w:p>
          <w:p w14:paraId="319EE104">
            <w:pPr>
              <w:pStyle w:val="9"/>
              <w:spacing w:line="240" w:lineRule="auto"/>
              <w:ind w:firstLine="0" w:firstLineChars="0"/>
              <w:jc w:val="left"/>
              <w:rPr>
                <w:rFonts w:hint="eastAsia" w:ascii="微软雅黑" w:hAnsi="微软雅黑" w:eastAsia="微软雅黑" w:cs="微软雅黑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2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、</w:t>
            </w: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★</w:t>
            </w: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产品制造商具有如下资质认证：国家或省级高薪技术企业，企业具备质量管理体系认证、环境管理体系认证证书。产品具备产品3C证书、产品节能相关证书。</w:t>
            </w:r>
            <w:r>
              <w:rPr>
                <w:rFonts w:hint="eastAsia" w:ascii="微软雅黑" w:hAnsi="微软雅黑" w:eastAsia="微软雅黑" w:cs="微软雅黑"/>
                <w:b/>
                <w:sz w:val="16"/>
                <w:szCs w:val="16"/>
              </w:rPr>
              <w:t>（提供证书复印件加盖原厂公章）</w:t>
            </w:r>
          </w:p>
        </w:tc>
      </w:tr>
      <w:tr w14:paraId="7BC539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8" w:hRule="atLeast"/>
          <w:jc w:val="center"/>
        </w:trPr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9624AB">
            <w:pPr>
              <w:widowControl/>
              <w:spacing w:line="240" w:lineRule="auto"/>
              <w:jc w:val="center"/>
              <w:textAlignment w:val="center"/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16"/>
                <w:szCs w:val="16"/>
              </w:rPr>
              <w:t>2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2771B2">
            <w:pPr>
              <w:widowControl/>
              <w:spacing w:line="240" w:lineRule="auto"/>
              <w:jc w:val="center"/>
              <w:textAlignment w:val="center"/>
              <w:rPr>
                <w:rFonts w:hint="eastAsia" w:ascii="微软雅黑" w:hAnsi="微软雅黑" w:eastAsia="微软雅黑" w:cs="微软雅黑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sz w:val="16"/>
                <w:szCs w:val="16"/>
              </w:rPr>
              <w:t>移动支架</w:t>
            </w:r>
          </w:p>
        </w:tc>
        <w:tc>
          <w:tcPr>
            <w:tcW w:w="7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169E18">
            <w:pPr>
              <w:widowControl/>
              <w:spacing w:line="240" w:lineRule="auto"/>
              <w:jc w:val="left"/>
              <w:textAlignment w:val="center"/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  <w:t>1.移动支架通过防倾斜实验，±10°倾斜角度下不能翻倒；</w:t>
            </w:r>
            <w:r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  <w:t>2.支持承挂55-86英寸触控一体机，壁挂高度可调；具有≥3组及以上高度调整安装孔。</w:t>
            </w:r>
            <w:r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  <w:t>3.托盘承重30KG,模具设置U型置物槽，方便触摸笔、遥控器等物品放置；</w:t>
            </w:r>
            <w:r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  <w:t>4.支撑立杆采用壁厚≥1.5mm方通冷轧钢材质，管材尺寸≥40×30mm，表面黑色喷涂；</w:t>
            </w:r>
            <w:r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  <w:t>5.脚轮为万向轮，聚氨酯（PU）材质，均带脚刹，直径不小于∮75mm；</w:t>
            </w:r>
            <w:r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  <w:t>6.脚轮中心距横向≥900mm，纵向≥500mm；</w:t>
            </w:r>
          </w:p>
          <w:p w14:paraId="05D85FC3">
            <w:pPr>
              <w:widowControl/>
              <w:spacing w:line="240" w:lineRule="auto"/>
              <w:jc w:val="left"/>
              <w:textAlignment w:val="center"/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  <w:t>7.极限负重200KG超过24H，无安全风险；</w:t>
            </w:r>
          </w:p>
          <w:p w14:paraId="20E6AC91">
            <w:pPr>
              <w:spacing w:line="240" w:lineRule="auto"/>
              <w:rPr>
                <w:rFonts w:hint="eastAsia" w:ascii="微软雅黑" w:hAnsi="微软雅黑" w:eastAsia="微软雅黑" w:cs="微软雅黑"/>
                <w:sz w:val="16"/>
                <w:szCs w:val="16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</w:rPr>
              <w:t>8.托盘表面离地高度≥600mm。</w:t>
            </w:r>
          </w:p>
        </w:tc>
      </w:tr>
    </w:tbl>
    <w:p w14:paraId="586C53B6"/>
    <w:p w14:paraId="24219221">
      <w:pPr>
        <w:widowControl/>
        <w:jc w:val="center"/>
        <w:textAlignment w:val="center"/>
        <w:rPr>
          <w:rFonts w:ascii="宋体" w:hAnsi="宋体" w:cs="宋体"/>
          <w:sz w:val="18"/>
          <w:szCs w:val="1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 Neue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pingfang sc">
    <w:altName w:val="宋体"/>
    <w:panose1 w:val="00000000000000000000"/>
    <w:charset w:val="86"/>
    <w:family w:val="auto"/>
    <w:pitch w:val="default"/>
    <w:sig w:usb0="00000000" w:usb1="00000000" w:usb2="00000017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KSOFE816CA0F">
    <w:panose1 w:val="020206030504050203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yOGY5Y2E1NTZmYTQ5NGQzOGE3M2Q3OTVlNjFhYTYifQ=="/>
  </w:docVars>
  <w:rsids>
    <w:rsidRoot w:val="74966835"/>
    <w:rsid w:val="00073DC5"/>
    <w:rsid w:val="00084A53"/>
    <w:rsid w:val="00094553"/>
    <w:rsid w:val="000A671F"/>
    <w:rsid w:val="000B3BC6"/>
    <w:rsid w:val="000E14B2"/>
    <w:rsid w:val="000E6EC6"/>
    <w:rsid w:val="00112E85"/>
    <w:rsid w:val="00123733"/>
    <w:rsid w:val="00133A93"/>
    <w:rsid w:val="00162C8A"/>
    <w:rsid w:val="001A5E7D"/>
    <w:rsid w:val="00241F34"/>
    <w:rsid w:val="00264A3F"/>
    <w:rsid w:val="0027583D"/>
    <w:rsid w:val="002769DF"/>
    <w:rsid w:val="00305E43"/>
    <w:rsid w:val="003C48EA"/>
    <w:rsid w:val="00406874"/>
    <w:rsid w:val="004325F1"/>
    <w:rsid w:val="00441366"/>
    <w:rsid w:val="00453A71"/>
    <w:rsid w:val="004601F6"/>
    <w:rsid w:val="00464BD0"/>
    <w:rsid w:val="00473390"/>
    <w:rsid w:val="004811E8"/>
    <w:rsid w:val="004A1239"/>
    <w:rsid w:val="004B3BD5"/>
    <w:rsid w:val="004B7035"/>
    <w:rsid w:val="004D73F6"/>
    <w:rsid w:val="004E0E19"/>
    <w:rsid w:val="0050518B"/>
    <w:rsid w:val="00585BFB"/>
    <w:rsid w:val="005D1839"/>
    <w:rsid w:val="006427FD"/>
    <w:rsid w:val="006515C1"/>
    <w:rsid w:val="0065178E"/>
    <w:rsid w:val="00661104"/>
    <w:rsid w:val="00666010"/>
    <w:rsid w:val="006B01EB"/>
    <w:rsid w:val="0076757B"/>
    <w:rsid w:val="007D2A46"/>
    <w:rsid w:val="008A073F"/>
    <w:rsid w:val="008E33A0"/>
    <w:rsid w:val="008F5ECA"/>
    <w:rsid w:val="00925037"/>
    <w:rsid w:val="00970AAB"/>
    <w:rsid w:val="009C1D13"/>
    <w:rsid w:val="009D704D"/>
    <w:rsid w:val="00A30173"/>
    <w:rsid w:val="00A677A3"/>
    <w:rsid w:val="00AA2855"/>
    <w:rsid w:val="00AD5A1E"/>
    <w:rsid w:val="00B30FC4"/>
    <w:rsid w:val="00B40E7E"/>
    <w:rsid w:val="00B51B63"/>
    <w:rsid w:val="00B924B3"/>
    <w:rsid w:val="00B9650E"/>
    <w:rsid w:val="00BD22D6"/>
    <w:rsid w:val="00BD71C7"/>
    <w:rsid w:val="00C80589"/>
    <w:rsid w:val="00C85F34"/>
    <w:rsid w:val="00CF6DF2"/>
    <w:rsid w:val="00D54AAE"/>
    <w:rsid w:val="00D72419"/>
    <w:rsid w:val="00DA6B8F"/>
    <w:rsid w:val="00DD67AC"/>
    <w:rsid w:val="00E63241"/>
    <w:rsid w:val="00E93234"/>
    <w:rsid w:val="00EF4B5D"/>
    <w:rsid w:val="00F33249"/>
    <w:rsid w:val="02217F6D"/>
    <w:rsid w:val="0389752A"/>
    <w:rsid w:val="049C6D04"/>
    <w:rsid w:val="04A16ECD"/>
    <w:rsid w:val="050404B0"/>
    <w:rsid w:val="0A42550A"/>
    <w:rsid w:val="0C7C29D3"/>
    <w:rsid w:val="0CAC2CC3"/>
    <w:rsid w:val="0CE91877"/>
    <w:rsid w:val="0D50325D"/>
    <w:rsid w:val="0DCC28CB"/>
    <w:rsid w:val="1037450D"/>
    <w:rsid w:val="10D47063"/>
    <w:rsid w:val="10F326A2"/>
    <w:rsid w:val="13787A52"/>
    <w:rsid w:val="158E58E2"/>
    <w:rsid w:val="15F53E8C"/>
    <w:rsid w:val="1613786B"/>
    <w:rsid w:val="165C4976"/>
    <w:rsid w:val="16D13C2C"/>
    <w:rsid w:val="1752512B"/>
    <w:rsid w:val="18A920CF"/>
    <w:rsid w:val="1979444D"/>
    <w:rsid w:val="1A4268EB"/>
    <w:rsid w:val="1B6721B8"/>
    <w:rsid w:val="1BB80F30"/>
    <w:rsid w:val="1BF76438"/>
    <w:rsid w:val="1F90634B"/>
    <w:rsid w:val="20355641"/>
    <w:rsid w:val="21277F93"/>
    <w:rsid w:val="24EA4190"/>
    <w:rsid w:val="2668572A"/>
    <w:rsid w:val="2860437A"/>
    <w:rsid w:val="28F93786"/>
    <w:rsid w:val="2A7A2DF1"/>
    <w:rsid w:val="2AA64C74"/>
    <w:rsid w:val="2BDD6474"/>
    <w:rsid w:val="2CDC671C"/>
    <w:rsid w:val="2E0D22BC"/>
    <w:rsid w:val="2E5F7614"/>
    <w:rsid w:val="2F181D80"/>
    <w:rsid w:val="31D31550"/>
    <w:rsid w:val="34A57BDC"/>
    <w:rsid w:val="34CE311D"/>
    <w:rsid w:val="36E9700C"/>
    <w:rsid w:val="37D93911"/>
    <w:rsid w:val="39815C50"/>
    <w:rsid w:val="3B4503AF"/>
    <w:rsid w:val="3BC605AD"/>
    <w:rsid w:val="3D9A1202"/>
    <w:rsid w:val="3EE576C2"/>
    <w:rsid w:val="3FF7B7A7"/>
    <w:rsid w:val="404267D7"/>
    <w:rsid w:val="4064414C"/>
    <w:rsid w:val="42751767"/>
    <w:rsid w:val="45383C62"/>
    <w:rsid w:val="465B4999"/>
    <w:rsid w:val="46EB24C2"/>
    <w:rsid w:val="47072195"/>
    <w:rsid w:val="47551F6C"/>
    <w:rsid w:val="482E1D9D"/>
    <w:rsid w:val="4A3F16D5"/>
    <w:rsid w:val="4C041AE2"/>
    <w:rsid w:val="4C3431DF"/>
    <w:rsid w:val="4C787385"/>
    <w:rsid w:val="4EE74D90"/>
    <w:rsid w:val="4F4765C5"/>
    <w:rsid w:val="4FC866FB"/>
    <w:rsid w:val="511D1C7F"/>
    <w:rsid w:val="51F15F26"/>
    <w:rsid w:val="532F5EF9"/>
    <w:rsid w:val="53C06403"/>
    <w:rsid w:val="55A45647"/>
    <w:rsid w:val="561929A4"/>
    <w:rsid w:val="577B7793"/>
    <w:rsid w:val="58BE522B"/>
    <w:rsid w:val="58DC53DD"/>
    <w:rsid w:val="5DF245D5"/>
    <w:rsid w:val="60780179"/>
    <w:rsid w:val="612D76EA"/>
    <w:rsid w:val="6320666B"/>
    <w:rsid w:val="657C18C2"/>
    <w:rsid w:val="669C4202"/>
    <w:rsid w:val="67887C30"/>
    <w:rsid w:val="67BF5E50"/>
    <w:rsid w:val="685613FB"/>
    <w:rsid w:val="68F774DD"/>
    <w:rsid w:val="6B097EDC"/>
    <w:rsid w:val="6C25754E"/>
    <w:rsid w:val="6DFB21AE"/>
    <w:rsid w:val="6E4D03B5"/>
    <w:rsid w:val="6ED8669B"/>
    <w:rsid w:val="6EF86D3D"/>
    <w:rsid w:val="6F7557C6"/>
    <w:rsid w:val="7030581E"/>
    <w:rsid w:val="71503FB0"/>
    <w:rsid w:val="719400D0"/>
    <w:rsid w:val="71E76D1C"/>
    <w:rsid w:val="731C6E4F"/>
    <w:rsid w:val="73890D7D"/>
    <w:rsid w:val="73BFBEEB"/>
    <w:rsid w:val="74770490"/>
    <w:rsid w:val="74966835"/>
    <w:rsid w:val="7B1C1E39"/>
    <w:rsid w:val="7E9D3FAD"/>
    <w:rsid w:val="7FF648D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unhideWhenUsed/>
    <w:uiPriority w:val="1"/>
  </w:style>
  <w:style w:type="table" w:default="1" w:styleId="10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widowControl/>
      <w:tabs>
        <w:tab w:val="left" w:pos="9214"/>
      </w:tabs>
      <w:adjustRightInd w:val="0"/>
      <w:spacing w:after="120" w:line="400" w:lineRule="atLeast"/>
      <w:ind w:right="-58" w:firstLine="600"/>
      <w:textAlignment w:val="bottom"/>
    </w:pPr>
    <w:rPr>
      <w:rFonts w:ascii="宋体"/>
      <w:kern w:val="0"/>
      <w:sz w:val="24"/>
      <w:szCs w:val="20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5">
    <w:name w:val="Balloon Text"/>
    <w:basedOn w:val="1"/>
    <w:link w:val="13"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sz w:val="24"/>
    </w:rPr>
  </w:style>
  <w:style w:type="paragraph" w:styleId="9">
    <w:name w:val="Body Text First Indent"/>
    <w:basedOn w:val="2"/>
    <w:next w:val="1"/>
    <w:unhideWhenUsed/>
    <w:qFormat/>
    <w:uiPriority w:val="99"/>
    <w:pPr>
      <w:widowControl w:val="0"/>
      <w:tabs>
        <w:tab w:val="clear" w:pos="9214"/>
      </w:tabs>
      <w:adjustRightInd/>
      <w:spacing w:line="240" w:lineRule="auto"/>
      <w:ind w:right="0" w:firstLine="420" w:firstLineChars="100"/>
      <w:textAlignment w:val="auto"/>
    </w:pPr>
    <w:rPr>
      <w:rFonts w:ascii="Times New Roman" w:hAnsi="Times New Roman"/>
      <w:kern w:val="2"/>
      <w:sz w:val="21"/>
      <w:szCs w:val="21"/>
    </w:rPr>
  </w:style>
  <w:style w:type="table" w:styleId="11">
    <w:name w:val="Table Grid"/>
    <w:basedOn w:val="10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3">
    <w:name w:val="批注框文本 Char"/>
    <w:basedOn w:val="12"/>
    <w:link w:val="5"/>
    <w:uiPriority w:val="0"/>
    <w:rPr>
      <w:rFonts w:ascii="Calibri" w:hAnsi="Calibri"/>
      <w:kern w:val="2"/>
      <w:sz w:val="18"/>
      <w:szCs w:val="18"/>
    </w:rPr>
  </w:style>
  <w:style w:type="character" w:customStyle="1" w:styleId="14">
    <w:name w:val="s1"/>
    <w:basedOn w:val="12"/>
    <w:qFormat/>
    <w:uiPriority w:val="0"/>
    <w:rPr>
      <w:rFonts w:ascii="Helvetica Neue" w:hAnsi="Helvetica Neue" w:eastAsia="Helvetica Neue" w:cs="Helvetica Neue"/>
      <w:sz w:val="24"/>
      <w:szCs w:val="24"/>
    </w:rPr>
  </w:style>
  <w:style w:type="paragraph" w:customStyle="1" w:styleId="15">
    <w:name w:val="p3"/>
    <w:basedOn w:val="1"/>
    <w:qFormat/>
    <w:uiPriority w:val="0"/>
    <w:pPr>
      <w:jc w:val="left"/>
    </w:pPr>
    <w:rPr>
      <w:rFonts w:ascii="pingfang sc" w:hAnsi="pingfang sc" w:eastAsia="pingfang sc"/>
      <w:kern w:val="0"/>
      <w:sz w:val="24"/>
    </w:rPr>
  </w:style>
  <w:style w:type="paragraph" w:customStyle="1" w:styleId="16">
    <w:name w:val="列出段落1"/>
    <w:basedOn w:val="1"/>
    <w:qFormat/>
    <w:uiPriority w:val="34"/>
    <w:pPr>
      <w:ind w:firstLine="420" w:firstLineChars="200"/>
    </w:pPr>
    <w:rPr>
      <w:szCs w:val="21"/>
    </w:rPr>
  </w:style>
  <w:style w:type="paragraph" w:customStyle="1" w:styleId="17">
    <w:name w:val="p1"/>
    <w:basedOn w:val="1"/>
    <w:qFormat/>
    <w:uiPriority w:val="0"/>
    <w:pPr>
      <w:jc w:val="left"/>
    </w:pPr>
    <w:rPr>
      <w:rFonts w:ascii="Helvetica Neue" w:hAnsi="Helvetica Neue" w:eastAsia="Helvetica Neue"/>
      <w:kern w:val="0"/>
      <w:sz w:val="24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paragraph" w:customStyle="1" w:styleId="19">
    <w:name w:val="p2"/>
    <w:basedOn w:val="1"/>
    <w:qFormat/>
    <w:uiPriority w:val="0"/>
    <w:pPr>
      <w:jc w:val="left"/>
    </w:pPr>
    <w:rPr>
      <w:rFonts w:ascii="pingfang sc" w:hAnsi="pingfang sc" w:eastAsia="pingfang sc"/>
      <w:kern w:val="0"/>
      <w:sz w:val="24"/>
    </w:rPr>
  </w:style>
  <w:style w:type="paragraph" w:customStyle="1" w:styleId="20">
    <w:name w:val="Fließtext"/>
    <w:basedOn w:val="1"/>
    <w:qFormat/>
    <w:uiPriority w:val="99"/>
    <w:pPr>
      <w:overflowPunct w:val="0"/>
      <w:autoSpaceDE w:val="0"/>
      <w:autoSpaceDN w:val="0"/>
      <w:adjustRightInd w:val="0"/>
      <w:textAlignment w:val="baseline"/>
    </w:pPr>
    <w:rPr>
      <w:kern w:val="28"/>
    </w:rPr>
  </w:style>
  <w:style w:type="paragraph" w:customStyle="1" w:styleId="21">
    <w:name w:val="Heading4"/>
    <w:basedOn w:val="1"/>
    <w:next w:val="1"/>
    <w:qFormat/>
    <w:uiPriority w:val="0"/>
    <w:pPr>
      <w:keepNext/>
      <w:keepLines/>
      <w:spacing w:before="280" w:after="290" w:line="376" w:lineRule="auto"/>
      <w:textAlignment w:val="baseline"/>
    </w:pPr>
    <w:rPr>
      <w:rFonts w:ascii="Arial" w:hAnsi="Arial" w:eastAsia="黑体"/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38144;&#21806;&#37096;\&#38144;&#21806;&#20116;&#37096;&#65288;&#33487;&#65289;\HKC%20HN\86&#33521;&#23544;&#25945;&#23398;&#35302;&#25720;&#19968;&#20307;&#26426;&#26631;&#24213;&#21442;&#25968;5.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86英寸教学触摸一体机标底参数5.6</Template>
  <Pages>2</Pages>
  <Words>2298</Words>
  <Characters>2552</Characters>
  <Lines>20</Lines>
  <Paragraphs>5</Paragraphs>
  <TotalTime>5</TotalTime>
  <ScaleCrop>false</ScaleCrop>
  <LinksUpToDate>false</LinksUpToDate>
  <CharactersWithSpaces>2566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2026-04-14T06:32:00Z</dcterms:created>
  <dc:creator>asus</dc:creator>
  <cp:lastModifiedBy>陈心怡</cp:lastModifiedBy>
  <cp:lastPrinted>2026-04-14T06:32:00Z</cp:lastPrinted>
  <dcterms:modified xsi:type="dcterms:W3CDTF">2026-08-04T07:45:23Z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A226C27024DE453F99E43313A57B2B54_13</vt:lpwstr>
  </property>
  <property fmtid="{D5CDD505-2E9C-101B-9397-08002B2CF9AE}" pid="4" name="KSOTemplateDocerSaveRecord">
    <vt:lpwstr>eyJoZGlkIjoiOTBmNzUxZDViZmQyYzhmMjBjNGI5MjIwMTEyZjY1YTYiLCJ1c2VySWQiOiI2NzExOTI4NjcifQ==</vt:lpwstr>
  </property>
</Properties>
</file>