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7303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63" w:afterLines="20"/>
        <w:ind w:left="0" w:leftChars="0" w:firstLine="0" w:firstLineChars="0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lang w:val="zh-CN" w:eastAsia="zh-CN" w:bidi="zh-CN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lang w:val="en-US" w:eastAsia="zh-CN" w:bidi="zh-CN"/>
        </w:rPr>
        <w:t>附件：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lang w:val="zh-CN" w:eastAsia="zh-CN" w:bidi="zh-CN"/>
        </w:rPr>
        <w:t>中山市东升医院</w:t>
      </w:r>
      <w:r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lang w:val="en-US" w:eastAsia="zh-CN" w:bidi="zh-CN"/>
        </w:rPr>
        <w:t>配镜中心</w:t>
      </w:r>
      <w:r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lang w:val="zh-CN" w:eastAsia="zh-CN" w:bidi="zh-CN"/>
        </w:rPr>
        <w:t>服务质量监督考核表</w:t>
      </w:r>
    </w:p>
    <w:tbl>
      <w:tblPr>
        <w:tblStyle w:val="2"/>
        <w:tblW w:w="960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85" w:type="dxa"/>
          <w:left w:w="79" w:type="dxa"/>
          <w:bottom w:w="85" w:type="dxa"/>
          <w:right w:w="79" w:type="dxa"/>
        </w:tblCellMar>
      </w:tblPr>
      <w:tblGrid>
        <w:gridCol w:w="1579"/>
        <w:gridCol w:w="3768"/>
        <w:gridCol w:w="831"/>
        <w:gridCol w:w="3426"/>
      </w:tblGrid>
      <w:tr w14:paraId="1FB12B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5" w:type="dxa"/>
            <w:left w:w="79" w:type="dxa"/>
            <w:bottom w:w="85" w:type="dxa"/>
            <w:right w:w="79" w:type="dxa"/>
          </w:tblCellMar>
        </w:tblPrEx>
        <w:trPr>
          <w:trHeight w:val="23" w:hRule="atLeast"/>
          <w:jc w:val="center"/>
        </w:trPr>
        <w:tc>
          <w:tcPr>
            <w:tcW w:w="1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FE46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</w:rPr>
              <w:t>项目</w:t>
            </w:r>
          </w:p>
        </w:tc>
        <w:tc>
          <w:tcPr>
            <w:tcW w:w="37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0D5B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检查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</w:rPr>
              <w:t>标准</w:t>
            </w:r>
          </w:p>
        </w:tc>
        <w:tc>
          <w:tcPr>
            <w:tcW w:w="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3C9C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</w:rPr>
              <w:t>分值</w:t>
            </w:r>
          </w:p>
        </w:tc>
        <w:tc>
          <w:tcPr>
            <w:tcW w:w="3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E4439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</w:rPr>
              <w:t>考核方法</w:t>
            </w:r>
          </w:p>
        </w:tc>
      </w:tr>
      <w:tr w14:paraId="7B7A7A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5" w:type="dxa"/>
            <w:left w:w="79" w:type="dxa"/>
            <w:bottom w:w="85" w:type="dxa"/>
            <w:right w:w="79" w:type="dxa"/>
          </w:tblCellMar>
        </w:tblPrEx>
        <w:trPr>
          <w:trHeight w:val="23" w:hRule="atLeast"/>
          <w:jc w:val="center"/>
        </w:trPr>
        <w:tc>
          <w:tcPr>
            <w:tcW w:w="157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75DA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许可资质</w:t>
            </w:r>
          </w:p>
        </w:tc>
        <w:tc>
          <w:tcPr>
            <w:tcW w:w="37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23EE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.必须持有营业执照、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二类医疗器械资质、人员资质证件等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一切必须具有的证件方可营业，且在有效期内并摆放在场所显眼位置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eastAsia="zh-CN"/>
              </w:rPr>
              <w:t>。</w:t>
            </w:r>
          </w:p>
        </w:tc>
        <w:tc>
          <w:tcPr>
            <w:tcW w:w="83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4076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5</w:t>
            </w:r>
          </w:p>
        </w:tc>
        <w:tc>
          <w:tcPr>
            <w:tcW w:w="342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C3E24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现场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查看，发现一项不符合要求的，扣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分/次，并限期整改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eastAsia="zh-CN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如未在期限内整改完毕的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或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一直整改未果的，医院有权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进行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sz w:val="18"/>
                <w:szCs w:val="18"/>
                <w:highlight w:val="none"/>
                <w:lang w:val="en-US" w:eastAsia="zh-CN"/>
              </w:rPr>
              <w:t>扣除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或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单方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提前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终止合同。</w:t>
            </w:r>
          </w:p>
        </w:tc>
      </w:tr>
      <w:tr w14:paraId="21A35F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5" w:type="dxa"/>
            <w:left w:w="79" w:type="dxa"/>
            <w:bottom w:w="85" w:type="dxa"/>
            <w:right w:w="79" w:type="dxa"/>
          </w:tblCellMar>
        </w:tblPrEx>
        <w:trPr>
          <w:trHeight w:val="23" w:hRule="atLeast"/>
          <w:jc w:val="center"/>
        </w:trPr>
        <w:tc>
          <w:tcPr>
            <w:tcW w:w="1579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5BB0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7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A485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2.不得使用经他人转让、涂改、出借、倒卖的各种证件。</w:t>
            </w:r>
          </w:p>
        </w:tc>
        <w:tc>
          <w:tcPr>
            <w:tcW w:w="83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5011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42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3990A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</w:tr>
      <w:tr w14:paraId="769329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5" w:type="dxa"/>
            <w:left w:w="79" w:type="dxa"/>
            <w:bottom w:w="85" w:type="dxa"/>
            <w:right w:w="79" w:type="dxa"/>
          </w:tblCellMar>
        </w:tblPrEx>
        <w:trPr>
          <w:trHeight w:val="23" w:hRule="atLeast"/>
          <w:jc w:val="center"/>
        </w:trPr>
        <w:tc>
          <w:tcPr>
            <w:tcW w:w="157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40C3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产品质量</w:t>
            </w:r>
          </w:p>
        </w:tc>
        <w:tc>
          <w:tcPr>
            <w:tcW w:w="37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3C16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  <w:t>产品符合国家相关生产、销售标准，具备国家认可的相应资质许可证明，并符合国家质量标准。严禁销售伪劣产品及药品</w:t>
            </w: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等</w:t>
            </w: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  <w:t>超出经营范围的商品。</w:t>
            </w:r>
          </w:p>
        </w:tc>
        <w:tc>
          <w:tcPr>
            <w:tcW w:w="831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EB6F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20</w:t>
            </w:r>
          </w:p>
        </w:tc>
        <w:tc>
          <w:tcPr>
            <w:tcW w:w="3426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CE97C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  <w:t>不定期抽查，发现一次</w:t>
            </w: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不符合要求或伪劣产品</w:t>
            </w: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  <w:t>品扣</w:t>
            </w: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  <w:t>分/次，扣完为止。</w:t>
            </w:r>
          </w:p>
        </w:tc>
      </w:tr>
      <w:tr w14:paraId="615C8F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5" w:type="dxa"/>
            <w:left w:w="79" w:type="dxa"/>
            <w:bottom w:w="85" w:type="dxa"/>
            <w:right w:w="79" w:type="dxa"/>
          </w:tblCellMar>
        </w:tblPrEx>
        <w:trPr>
          <w:trHeight w:val="23" w:hRule="atLeast"/>
          <w:jc w:val="center"/>
        </w:trPr>
        <w:tc>
          <w:tcPr>
            <w:tcW w:w="1579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65C2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产品售价</w:t>
            </w:r>
          </w:p>
        </w:tc>
        <w:tc>
          <w:tcPr>
            <w:tcW w:w="37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BDE48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 w:bidi="ar-SA"/>
              </w:rPr>
              <w:t>1.</w:t>
            </w: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  <w:t>要求每件商品都必须明码标价；</w:t>
            </w:r>
          </w:p>
        </w:tc>
        <w:tc>
          <w:tcPr>
            <w:tcW w:w="831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7F75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20</w:t>
            </w:r>
          </w:p>
        </w:tc>
        <w:tc>
          <w:tcPr>
            <w:tcW w:w="3426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636D1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  <w:t>随时抽查商品，分别进行对比，如发现一项</w:t>
            </w: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eastAsia="zh-CN"/>
              </w:rPr>
              <w:t>高于公司体系内其它网点的价格</w:t>
            </w: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或</w:t>
            </w: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eastAsia="zh-CN"/>
              </w:rPr>
              <w:t>高于产家的市场指导价</w:t>
            </w: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  <w:t>扣</w:t>
            </w: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  <w:t>分/项，公司应立即对价格进行调整，如</w:t>
            </w: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  <w:t>天后复查发现价格仍未下调的，处罚200元/项。</w:t>
            </w:r>
          </w:p>
        </w:tc>
      </w:tr>
      <w:tr w14:paraId="344CCA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5" w:type="dxa"/>
            <w:left w:w="79" w:type="dxa"/>
            <w:bottom w:w="85" w:type="dxa"/>
            <w:right w:w="79" w:type="dxa"/>
          </w:tblCellMar>
        </w:tblPrEx>
        <w:trPr>
          <w:trHeight w:val="23" w:hRule="atLeast"/>
          <w:jc w:val="center"/>
        </w:trPr>
        <w:tc>
          <w:tcPr>
            <w:tcW w:w="1579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C3AC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37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D29FC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2.产品</w:t>
            </w: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eastAsia="zh-CN"/>
              </w:rPr>
              <w:t>销售价格不高于公司体系内其它网点的价格，不得高于产家的市场指导价。</w:t>
            </w:r>
          </w:p>
        </w:tc>
        <w:tc>
          <w:tcPr>
            <w:tcW w:w="83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24D4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42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C3438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 w:bidi="ar-SA"/>
              </w:rPr>
            </w:pPr>
          </w:p>
        </w:tc>
      </w:tr>
      <w:tr w14:paraId="54ADF7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5" w:type="dxa"/>
            <w:left w:w="79" w:type="dxa"/>
            <w:bottom w:w="85" w:type="dxa"/>
            <w:right w:w="79" w:type="dxa"/>
          </w:tblCellMar>
        </w:tblPrEx>
        <w:trPr>
          <w:trHeight w:val="23" w:hRule="atLeast"/>
          <w:jc w:val="center"/>
        </w:trPr>
        <w:tc>
          <w:tcPr>
            <w:tcW w:w="1579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EE08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消防安全</w:t>
            </w:r>
          </w:p>
        </w:tc>
        <w:tc>
          <w:tcPr>
            <w:tcW w:w="37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0055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1.消火栓标识清晰，配置齐全有效；灭火器等消防设施在有效期内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eastAsia="zh-CN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 xml:space="preserve"> </w:t>
            </w:r>
          </w:p>
        </w:tc>
        <w:tc>
          <w:tcPr>
            <w:tcW w:w="831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1457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20</w:t>
            </w:r>
          </w:p>
        </w:tc>
        <w:tc>
          <w:tcPr>
            <w:tcW w:w="3426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0F7D5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现场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查看，发现一项不符合要求的，扣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分/次，并限期整改，如未在期限内整改完毕的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或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一直整改未果的，医院有权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进行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sz w:val="18"/>
                <w:szCs w:val="18"/>
                <w:highlight w:val="none"/>
                <w:lang w:val="en-US" w:eastAsia="zh-CN"/>
              </w:rPr>
              <w:t>扣除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或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单方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提前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终止合同。</w:t>
            </w:r>
          </w:p>
        </w:tc>
      </w:tr>
      <w:tr w14:paraId="243958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5" w:type="dxa"/>
            <w:left w:w="79" w:type="dxa"/>
            <w:bottom w:w="85" w:type="dxa"/>
            <w:right w:w="79" w:type="dxa"/>
          </w:tblCellMar>
        </w:tblPrEx>
        <w:trPr>
          <w:trHeight w:val="23" w:hRule="atLeast"/>
          <w:jc w:val="center"/>
        </w:trPr>
        <w:tc>
          <w:tcPr>
            <w:tcW w:w="1579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BF89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7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B926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2.消防安全措施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及消防巡查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落实到位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eastAsia="zh-CN"/>
              </w:rPr>
              <w:t>。</w:t>
            </w:r>
          </w:p>
        </w:tc>
        <w:tc>
          <w:tcPr>
            <w:tcW w:w="83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0F51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42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7D91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</w:tr>
      <w:tr w14:paraId="166C17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5" w:type="dxa"/>
            <w:left w:w="79" w:type="dxa"/>
            <w:bottom w:w="85" w:type="dxa"/>
            <w:right w:w="79" w:type="dxa"/>
          </w:tblCellMar>
        </w:tblPrEx>
        <w:trPr>
          <w:trHeight w:val="23" w:hRule="atLeast"/>
          <w:jc w:val="center"/>
        </w:trPr>
        <w:tc>
          <w:tcPr>
            <w:tcW w:w="1579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38D7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7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CCDD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禁止私拉电线或使用不合格的电器产品。</w:t>
            </w:r>
          </w:p>
        </w:tc>
        <w:tc>
          <w:tcPr>
            <w:tcW w:w="83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9E1E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42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C88A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</w:tr>
      <w:tr w14:paraId="7543FA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5" w:type="dxa"/>
            <w:left w:w="79" w:type="dxa"/>
            <w:bottom w:w="85" w:type="dxa"/>
            <w:right w:w="79" w:type="dxa"/>
          </w:tblCellMar>
        </w:tblPrEx>
        <w:trPr>
          <w:trHeight w:val="23" w:hRule="atLeast"/>
          <w:jc w:val="center"/>
        </w:trPr>
        <w:tc>
          <w:tcPr>
            <w:tcW w:w="157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A40C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7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4961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4.接受和服从院方及政府有关行政管理部门及治安、消防管理部门的监督和管理，做好安全、防火、防盗工作，不得在该铺位内储存任何易燃易爆、含腐蚀性物品及危险品。</w:t>
            </w:r>
          </w:p>
        </w:tc>
        <w:tc>
          <w:tcPr>
            <w:tcW w:w="83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7D1B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42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B756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</w:tr>
      <w:tr w14:paraId="0B5161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5" w:type="dxa"/>
            <w:left w:w="79" w:type="dxa"/>
            <w:bottom w:w="85" w:type="dxa"/>
            <w:right w:w="79" w:type="dxa"/>
          </w:tblCellMar>
        </w:tblPrEx>
        <w:trPr>
          <w:trHeight w:val="23" w:hRule="atLeast"/>
          <w:jc w:val="center"/>
        </w:trPr>
        <w:tc>
          <w:tcPr>
            <w:tcW w:w="1579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D37F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</w:rPr>
              <w:t>环境安全</w:t>
            </w:r>
          </w:p>
        </w:tc>
        <w:tc>
          <w:tcPr>
            <w:tcW w:w="37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C346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</w:rPr>
              <w:t>基础设施如门、窗、天花等设施牢固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</w:rPr>
              <w:t>完好，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做好日常基础设施维护。</w:t>
            </w:r>
          </w:p>
        </w:tc>
        <w:tc>
          <w:tcPr>
            <w:tcW w:w="831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CE06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10</w:t>
            </w:r>
          </w:p>
        </w:tc>
        <w:tc>
          <w:tcPr>
            <w:tcW w:w="3426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7557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现场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查看，发现一项不符合要求的，扣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分/次，并限期整改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eastAsia="zh-CN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并限期整改，如未在期限内整改完毕的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或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一直整改未果的，医院有权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进行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sz w:val="18"/>
                <w:szCs w:val="18"/>
                <w:highlight w:val="none"/>
                <w:lang w:val="en-US" w:eastAsia="zh-CN"/>
              </w:rPr>
              <w:t>扣除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或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单方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提前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终止合同。</w:t>
            </w:r>
          </w:p>
        </w:tc>
      </w:tr>
      <w:tr w14:paraId="026BE5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5" w:type="dxa"/>
            <w:left w:w="79" w:type="dxa"/>
            <w:bottom w:w="85" w:type="dxa"/>
            <w:right w:w="79" w:type="dxa"/>
          </w:tblCellMar>
        </w:tblPrEx>
        <w:trPr>
          <w:trHeight w:val="23" w:hRule="atLeast"/>
          <w:jc w:val="center"/>
        </w:trPr>
        <w:tc>
          <w:tcPr>
            <w:tcW w:w="1579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469B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7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FCDD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bCs/>
                <w:color w:val="auto"/>
                <w:sz w:val="18"/>
                <w:szCs w:val="18"/>
                <w:highlight w:val="none"/>
              </w:rPr>
              <w:t>不得</w:t>
            </w:r>
            <w:r>
              <w:rPr>
                <w:rFonts w:hint="eastAsia" w:ascii="宋体" w:hAnsi="宋体" w:eastAsia="宋体" w:cs="宋体"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随意</w:t>
            </w:r>
            <w:r>
              <w:rPr>
                <w:rFonts w:hint="eastAsia" w:ascii="宋体" w:hAnsi="宋体" w:eastAsia="宋体" w:cs="宋体"/>
                <w:bCs/>
                <w:color w:val="auto"/>
                <w:sz w:val="18"/>
                <w:szCs w:val="18"/>
                <w:highlight w:val="none"/>
              </w:rPr>
              <w:t>对原建筑</w:t>
            </w:r>
            <w:r>
              <w:rPr>
                <w:rFonts w:hint="eastAsia" w:ascii="宋体" w:hAnsi="宋体" w:eastAsia="宋体" w:cs="宋体"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改造或</w:t>
            </w:r>
            <w:r>
              <w:rPr>
                <w:rFonts w:hint="eastAsia" w:ascii="宋体" w:hAnsi="宋体" w:eastAsia="宋体" w:cs="宋体"/>
                <w:bCs/>
                <w:color w:val="auto"/>
                <w:sz w:val="18"/>
                <w:szCs w:val="18"/>
                <w:highlight w:val="none"/>
              </w:rPr>
              <w:t>构成损害，未经</w:t>
            </w:r>
            <w:r>
              <w:rPr>
                <w:rFonts w:hint="eastAsia" w:ascii="宋体" w:hAnsi="宋体" w:eastAsia="宋体" w:cs="宋体"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医院</w:t>
            </w:r>
            <w:r>
              <w:rPr>
                <w:rFonts w:hint="eastAsia" w:ascii="宋体" w:hAnsi="宋体" w:eastAsia="宋体" w:cs="宋体"/>
                <w:bCs/>
                <w:color w:val="auto"/>
                <w:sz w:val="18"/>
                <w:szCs w:val="18"/>
                <w:highlight w:val="none"/>
              </w:rPr>
              <w:t>同意不得擅自进行任何形式的装修。</w:t>
            </w:r>
          </w:p>
        </w:tc>
        <w:tc>
          <w:tcPr>
            <w:tcW w:w="83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91A4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342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9F07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</w:tr>
      <w:tr w14:paraId="2130A1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5" w:type="dxa"/>
            <w:left w:w="79" w:type="dxa"/>
            <w:bottom w:w="85" w:type="dxa"/>
            <w:right w:w="79" w:type="dxa"/>
          </w:tblCellMar>
        </w:tblPrEx>
        <w:trPr>
          <w:trHeight w:val="23" w:hRule="atLeast"/>
          <w:jc w:val="center"/>
        </w:trPr>
        <w:tc>
          <w:tcPr>
            <w:tcW w:w="157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E14B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7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80B2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3.设备、设施应妥善使用，定期维护和保养。如在经营过程中导致设备设施损坏、房屋损坏等造成房屋负面影响的，应主动、及时维修。</w:t>
            </w:r>
          </w:p>
        </w:tc>
        <w:tc>
          <w:tcPr>
            <w:tcW w:w="83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1451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342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347A0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</w:tr>
      <w:tr w14:paraId="02D7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5" w:type="dxa"/>
            <w:left w:w="79" w:type="dxa"/>
            <w:bottom w:w="85" w:type="dxa"/>
            <w:right w:w="79" w:type="dxa"/>
          </w:tblCellMar>
        </w:tblPrEx>
        <w:trPr>
          <w:trHeight w:val="23" w:hRule="atLeast"/>
          <w:jc w:val="center"/>
        </w:trPr>
        <w:tc>
          <w:tcPr>
            <w:tcW w:w="157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ECA7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经营要求</w:t>
            </w:r>
          </w:p>
        </w:tc>
        <w:tc>
          <w:tcPr>
            <w:tcW w:w="37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6E44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bCs/>
                <w:color w:val="auto"/>
                <w:sz w:val="18"/>
                <w:szCs w:val="18"/>
                <w:highlight w:val="none"/>
              </w:rPr>
              <w:t>必须文明守法，按章纳税，合法经营，不得从事非法活动</w:t>
            </w:r>
            <w:r>
              <w:rPr>
                <w:rFonts w:hint="eastAsia" w:ascii="宋体" w:hAnsi="宋体" w:eastAsia="宋体" w:cs="宋体"/>
                <w:bCs/>
                <w:color w:val="auto"/>
                <w:sz w:val="18"/>
                <w:szCs w:val="18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不得超范围经营</w:t>
            </w:r>
            <w:r>
              <w:rPr>
                <w:rFonts w:hint="eastAsia" w:ascii="宋体" w:hAnsi="宋体" w:eastAsia="宋体" w:cs="宋体"/>
                <w:bCs/>
                <w:color w:val="auto"/>
                <w:sz w:val="18"/>
                <w:szCs w:val="18"/>
                <w:highlight w:val="none"/>
                <w:lang w:eastAsia="zh-CN"/>
              </w:rPr>
              <w:t>。</w:t>
            </w:r>
            <w:r>
              <w:rPr>
                <w:rFonts w:hint="eastAsia" w:ascii="宋体" w:hAnsi="宋体" w:eastAsia="宋体" w:cs="宋体"/>
                <w:bCs/>
                <w:color w:val="auto"/>
                <w:sz w:val="18"/>
                <w:szCs w:val="18"/>
                <w:highlight w:val="none"/>
              </w:rPr>
              <w:t>发生的一切责任、债务和纠纷均自行负责。</w:t>
            </w:r>
          </w:p>
        </w:tc>
        <w:tc>
          <w:tcPr>
            <w:tcW w:w="83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A15C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10</w:t>
            </w:r>
          </w:p>
        </w:tc>
        <w:tc>
          <w:tcPr>
            <w:tcW w:w="342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8A403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现场查看，发现一项不符合要求的，扣5分/次，并限期整改。如未在期限内整改完毕的或一直整改未果的，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医院有权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进行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sz w:val="18"/>
                <w:szCs w:val="18"/>
                <w:highlight w:val="none"/>
                <w:lang w:val="en-US" w:eastAsia="zh-CN"/>
              </w:rPr>
              <w:t>扣除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或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单方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提前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终止合同。</w:t>
            </w:r>
          </w:p>
        </w:tc>
      </w:tr>
      <w:tr w14:paraId="25B88D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5" w:type="dxa"/>
            <w:left w:w="79" w:type="dxa"/>
            <w:bottom w:w="85" w:type="dxa"/>
            <w:right w:w="79" w:type="dxa"/>
          </w:tblCellMar>
        </w:tblPrEx>
        <w:trPr>
          <w:trHeight w:val="23" w:hRule="atLeast"/>
          <w:jc w:val="center"/>
        </w:trPr>
        <w:tc>
          <w:tcPr>
            <w:tcW w:w="1579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448B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7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7E8F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bCs/>
                <w:color w:val="auto"/>
                <w:sz w:val="18"/>
                <w:szCs w:val="18"/>
                <w:highlight w:val="none"/>
              </w:rPr>
              <w:t>雇佣的人员必须符合国家规定的用工条件，</w:t>
            </w:r>
            <w:r>
              <w:rPr>
                <w:rFonts w:hint="eastAsia" w:ascii="宋体" w:hAnsi="宋体" w:eastAsia="宋体" w:cs="宋体"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持相关证件上岗，</w:t>
            </w:r>
            <w:r>
              <w:rPr>
                <w:rFonts w:hint="eastAsia" w:ascii="宋体" w:hAnsi="宋体" w:eastAsia="宋体" w:cs="宋体"/>
                <w:bCs/>
                <w:color w:val="auto"/>
                <w:sz w:val="18"/>
                <w:szCs w:val="18"/>
                <w:highlight w:val="none"/>
              </w:rPr>
              <w:t>并加强对于雇用员工的教育和管理，严禁在</w:t>
            </w:r>
            <w:r>
              <w:rPr>
                <w:rFonts w:hint="eastAsia" w:ascii="宋体" w:hAnsi="宋体" w:eastAsia="宋体" w:cs="宋体"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租赁场所</w:t>
            </w:r>
            <w:r>
              <w:rPr>
                <w:rFonts w:hint="eastAsia" w:ascii="宋体" w:hAnsi="宋体" w:eastAsia="宋体" w:cs="宋体"/>
                <w:bCs/>
                <w:color w:val="auto"/>
                <w:sz w:val="18"/>
                <w:szCs w:val="18"/>
                <w:highlight w:val="none"/>
              </w:rPr>
              <w:t>内从事违法活动</w:t>
            </w:r>
            <w:r>
              <w:rPr>
                <w:rFonts w:hint="eastAsia" w:ascii="宋体" w:hAnsi="宋体" w:eastAsia="宋体" w:cs="宋体"/>
                <w:bCs/>
                <w:color w:val="auto"/>
                <w:sz w:val="18"/>
                <w:szCs w:val="18"/>
                <w:highlight w:val="none"/>
                <w:lang w:eastAsia="zh-CN"/>
              </w:rPr>
              <w:t>。</w:t>
            </w:r>
          </w:p>
        </w:tc>
        <w:tc>
          <w:tcPr>
            <w:tcW w:w="83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3EC6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42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DCBB6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</w:tr>
      <w:tr w14:paraId="1F256F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5" w:type="dxa"/>
            <w:left w:w="79" w:type="dxa"/>
            <w:bottom w:w="85" w:type="dxa"/>
            <w:right w:w="79" w:type="dxa"/>
          </w:tblCellMar>
        </w:tblPrEx>
        <w:trPr>
          <w:trHeight w:val="23" w:hRule="atLeast"/>
          <w:jc w:val="center"/>
        </w:trPr>
        <w:tc>
          <w:tcPr>
            <w:tcW w:w="157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9098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7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E9AF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bCs/>
                <w:color w:val="auto"/>
                <w:sz w:val="18"/>
                <w:szCs w:val="18"/>
                <w:highlight w:val="none"/>
              </w:rPr>
              <w:t>承租</w:t>
            </w:r>
            <w:r>
              <w:rPr>
                <w:rFonts w:hint="eastAsia" w:ascii="宋体" w:hAnsi="宋体" w:eastAsia="宋体" w:cs="宋体"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期间</w:t>
            </w:r>
            <w:r>
              <w:rPr>
                <w:rFonts w:hint="eastAsia" w:ascii="宋体" w:hAnsi="宋体" w:eastAsia="宋体" w:cs="宋体"/>
                <w:bCs/>
                <w:color w:val="auto"/>
                <w:sz w:val="18"/>
                <w:szCs w:val="18"/>
                <w:highlight w:val="none"/>
              </w:rPr>
              <w:t>不得转租和自行分租</w:t>
            </w:r>
            <w:r>
              <w:rPr>
                <w:rFonts w:hint="eastAsia" w:ascii="宋体" w:hAnsi="宋体" w:eastAsia="宋体" w:cs="宋体"/>
                <w:bCs/>
                <w:color w:val="auto"/>
                <w:sz w:val="18"/>
                <w:szCs w:val="18"/>
                <w:highlight w:val="none"/>
                <w:lang w:eastAsia="zh-CN"/>
              </w:rPr>
              <w:t>。</w:t>
            </w:r>
          </w:p>
        </w:tc>
        <w:tc>
          <w:tcPr>
            <w:tcW w:w="831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BB4C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5</w:t>
            </w:r>
          </w:p>
        </w:tc>
        <w:tc>
          <w:tcPr>
            <w:tcW w:w="342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C4F33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</w:tr>
      <w:tr w14:paraId="04922C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5" w:type="dxa"/>
            <w:left w:w="79" w:type="dxa"/>
            <w:bottom w:w="85" w:type="dxa"/>
            <w:right w:w="79" w:type="dxa"/>
          </w:tblCellMar>
        </w:tblPrEx>
        <w:trPr>
          <w:trHeight w:val="23" w:hRule="atLeast"/>
          <w:jc w:val="center"/>
        </w:trPr>
        <w:tc>
          <w:tcPr>
            <w:tcW w:w="1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7BFB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租金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及相关费用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履约</w:t>
            </w:r>
          </w:p>
        </w:tc>
        <w:tc>
          <w:tcPr>
            <w:tcW w:w="37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E646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1.按时</w:t>
            </w:r>
            <w:r>
              <w:rPr>
                <w:rFonts w:hint="eastAsia" w:ascii="宋体" w:hAnsi="宋体" w:eastAsia="宋体" w:cs="宋体"/>
                <w:bCs/>
                <w:color w:val="auto"/>
                <w:sz w:val="18"/>
                <w:szCs w:val="18"/>
                <w:highlight w:val="none"/>
              </w:rPr>
              <w:t>在每月5号前缴交本月的租金及上一个月的水电费</w:t>
            </w:r>
            <w:r>
              <w:rPr>
                <w:rFonts w:hint="eastAsia" w:ascii="宋体" w:hAnsi="宋体" w:eastAsia="宋体" w:cs="宋体"/>
                <w:bCs/>
                <w:color w:val="auto"/>
                <w:sz w:val="18"/>
                <w:szCs w:val="18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垃圾处理费</w:t>
            </w:r>
            <w:r>
              <w:rPr>
                <w:rFonts w:hint="eastAsia" w:ascii="宋体" w:hAnsi="宋体" w:eastAsia="宋体" w:cs="宋体"/>
                <w:bCs/>
                <w:color w:val="auto"/>
                <w:sz w:val="18"/>
                <w:szCs w:val="18"/>
                <w:highlight w:val="none"/>
                <w:lang w:eastAsia="zh-CN"/>
              </w:rPr>
              <w:t>。</w:t>
            </w:r>
          </w:p>
        </w:tc>
        <w:tc>
          <w:tcPr>
            <w:tcW w:w="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8BDD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10</w:t>
            </w:r>
          </w:p>
        </w:tc>
        <w:tc>
          <w:tcPr>
            <w:tcW w:w="3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C05ED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未能按时租金履约扣10分/次，不按时交纳相关费用，院方有权从履约保证金中扣除。扣除保证金后，承租方应在5天内补足原保证金数额，如不按期缴交或补足保证金的，院方有权单方面解除合同，由承租方承担全部违约责任。</w:t>
            </w:r>
          </w:p>
        </w:tc>
      </w:tr>
      <w:tr w14:paraId="72702E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5" w:type="dxa"/>
            <w:left w:w="79" w:type="dxa"/>
            <w:bottom w:w="85" w:type="dxa"/>
            <w:right w:w="79" w:type="dxa"/>
          </w:tblCellMar>
        </w:tblPrEx>
        <w:trPr>
          <w:trHeight w:val="23" w:hRule="atLeast"/>
          <w:jc w:val="center"/>
        </w:trPr>
        <w:tc>
          <w:tcPr>
            <w:tcW w:w="1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A461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18"/>
                <w:szCs w:val="18"/>
                <w:highlight w:val="none"/>
              </w:rPr>
              <w:t>合计</w:t>
            </w:r>
          </w:p>
        </w:tc>
        <w:tc>
          <w:tcPr>
            <w:tcW w:w="37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61E1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1680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18"/>
                <w:szCs w:val="18"/>
                <w:highlight w:val="none"/>
              </w:rPr>
              <w:t>100</w:t>
            </w:r>
          </w:p>
        </w:tc>
        <w:tc>
          <w:tcPr>
            <w:tcW w:w="3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DBDC6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Fonts w:hint="eastAsia" w:ascii="宋体" w:hAnsi="宋体" w:eastAsia="宋体" w:cs="宋体"/>
                <w:b/>
                <w:color w:val="auto"/>
                <w:sz w:val="18"/>
                <w:szCs w:val="18"/>
                <w:highlight w:val="none"/>
              </w:rPr>
            </w:pPr>
          </w:p>
        </w:tc>
      </w:tr>
    </w:tbl>
    <w:p w14:paraId="59B8C9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textAlignment w:val="auto"/>
        <w:rPr>
          <w:rFonts w:ascii="Calibri" w:hAnsi="Calibri" w:eastAsia="宋体" w:cs="Times New Roman"/>
        </w:rPr>
      </w:pPr>
      <w:r>
        <w:rPr>
          <w:rFonts w:hint="eastAsia" w:ascii="宋体" w:hAnsi="宋体" w:eastAsia="宋体" w:cs="Times New Roman"/>
          <w:color w:val="auto"/>
          <w:szCs w:val="21"/>
          <w:highlight w:val="none"/>
        </w:rPr>
        <w:t>★</w:t>
      </w:r>
      <w:r>
        <w:rPr>
          <w:rFonts w:hint="eastAsia" w:ascii="Calibri" w:hAnsi="Calibri" w:eastAsia="宋体" w:cs="Times New Roman"/>
          <w:b/>
          <w:bCs/>
          <w:color w:val="auto"/>
          <w:kern w:val="2"/>
          <w:szCs w:val="21"/>
          <w:highlight w:val="none"/>
        </w:rPr>
        <w:t>说明：</w:t>
      </w:r>
      <w:r>
        <w:rPr>
          <w:rFonts w:hint="eastAsia" w:ascii="宋体" w:hAnsi="宋体" w:eastAsia="宋体" w:cs="宋体"/>
          <w:b/>
          <w:bCs/>
          <w:strike w:val="0"/>
          <w:dstrike w:val="0"/>
          <w:color w:val="auto"/>
          <w:szCs w:val="21"/>
          <w:highlight w:val="none"/>
          <w:lang w:val="en-US" w:eastAsia="zh-CN"/>
        </w:rPr>
        <w:t>出租方</w:t>
      </w:r>
      <w:r>
        <w:rPr>
          <w:rFonts w:hint="eastAsia" w:ascii="Calibri" w:hAnsi="Calibri" w:eastAsia="宋体" w:cs="Times New Roman"/>
          <w:b/>
          <w:bCs/>
          <w:color w:val="auto"/>
          <w:kern w:val="2"/>
          <w:szCs w:val="21"/>
          <w:highlight w:val="none"/>
        </w:rPr>
        <w:t>有权根据实际情况进行考核质量标准的调整。</w:t>
      </w:r>
    </w:p>
    <w:p w14:paraId="03FD9D78"/>
    <w:sectPr>
      <w:pgSz w:w="11906" w:h="16838"/>
      <w:pgMar w:top="816" w:right="1009" w:bottom="816" w:left="100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4C2766"/>
    <w:rsid w:val="604C2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2026-07-14T03:42:00Z</dcterms:created>
  <dc:creator>Lily</dc:creator>
  <cp:lastModifiedBy>Lily</cp:lastModifiedBy>
  <dcterms:modified xsi:type="dcterms:W3CDTF">2026-07-14T03:44:17Z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88F271339F174BDBBF97607BA5C3791A_11</vt:lpwstr>
  </property>
  <property fmtid="{D5CDD505-2E9C-101B-9397-08002B2CF9AE}" pid="4" name="KSOTemplateDocerSaveRecord">
    <vt:lpwstr>eyJoZGlkIjoiZjMxODI1ZDk1NTM3ZThjZDIyMDM0N2Q4Njc3ODMwMjMiLCJ1c2VySWQiOiIyNjI5MDY5MzEifQ==</vt:lpwstr>
  </property>
</Properties>
</file>