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E7E76">
      <w:pPr>
        <w:jc w:val="center"/>
        <w:rPr>
          <w:rFonts w:ascii="宋体" w:hAnsi="宋体"/>
          <w:b/>
          <w:color w:val="000000" w:themeColor="text1"/>
          <w:kern w:val="28"/>
          <w:sz w:val="44"/>
          <w:szCs w:val="36"/>
          <w14:textFill>
            <w14:solidFill>
              <w14:schemeClr w14:val="tx1"/>
            </w14:solidFill>
          </w14:textFill>
        </w:rPr>
      </w:pPr>
      <w:r>
        <w:rPr>
          <w:rFonts w:hint="eastAsia" w:ascii="宋体" w:hAnsi="宋体"/>
          <w:b/>
          <w:color w:val="000000" w:themeColor="text1"/>
          <w:kern w:val="28"/>
          <w:sz w:val="44"/>
          <w:szCs w:val="36"/>
          <w14:textFill>
            <w14:solidFill>
              <w14:schemeClr w14:val="tx1"/>
            </w14:solidFill>
          </w14:textFill>
        </w:rPr>
        <w:t>采购</w:t>
      </w:r>
      <w:r>
        <w:rPr>
          <w:rFonts w:ascii="宋体" w:hAnsi="宋体"/>
          <w:b/>
          <w:color w:val="000000" w:themeColor="text1"/>
          <w:kern w:val="28"/>
          <w:sz w:val="44"/>
          <w:szCs w:val="36"/>
          <w14:textFill>
            <w14:solidFill>
              <w14:schemeClr w14:val="tx1"/>
            </w14:solidFill>
          </w14:textFill>
        </w:rPr>
        <w:t>需求书</w:t>
      </w:r>
    </w:p>
    <w:p w14:paraId="23DFADCC">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总则：</w:t>
      </w:r>
    </w:p>
    <w:p w14:paraId="58FD94F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4C65F3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EB731D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若所投标的属于医疗器械，</w:t>
      </w:r>
      <w:r>
        <w:rPr>
          <w:rFonts w:hint="eastAsia" w:ascii="仿宋" w:hAnsi="仿宋" w:eastAsia="仿宋" w:cs="仿宋"/>
          <w:color w:val="000000" w:themeColor="text1"/>
          <w:sz w:val="24"/>
          <w14:textFill>
            <w14:solidFill>
              <w14:schemeClr w14:val="tx1"/>
            </w14:solidFill>
          </w14:textFill>
        </w:rPr>
        <w:t>投标供应商应该符合《医疗器械经营质量管理规范》和《医疗器械监督管理条例》规定，并结合本项目特性提供有效的医疗器械产品注册/备案证明材料和投标供应商的经营许可/备案证明材料。</w:t>
      </w:r>
    </w:p>
    <w:p w14:paraId="5991DCE9">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.本文的“质保期”是指中标标的物经约定的验收机构完成验收之日起算，截止中标人承诺的期限。</w:t>
      </w:r>
    </w:p>
    <w:p w14:paraId="2B9D2695">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3"/>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3984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7C38D922">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项目名称</w:t>
            </w:r>
          </w:p>
        </w:tc>
        <w:tc>
          <w:tcPr>
            <w:tcW w:w="2268" w:type="dxa"/>
          </w:tcPr>
          <w:p w14:paraId="15D6B59C">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需求科室/部门</w:t>
            </w:r>
          </w:p>
        </w:tc>
        <w:tc>
          <w:tcPr>
            <w:tcW w:w="2508" w:type="dxa"/>
          </w:tcPr>
          <w:p w14:paraId="67829918">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r>
      <w:tr w14:paraId="33EE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3274" w:type="dxa"/>
          </w:tcPr>
          <w:p w14:paraId="611AB3E1">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第一批科研设备（细胞房设备）</w:t>
            </w:r>
          </w:p>
        </w:tc>
        <w:tc>
          <w:tcPr>
            <w:tcW w:w="2268" w:type="dxa"/>
          </w:tcPr>
          <w:p w14:paraId="29F1C941">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bookmarkStart w:id="0" w:name="_GoBack"/>
            <w:r>
              <w:rPr>
                <w:rFonts w:hint="eastAsia" w:ascii="仿宋" w:hAnsi="仿宋" w:eastAsia="仿宋" w:cs="仿宋"/>
                <w:color w:val="000000" w:themeColor="text1"/>
                <w:sz w:val="24"/>
                <w:lang w:val="en-US" w:eastAsia="zh-CN"/>
                <w14:textFill>
                  <w14:solidFill>
                    <w14:schemeClr w14:val="tx1"/>
                  </w14:solidFill>
                </w14:textFill>
              </w:rPr>
              <w:t>科教科</w:t>
            </w:r>
            <w:bookmarkEnd w:id="0"/>
          </w:p>
        </w:tc>
        <w:tc>
          <w:tcPr>
            <w:tcW w:w="2508" w:type="dxa"/>
          </w:tcPr>
          <w:p w14:paraId="5937043E">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1批</w:t>
            </w:r>
          </w:p>
        </w:tc>
      </w:tr>
    </w:tbl>
    <w:p w14:paraId="67A80B0D">
      <w:pPr>
        <w:spacing w:line="440" w:lineRule="exact"/>
        <w:rPr>
          <w:rFonts w:hint="eastAsia" w:ascii="仿宋" w:hAnsi="仿宋" w:eastAsia="仿宋" w:cs="仿宋"/>
          <w:color w:val="000000" w:themeColor="text1"/>
          <w:sz w:val="24"/>
          <w:lang w:val="en-US" w:eastAsia="zh-CN"/>
          <w14:textFill>
            <w14:solidFill>
              <w14:schemeClr w14:val="tx1"/>
            </w14:solidFill>
          </w14:textFill>
        </w:rPr>
      </w:pPr>
    </w:p>
    <w:p w14:paraId="674ECFBD">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投标响应时，各设备单价不得超过“预算上限单价”，具体如下表所示：</w:t>
      </w:r>
    </w:p>
    <w:tbl>
      <w:tblPr>
        <w:tblStyle w:val="12"/>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34"/>
        <w:gridCol w:w="3918"/>
        <w:gridCol w:w="1236"/>
        <w:gridCol w:w="2131"/>
      </w:tblGrid>
      <w:tr w14:paraId="63D0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D8510">
            <w:pPr>
              <w:keepNext w:val="0"/>
              <w:keepLines w:val="0"/>
              <w:widowControl/>
              <w:suppressLineNumbers w:val="0"/>
              <w:snapToGrid w:val="0"/>
              <w:ind w:left="0" w:leftChars="0" w:right="0" w:rightChars="0" w:firstLine="0" w:firstLineChars="0"/>
              <w:jc w:val="center"/>
              <w:textAlignment w:val="center"/>
              <w:rPr>
                <w:rFonts w:ascii="仿宋_GB2312" w:hAnsi="宋体" w:eastAsia="仿宋_GB2312" w:cs="仿宋_GB2312"/>
                <w:b/>
                <w:i w:val="0"/>
                <w:iCs w:val="0"/>
                <w:color w:val="000000"/>
                <w:sz w:val="28"/>
                <w:szCs w:val="28"/>
                <w:u w:val="none"/>
              </w:rPr>
            </w:pPr>
            <w:r>
              <w:rPr>
                <w:rFonts w:hint="eastAsia" w:ascii="仿宋_GB2312" w:hAnsi="宋体" w:eastAsia="仿宋_GB2312" w:cs="仿宋_GB2312"/>
                <w:b/>
                <w:i w:val="0"/>
                <w:iCs w:val="0"/>
                <w:color w:val="000000"/>
                <w:kern w:val="0"/>
                <w:sz w:val="28"/>
                <w:szCs w:val="2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CAD1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8"/>
                <w:szCs w:val="28"/>
                <w:u w:val="none"/>
              </w:rPr>
            </w:pPr>
            <w:r>
              <w:rPr>
                <w:rFonts w:hint="eastAsia" w:ascii="仿宋_GB2312" w:hAnsi="宋体" w:eastAsia="仿宋_GB2312" w:cs="仿宋_GB2312"/>
                <w:b/>
                <w:i w:val="0"/>
                <w:iCs w:val="0"/>
                <w:color w:val="000000"/>
                <w:kern w:val="0"/>
                <w:sz w:val="28"/>
                <w:szCs w:val="28"/>
                <w:u w:val="none"/>
                <w:lang w:val="en-US" w:eastAsia="zh-CN" w:bidi="ar"/>
              </w:rPr>
              <w:t>设备名称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3156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i w:val="0"/>
                <w:iCs w:val="0"/>
                <w:color w:val="000000"/>
                <w:sz w:val="28"/>
                <w:szCs w:val="28"/>
                <w:u w:val="none"/>
              </w:rPr>
            </w:pPr>
            <w:r>
              <w:rPr>
                <w:rFonts w:hint="eastAsia" w:ascii="仿宋_GB2312" w:hAnsi="宋体" w:eastAsia="仿宋_GB2312" w:cs="仿宋_GB2312"/>
                <w:b/>
                <w:i w:val="0"/>
                <w:iCs w:val="0"/>
                <w:color w:val="000000"/>
                <w:kern w:val="0"/>
                <w:sz w:val="28"/>
                <w:szCs w:val="28"/>
                <w:u w:val="none"/>
                <w:lang w:val="en-US" w:eastAsia="zh-CN" w:bidi="ar"/>
              </w:rPr>
              <w:t>数量</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20B0E">
            <w:pPr>
              <w:keepNext w:val="0"/>
              <w:keepLines w:val="0"/>
              <w:widowControl/>
              <w:suppressLineNumbers w:val="0"/>
              <w:snapToGrid w:val="0"/>
              <w:ind w:left="0" w:leftChars="0" w:right="0" w:rightChars="0" w:firstLine="0" w:firstLineChars="0"/>
              <w:jc w:val="center"/>
              <w:textAlignment w:val="center"/>
              <w:rPr>
                <w:rFonts w:hint="default" w:ascii="仿宋_GB2312" w:hAnsi="宋体" w:eastAsia="仿宋_GB2312" w:cs="仿宋_GB2312"/>
                <w:b/>
                <w:i w:val="0"/>
                <w:iCs w:val="0"/>
                <w:color w:val="000000"/>
                <w:sz w:val="28"/>
                <w:szCs w:val="28"/>
                <w:u w:val="none"/>
                <w:lang w:val="en-US"/>
              </w:rPr>
            </w:pPr>
            <w:r>
              <w:rPr>
                <w:rFonts w:hint="eastAsia" w:ascii="仿宋_GB2312" w:hAnsi="宋体" w:eastAsia="仿宋_GB2312" w:cs="仿宋_GB2312"/>
                <w:b/>
                <w:i w:val="0"/>
                <w:iCs w:val="0"/>
                <w:color w:val="000000"/>
                <w:kern w:val="0"/>
                <w:sz w:val="28"/>
                <w:szCs w:val="28"/>
                <w:u w:val="none"/>
                <w:lang w:val="en-US" w:eastAsia="zh-CN" w:bidi="ar"/>
              </w:rPr>
              <w:t>上限单价</w:t>
            </w:r>
          </w:p>
        </w:tc>
      </w:tr>
      <w:tr w14:paraId="62525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24C8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8A721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CO</w:t>
            </w:r>
            <w:r>
              <w:rPr>
                <w:rStyle w:val="26"/>
                <w:rFonts w:ascii="仿宋_GB2312" w:eastAsia="仿宋_GB2312"/>
                <w:sz w:val="28"/>
                <w:lang w:val="en-US" w:eastAsia="zh-CN" w:bidi="ar"/>
              </w:rPr>
              <w:t>₂</w:t>
            </w:r>
            <w:r>
              <w:rPr>
                <w:rFonts w:hint="eastAsia" w:ascii="仿宋_GB2312" w:hAnsi="宋体" w:eastAsia="仿宋_GB2312" w:cs="仿宋_GB2312"/>
                <w:i w:val="0"/>
                <w:iCs w:val="0"/>
                <w:color w:val="000000"/>
                <w:kern w:val="0"/>
                <w:sz w:val="28"/>
                <w:szCs w:val="28"/>
                <w:u w:val="none"/>
                <w:lang w:val="en-US" w:eastAsia="zh-CN" w:bidi="ar"/>
              </w:rPr>
              <w:t xml:space="preserve"> 培养箱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7333C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1E1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39,000</w:t>
            </w:r>
          </w:p>
        </w:tc>
      </w:tr>
      <w:tr w14:paraId="5A221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782D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7A004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倒置显微镜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9C13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D397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6CC16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23AE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93C4F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液氮罐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1BDEA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77D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18,000</w:t>
            </w:r>
          </w:p>
        </w:tc>
      </w:tr>
      <w:tr w14:paraId="362F6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BBD5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0B1A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摇床 (温控/空气)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9C8D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714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5F580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4498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BF76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冷冻高速离心机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BE85E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7FE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34,000</w:t>
            </w:r>
          </w:p>
        </w:tc>
      </w:tr>
      <w:tr w14:paraId="273C2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4313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7C511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移液器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3800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3FC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3,500</w:t>
            </w:r>
          </w:p>
        </w:tc>
      </w:tr>
      <w:tr w14:paraId="67B10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D48C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BF654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水浴锅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C9D3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401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2,000</w:t>
            </w:r>
          </w:p>
        </w:tc>
      </w:tr>
      <w:tr w14:paraId="56CBD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4B3D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4E0E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负压泵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6895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2</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5CBB5">
            <w:pPr>
              <w:keepNext w:val="0"/>
              <w:keepLines w:val="0"/>
              <w:widowControl/>
              <w:suppressLineNumbers w:val="0"/>
              <w:snapToGrid w:val="0"/>
              <w:ind w:left="0" w:leftChars="0" w:right="0" w:rightChars="0" w:firstLine="0" w:firstLineChars="0"/>
              <w:jc w:val="center"/>
              <w:textAlignment w:val="center"/>
              <w:rPr>
                <w:rFonts w:hint="default"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3,500</w:t>
            </w:r>
          </w:p>
        </w:tc>
      </w:tr>
      <w:tr w14:paraId="6880D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12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C0DC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9</w:t>
            </w:r>
          </w:p>
        </w:tc>
        <w:tc>
          <w:tcPr>
            <w:tcW w:w="3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AC0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细胞计数仪</w:t>
            </w:r>
          </w:p>
        </w:tc>
        <w:tc>
          <w:tcPr>
            <w:tcW w:w="1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B74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sz w:val="28"/>
                <w:szCs w:val="28"/>
                <w:u w:val="none"/>
              </w:rPr>
            </w:pPr>
            <w:r>
              <w:rPr>
                <w:rFonts w:hint="eastAsia" w:ascii="仿宋_GB2312" w:hAnsi="宋体" w:eastAsia="仿宋_GB2312" w:cs="仿宋_GB2312"/>
                <w:i w:val="0"/>
                <w:iCs w:val="0"/>
                <w:color w:val="000000"/>
                <w:kern w:val="0"/>
                <w:sz w:val="28"/>
                <w:szCs w:val="28"/>
                <w:u w:val="none"/>
                <w:lang w:val="en-US" w:eastAsia="zh-CN" w:bidi="ar"/>
              </w:rPr>
              <w:t>1</w:t>
            </w:r>
          </w:p>
        </w:tc>
        <w:tc>
          <w:tcPr>
            <w:tcW w:w="21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EE7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i w:val="0"/>
                <w:iCs w:val="0"/>
                <w:color w:val="000000"/>
                <w:kern w:val="0"/>
                <w:sz w:val="28"/>
                <w:szCs w:val="28"/>
                <w:u w:val="none"/>
                <w:lang w:val="en-US" w:eastAsia="zh-CN" w:bidi="ar"/>
              </w:rPr>
            </w:pPr>
            <w:r>
              <w:rPr>
                <w:rFonts w:hint="eastAsia" w:ascii="仿宋_GB2312" w:hAnsi="宋体" w:eastAsia="仿宋_GB2312" w:cs="仿宋_GB2312"/>
                <w:i w:val="0"/>
                <w:iCs w:val="0"/>
                <w:color w:val="000000"/>
                <w:kern w:val="0"/>
                <w:sz w:val="28"/>
                <w:szCs w:val="28"/>
                <w:u w:val="none"/>
                <w:lang w:val="en-US" w:eastAsia="zh-CN" w:bidi="ar"/>
              </w:rPr>
              <w:t>51,000</w:t>
            </w:r>
          </w:p>
        </w:tc>
      </w:tr>
    </w:tbl>
    <w:p w14:paraId="70DE610A">
      <w:pPr>
        <w:spacing w:line="440" w:lineRule="exact"/>
        <w:rPr>
          <w:rFonts w:hint="default" w:ascii="仿宋" w:hAnsi="仿宋" w:eastAsia="仿宋" w:cs="仿宋"/>
          <w:color w:val="000000" w:themeColor="text1"/>
          <w:sz w:val="24"/>
          <w:lang w:val="en-US" w:eastAsia="zh-CN"/>
          <w14:textFill>
            <w14:solidFill>
              <w14:schemeClr w14:val="tx1"/>
            </w14:solidFill>
          </w14:textFill>
        </w:rPr>
      </w:pPr>
    </w:p>
    <w:p w14:paraId="01316140">
      <w:pPr>
        <w:numPr>
          <w:ilvl w:val="0"/>
          <w:numId w:val="0"/>
        </w:numPr>
        <w:spacing w:line="440" w:lineRule="exact"/>
        <w:ind w:leftChars="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用途：</w:t>
      </w:r>
    </w:p>
    <w:p w14:paraId="247ACE54">
      <w:pPr>
        <w:numPr>
          <w:ilvl w:val="0"/>
          <w:numId w:val="0"/>
        </w:numPr>
        <w:spacing w:line="44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次采购设备主要用于医学实验室活细胞动态研究，涵盖活细胞实时成像观测、细胞培养与增殖、样本低温存储、细胞形态与荧光标记分析、细胞悬浮培养等实验环节，为疾病机制探索、药物筛选、细胞治疗研究提供关键技术支撑，全面提升实验室在细胞生物学领域的科研能力与临床转化水平。</w:t>
      </w:r>
    </w:p>
    <w:p w14:paraId="426AD8A4">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技术参数：</w:t>
      </w:r>
    </w:p>
    <w:p w14:paraId="0CDBF2F5">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（一）移液器</w:t>
      </w:r>
      <w:r>
        <w:rPr>
          <w:rFonts w:hint="eastAsia" w:ascii="仿宋" w:hAnsi="仿宋" w:eastAsia="仿宋" w:cs="仿宋"/>
          <w:color w:val="000000" w:themeColor="text1"/>
          <w:sz w:val="24"/>
          <w:lang w:val="en-US" w:eastAsia="zh-CN"/>
          <w14:textFill>
            <w14:solidFill>
              <w14:schemeClr w14:val="tx1"/>
            </w14:solidFill>
          </w14:textFill>
        </w:rPr>
        <w:t xml:space="preserve"> </w:t>
      </w:r>
    </w:p>
    <w:p w14:paraId="2A6BFBF5">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1.可整支高温高压灭菌和紫外线灭菌</w:t>
      </w:r>
    </w:p>
    <w:p w14:paraId="6CBFFFF7">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2.伸缩式弹性吸嘴设计，确保吸头装配的气密性和移液均一性</w:t>
      </w:r>
    </w:p>
    <w:p w14:paraId="2CA048F4">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移液器量程范围：0.5-10μL，10-100μL，0.1-1ml的单通道移液器1套；10μL，200μL八通道移液器1套。</w:t>
      </w:r>
    </w:p>
    <w:p w14:paraId="1CD384BE">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4.下半支可徒手拆卸，便于清洁保养</w:t>
      </w:r>
    </w:p>
    <w:p w14:paraId="6F9512E9">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允许最大误差≤2.5%</w:t>
      </w:r>
    </w:p>
    <w:p w14:paraId="7E326BAF">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p>
    <w:p w14:paraId="1BD4907A">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水浴锅 </w:t>
      </w:r>
    </w:p>
    <w:p w14:paraId="20D2D368">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1.★容量≥5L</w:t>
      </w:r>
    </w:p>
    <w:p w14:paraId="6D6C0B0A">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温控范围包括：</w:t>
      </w:r>
      <w:r>
        <w:rPr>
          <w:rFonts w:hint="default" w:ascii="仿宋" w:hAnsi="仿宋" w:eastAsia="仿宋" w:cs="仿宋"/>
          <w:color w:val="000000" w:themeColor="text1"/>
          <w:sz w:val="24"/>
          <w:lang w:val="en-US" w:eastAsia="zh-CN"/>
          <w14:textFill>
            <w14:solidFill>
              <w14:schemeClr w14:val="tx1"/>
            </w14:solidFill>
          </w14:textFill>
        </w:rPr>
        <w:t xml:space="preserve">5℃ ~100℃ </w:t>
      </w:r>
    </w:p>
    <w:p w14:paraId="43F2A94B">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3.时间范围：</w:t>
      </w:r>
      <w:r>
        <w:rPr>
          <w:rFonts w:hint="default" w:ascii="仿宋" w:hAnsi="仿宋" w:eastAsia="仿宋" w:cs="仿宋"/>
          <w:color w:val="000000" w:themeColor="text1"/>
          <w:sz w:val="24"/>
          <w:lang w:val="en-US" w:eastAsia="zh-CN"/>
          <w14:textFill>
            <w14:solidFill>
              <w14:schemeClr w14:val="tx1"/>
            </w14:solidFill>
          </w14:textFill>
        </w:rPr>
        <w:t xml:space="preserve">1m~99h59m </w:t>
      </w:r>
    </w:p>
    <w:p w14:paraId="5873CBBF">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控温精度：</w:t>
      </w:r>
      <w:r>
        <w:rPr>
          <w:rFonts w:hint="default" w:ascii="仿宋" w:hAnsi="仿宋" w:eastAsia="仿宋" w:cs="仿宋"/>
          <w:color w:val="000000" w:themeColor="text1"/>
          <w:sz w:val="24"/>
          <w:lang w:val="en-US" w:eastAsia="zh-CN"/>
          <w14:textFill>
            <w14:solidFill>
              <w14:schemeClr w14:val="tx1"/>
            </w14:solidFill>
          </w14:textFill>
        </w:rPr>
        <w:t xml:space="preserve">±0.3℃ </w:t>
      </w:r>
      <w:r>
        <w:rPr>
          <w:rFonts w:hint="eastAsia" w:ascii="仿宋" w:hAnsi="仿宋" w:eastAsia="仿宋" w:cs="仿宋"/>
          <w:color w:val="000000" w:themeColor="text1"/>
          <w:sz w:val="24"/>
          <w:lang w:val="en-US" w:eastAsia="zh-CN"/>
          <w14:textFill>
            <w14:solidFill>
              <w14:schemeClr w14:val="tx1"/>
            </w14:solidFill>
          </w14:textFill>
        </w:rPr>
        <w:t>，超温自动断电</w:t>
      </w:r>
    </w:p>
    <w:p w14:paraId="618B9EE2">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5.均匀性：</w:t>
      </w:r>
      <w:r>
        <w:rPr>
          <w:rFonts w:hint="default" w:ascii="仿宋" w:hAnsi="仿宋" w:eastAsia="仿宋" w:cs="仿宋"/>
          <w:color w:val="000000" w:themeColor="text1"/>
          <w:sz w:val="24"/>
          <w:lang w:val="en-US" w:eastAsia="zh-CN"/>
          <w14:textFill>
            <w14:solidFill>
              <w14:schemeClr w14:val="tx1"/>
            </w14:solidFill>
          </w14:textFill>
        </w:rPr>
        <w:t>±0.3℃</w:t>
      </w:r>
      <w:r>
        <w:rPr>
          <w:rFonts w:hint="eastAsia" w:ascii="仿宋" w:hAnsi="仿宋" w:eastAsia="仿宋" w:cs="仿宋"/>
          <w:color w:val="000000" w:themeColor="text1"/>
          <w:sz w:val="24"/>
          <w:lang w:val="en-US" w:eastAsia="zh-CN"/>
          <w14:textFill>
            <w14:solidFill>
              <w14:schemeClr w14:val="tx1"/>
            </w14:solidFill>
          </w14:textFill>
        </w:rPr>
        <w:t>（</w:t>
      </w:r>
      <w:r>
        <w:rPr>
          <w:rFonts w:hint="default" w:ascii="仿宋" w:hAnsi="仿宋" w:eastAsia="仿宋" w:cs="仿宋"/>
          <w:color w:val="000000" w:themeColor="text1"/>
          <w:sz w:val="24"/>
          <w:lang w:val="en-US" w:eastAsia="zh-CN"/>
          <w14:textFill>
            <w14:solidFill>
              <w14:schemeClr w14:val="tx1"/>
            </w14:solidFill>
          </w14:textFill>
        </w:rPr>
        <w:t>37℃</w:t>
      </w:r>
      <w:r>
        <w:rPr>
          <w:rFonts w:hint="eastAsia" w:ascii="仿宋" w:hAnsi="仿宋" w:eastAsia="仿宋" w:cs="仿宋"/>
          <w:color w:val="000000" w:themeColor="text1"/>
          <w:sz w:val="24"/>
          <w:lang w:val="en-US" w:eastAsia="zh-CN"/>
          <w14:textFill>
            <w14:solidFill>
              <w14:schemeClr w14:val="tx1"/>
            </w14:solidFill>
          </w14:textFill>
        </w:rPr>
        <w:t>）</w:t>
      </w:r>
    </w:p>
    <w:p w14:paraId="0B442773">
      <w:pPr>
        <w:numPr>
          <w:ilvl w:val="0"/>
          <w:numId w:val="0"/>
        </w:numPr>
        <w:spacing w:line="440" w:lineRule="exact"/>
        <w:rPr>
          <w:rFonts w:hint="default" w:ascii="宋体" w:hAnsi="宋体" w:eastAsia="宋体" w:cs="宋体"/>
          <w:color w:val="000000"/>
          <w:kern w:val="0"/>
          <w:sz w:val="24"/>
          <w:szCs w:val="24"/>
          <w:lang w:val="en-US" w:eastAsia="zh-CN" w:bidi="ar"/>
        </w:rPr>
      </w:pPr>
    </w:p>
    <w:p w14:paraId="163E6FD4">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三</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负压泵</w:t>
      </w:r>
    </w:p>
    <w:p w14:paraId="07A2559D">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油真空泵设计‌：泵体无需日常润滑维护，无油雾污染细胞房洁净环境</w:t>
      </w:r>
    </w:p>
    <w:p w14:paraId="250DAA6C">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‌溢流保护装置‌：防止液体倒吸进入泵体</w:t>
      </w:r>
    </w:p>
    <w:p w14:paraId="5D89CB01">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‌无菌适配设计‌：配可高温高压灭菌的2500ml透明贮液瓶2只，搭配密封防漏瓶塞，适配无菌操作要求</w:t>
      </w:r>
    </w:p>
    <w:p w14:paraId="6B078D50">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‌双重控制模式‌：手动开关+脚踏开关并联，适配细胞操作时的无菌场景</w:t>
      </w:r>
    </w:p>
    <w:p w14:paraId="2B589484">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‌安全防护配置‌：配备独立空气除菌过滤器，可阻挡气溶胶进入泵体，符合细胞房生物安全规范</w:t>
      </w:r>
    </w:p>
    <w:p w14:paraId="7A7A96A1">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‌透明吸引软管‌：采用无毒聚氟乙烯材质，可实时观察管内液体流动状态</w:t>
      </w:r>
    </w:p>
    <w:p w14:paraId="5F80FFA7">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3217AD80">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四</w:t>
      </w:r>
      <w:r>
        <w:rPr>
          <w:rFonts w:hint="eastAsia" w:ascii="仿宋" w:hAnsi="仿宋" w:eastAsia="仿宋" w:cs="仿宋"/>
          <w:color w:val="000000" w:themeColor="text1"/>
          <w:sz w:val="24"/>
          <w14:textFill>
            <w14:solidFill>
              <w14:schemeClr w14:val="tx1"/>
            </w14:solidFill>
          </w14:textFill>
        </w:rPr>
        <w:t>）二氧化碳培养箱</w:t>
      </w:r>
    </w:p>
    <w:p w14:paraId="525C764D">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工作容积≥150升，内部采用304全不锈钢材质，圆角设计便于清洁消毒。</w:t>
      </w:r>
    </w:p>
    <w:p w14:paraId="37E84515">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温控系统：气套式加热，直热技术覆盖箱体所有壁面，温控范围室温5℃ - 50℃，精度±0.1℃；加热失效时，备用循环系统可维持温度稳定。</w:t>
      </w:r>
    </w:p>
    <w:p w14:paraId="4BB52BA8">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CO₂浓度控制：范围</w:t>
      </w:r>
      <w:r>
        <w:rPr>
          <w:rFonts w:hint="eastAsia" w:ascii="仿宋" w:hAnsi="仿宋" w:eastAsia="仿宋" w:cs="仿宋"/>
          <w:color w:val="000000" w:themeColor="text1"/>
          <w:sz w:val="24"/>
          <w:lang w:val="en-US" w:eastAsia="zh-CN"/>
          <w14:textFill>
            <w14:solidFill>
              <w14:schemeClr w14:val="tx1"/>
            </w14:solidFill>
          </w14:textFill>
        </w:rPr>
        <w:t>包括</w:t>
      </w:r>
      <w:r>
        <w:rPr>
          <w:rFonts w:hint="eastAsia" w:ascii="仿宋" w:hAnsi="仿宋" w:eastAsia="仿宋" w:cs="仿宋"/>
          <w:color w:val="000000" w:themeColor="text1"/>
          <w:sz w:val="24"/>
          <w14:textFill>
            <w14:solidFill>
              <w14:schemeClr w14:val="tx1"/>
            </w14:solidFill>
          </w14:textFill>
        </w:rPr>
        <w:t>0 - 20%，精度±0.1%。</w:t>
      </w:r>
    </w:p>
    <w:p w14:paraId="580F5104">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湿度控制：水盘式加湿方式，方便实现换水及灭菌消毒。</w:t>
      </w:r>
    </w:p>
    <w:p w14:paraId="665ABFCA">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灭菌功能：具备90℃湿热灭菌程序，一键启动即可去除微生物污染。</w:t>
      </w:r>
    </w:p>
    <w:p w14:paraId="0F9D6E97">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配备温度、CO₂浓度、湿度三重报警系统，异常情况及时提示；支持远程监控与数据记录，可导出历史运行曲线。</w:t>
      </w:r>
    </w:p>
    <w:p w14:paraId="53D93E05">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4B4D01D8">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五</w:t>
      </w:r>
      <w:r>
        <w:rPr>
          <w:rFonts w:hint="eastAsia" w:ascii="仿宋" w:hAnsi="仿宋" w:eastAsia="仿宋" w:cs="仿宋"/>
          <w:color w:val="000000" w:themeColor="text1"/>
          <w:sz w:val="24"/>
          <w14:textFill>
            <w14:solidFill>
              <w14:schemeClr w14:val="tx1"/>
            </w14:solidFill>
          </w14:textFill>
        </w:rPr>
        <w:t>）倒置显微镜</w:t>
      </w:r>
    </w:p>
    <w:p w14:paraId="5B454AB0">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光学系统：无限远校正光学系统，数值孔径≥0.90，确保图像清晰锐利</w:t>
      </w:r>
      <w:r>
        <w:rPr>
          <w:rFonts w:hint="eastAsia" w:ascii="仿宋" w:hAnsi="仿宋" w:eastAsia="仿宋" w:cs="仿宋"/>
          <w:color w:val="000000" w:themeColor="text1"/>
          <w:sz w:val="24"/>
          <w:lang w:eastAsia="zh-CN"/>
          <w14:textFill>
            <w14:solidFill>
              <w14:schemeClr w14:val="tx1"/>
            </w14:solidFill>
          </w14:textFill>
        </w:rPr>
        <w:t>。</w:t>
      </w:r>
    </w:p>
    <w:p w14:paraId="2EF65842">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2.目镜：大视野平场目镜 WF10X/22mm，可调屈光度。 </w:t>
      </w:r>
    </w:p>
    <w:p w14:paraId="24D84A79">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3.物镜：无限远长工作距离平场相衬物镜: </w:t>
      </w:r>
    </w:p>
    <w:p w14:paraId="5CAA5E18">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4X/0.12 PH， 10X/0.25 PH， 20X/0.45 PH， 40X/0.58 PH， </w:t>
      </w:r>
    </w:p>
    <w:p w14:paraId="220B378B">
      <w:pPr>
        <w:numPr>
          <w:ilvl w:val="0"/>
          <w:numId w:val="0"/>
        </w:numPr>
        <w:spacing w:line="440" w:lineRule="exact"/>
      </w:pPr>
      <w:r>
        <w:rPr>
          <w:rFonts w:hint="eastAsia" w:ascii="仿宋" w:hAnsi="仿宋" w:eastAsia="仿宋" w:cs="仿宋"/>
          <w:color w:val="000000" w:themeColor="text1"/>
          <w:sz w:val="24"/>
          <w:lang w:val="en-US" w:eastAsia="zh-CN"/>
          <w14:textFill>
            <w14:solidFill>
              <w14:schemeClr w14:val="tx1"/>
            </w14:solidFill>
          </w14:textFill>
        </w:rPr>
        <w:t xml:space="preserve">4.调焦机构：粗微调同轴，配有限位装置和锁紧装置，低手位同轴调焦手轮，微调手轮格值 2um，调焦更加精确； </w:t>
      </w:r>
    </w:p>
    <w:p w14:paraId="58DC236D">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观察方式：支持明场、相差观察，相差物镜包含10×、20×、40×，可清晰观察活细胞形态与内部结构</w:t>
      </w:r>
      <w:r>
        <w:rPr>
          <w:rFonts w:hint="eastAsia" w:ascii="仿宋" w:hAnsi="仿宋" w:eastAsia="仿宋" w:cs="仿宋"/>
          <w:color w:val="000000" w:themeColor="text1"/>
          <w:sz w:val="24"/>
          <w:lang w:eastAsia="zh-CN"/>
          <w14:textFill>
            <w14:solidFill>
              <w14:schemeClr w14:val="tx1"/>
            </w14:solidFill>
          </w14:textFill>
        </w:rPr>
        <w:t>；</w:t>
      </w:r>
    </w:p>
    <w:p w14:paraId="19804450">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调焦系统：低位同轴粗微调焦机构，微调精度≤0.002mm，具备调焦限位功能。</w:t>
      </w:r>
    </w:p>
    <w:p w14:paraId="01482209">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照明系统：</w:t>
      </w:r>
      <w:r>
        <w:rPr>
          <w:rFonts w:hint="eastAsia"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30W</w:t>
      </w:r>
      <w:r>
        <w:rPr>
          <w:rFonts w:hint="eastAsia" w:ascii="仿宋" w:hAnsi="仿宋" w:eastAsia="仿宋" w:cs="仿宋"/>
          <w:color w:val="000000" w:themeColor="text1"/>
          <w:sz w:val="24"/>
          <w:lang w:val="en-US" w:eastAsia="zh-CN"/>
          <w14:textFill>
            <w14:solidFill>
              <w14:schemeClr w14:val="tx1"/>
            </w14:solidFill>
          </w14:textFill>
        </w:rPr>
        <w:t>光源</w:t>
      </w:r>
      <w:r>
        <w:rPr>
          <w:rFonts w:hint="eastAsia" w:ascii="仿宋" w:hAnsi="仿宋" w:eastAsia="仿宋" w:cs="仿宋"/>
          <w:color w:val="000000" w:themeColor="text1"/>
          <w:sz w:val="24"/>
          <w14:textFill>
            <w14:solidFill>
              <w14:schemeClr w14:val="tx1"/>
            </w14:solidFill>
          </w14:textFill>
        </w:rPr>
        <w:t>，亮度连续可调；配备视场光阑与孔径光阑，可按需调节照明范围与对比度。</w:t>
      </w:r>
    </w:p>
    <w:p w14:paraId="5685ADE9">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lang w:val="en-US" w:eastAsia="zh-CN"/>
          <w14:textFill>
            <w14:solidFill>
              <w14:schemeClr w14:val="tx1"/>
            </w14:solidFill>
          </w14:textFill>
        </w:rPr>
        <w:t>▲</w:t>
      </w:r>
      <w:r>
        <w:rPr>
          <w:rFonts w:hint="default" w:ascii="仿宋" w:hAnsi="仿宋" w:eastAsia="仿宋" w:cs="仿宋"/>
          <w:color w:val="000000" w:themeColor="text1"/>
          <w:sz w:val="24"/>
          <w:lang w:val="en-US" w:eastAsia="zh-CN"/>
          <w14:textFill>
            <w14:solidFill>
              <w14:schemeClr w14:val="tx1"/>
            </w14:solidFill>
          </w14:textFill>
        </w:rPr>
        <w:t>成像系统：软件支持拍照录像、几何测量、图像拼接、景深叠加、彩色叠加、颗粒计等功能；软件具备EDF实时动态景深融合扩展功能，可动态的将多个焦平面的显微图像实时地在显微镜下完成景深融合最终形成一张完整清晰的全焦面图像；软件可使用快捷键方式实时动态地拼接显微镜镜下图像，拼接图像平滑无锯齿状，最终可完成整张切片的扫描拼接。</w:t>
      </w:r>
    </w:p>
    <w:p w14:paraId="466733C6">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15074F31">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53B4E2CF">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六</w:t>
      </w:r>
      <w:r>
        <w:rPr>
          <w:rFonts w:hint="eastAsia" w:ascii="仿宋" w:hAnsi="仿宋" w:eastAsia="仿宋" w:cs="仿宋"/>
          <w:color w:val="000000" w:themeColor="text1"/>
          <w:sz w:val="24"/>
          <w14:textFill>
            <w14:solidFill>
              <w14:schemeClr w14:val="tx1"/>
            </w14:solidFill>
          </w14:textFill>
        </w:rPr>
        <w:t>）液氮罐</w:t>
      </w:r>
    </w:p>
    <w:p w14:paraId="30C416BF">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几何容积≥1</w:t>
      </w:r>
      <w:r>
        <w:rPr>
          <w:rFonts w:hint="eastAsia" w:ascii="仿宋" w:hAnsi="仿宋" w:eastAsia="仿宋" w:cs="仿宋"/>
          <w:color w:val="000000" w:themeColor="text1"/>
          <w:sz w:val="24"/>
          <w:lang w:val="en-US" w:eastAsia="zh-CN"/>
          <w14:textFill>
            <w14:solidFill>
              <w14:schemeClr w14:val="tx1"/>
            </w14:solidFill>
          </w14:textFill>
        </w:rPr>
        <w:t>20</w:t>
      </w:r>
      <w:r>
        <w:rPr>
          <w:rFonts w:hint="eastAsia" w:ascii="仿宋" w:hAnsi="仿宋" w:eastAsia="仿宋" w:cs="仿宋"/>
          <w:color w:val="000000" w:themeColor="text1"/>
          <w:sz w:val="24"/>
          <w14:textFill>
            <w14:solidFill>
              <w14:schemeClr w14:val="tx1"/>
            </w14:solidFill>
          </w14:textFill>
        </w:rPr>
        <w:t>L，静态液氮保存期≥</w:t>
      </w:r>
      <w:r>
        <w:rPr>
          <w:rFonts w:hint="eastAsia" w:ascii="仿宋" w:hAnsi="仿宋" w:eastAsia="仿宋" w:cs="仿宋"/>
          <w:color w:val="000000" w:themeColor="text1"/>
          <w:sz w:val="24"/>
          <w:lang w:val="en-US" w:eastAsia="zh-CN"/>
          <w14:textFill>
            <w14:solidFill>
              <w14:schemeClr w14:val="tx1"/>
            </w14:solidFill>
          </w14:textFill>
        </w:rPr>
        <w:t>150</w:t>
      </w:r>
      <w:r>
        <w:rPr>
          <w:rFonts w:hint="eastAsia" w:ascii="仿宋" w:hAnsi="仿宋" w:eastAsia="仿宋" w:cs="仿宋"/>
          <w:color w:val="000000" w:themeColor="text1"/>
          <w:sz w:val="24"/>
          <w14:textFill>
            <w14:solidFill>
              <w14:schemeClr w14:val="tx1"/>
            </w14:solidFill>
          </w14:textFill>
        </w:rPr>
        <w:t>天，静态挥发率≤</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L/天本。</w:t>
      </w:r>
    </w:p>
    <w:p w14:paraId="255F172C">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罐口直径≥216mm，</w:t>
      </w:r>
      <w:r>
        <w:rPr>
          <w:rFonts w:hint="eastAsia" w:ascii="仿宋" w:hAnsi="仿宋" w:eastAsia="仿宋" w:cs="仿宋"/>
          <w:color w:val="000000" w:themeColor="text1"/>
          <w:sz w:val="24"/>
          <w:lang w:val="en-US" w:eastAsia="zh-CN"/>
          <w14:textFill>
            <w14:solidFill>
              <w14:schemeClr w14:val="tx1"/>
            </w14:solidFill>
          </w14:textFill>
        </w:rPr>
        <w:t>可</w:t>
      </w:r>
      <w:r>
        <w:rPr>
          <w:rFonts w:hint="eastAsia" w:ascii="仿宋" w:hAnsi="仿宋" w:eastAsia="仿宋" w:cs="仿宋"/>
          <w:color w:val="000000" w:themeColor="text1"/>
          <w:sz w:val="24"/>
          <w14:textFill>
            <w14:solidFill>
              <w14:schemeClr w14:val="tx1"/>
            </w14:solidFill>
          </w14:textFill>
        </w:rPr>
        <w:t>实现大批量样本的快速、便捷存取。</w:t>
      </w:r>
    </w:p>
    <w:p w14:paraId="7308232E">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保障样本处于-196℃超低温环境，维持样本活性。</w:t>
      </w:r>
    </w:p>
    <w:p w14:paraId="3A9795F1">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14:textFill>
            <w14:solidFill>
              <w14:schemeClr w14:val="tx1"/>
            </w14:solidFill>
          </w14:textFill>
        </w:rPr>
        <w:t>可存储不少于</w:t>
      </w:r>
      <w:r>
        <w:rPr>
          <w:rFonts w:hint="eastAsia" w:ascii="仿宋" w:hAnsi="仿宋" w:eastAsia="仿宋" w:cs="仿宋"/>
          <w:color w:val="000000" w:themeColor="text1"/>
          <w:sz w:val="24"/>
          <w:lang w:val="en-US" w:eastAsia="zh-CN"/>
          <w14:textFill>
            <w14:solidFill>
              <w14:schemeClr w14:val="tx1"/>
            </w14:solidFill>
          </w14:textFill>
        </w:rPr>
        <w:t>3000</w:t>
      </w:r>
      <w:r>
        <w:rPr>
          <w:rFonts w:hint="eastAsia" w:ascii="仿宋" w:hAnsi="仿宋" w:eastAsia="仿宋" w:cs="仿宋"/>
          <w:color w:val="000000" w:themeColor="text1"/>
          <w:sz w:val="24"/>
          <w14:textFill>
            <w14:solidFill>
              <w14:schemeClr w14:val="tx1"/>
            </w14:solidFill>
          </w14:textFill>
        </w:rPr>
        <w:t>支冻存管，每个冻存架可存放盒子数不少于</w:t>
      </w: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个，每个盒子可存储不少于</w:t>
      </w:r>
      <w:r>
        <w:rPr>
          <w:rFonts w:hint="eastAsia" w:ascii="仿宋" w:hAnsi="仿宋" w:eastAsia="仿宋" w:cs="仿宋"/>
          <w:color w:val="000000" w:themeColor="text1"/>
          <w:sz w:val="24"/>
          <w:lang w:val="en-US" w:eastAsia="zh-CN"/>
          <w14:textFill>
            <w14:solidFill>
              <w14:schemeClr w14:val="tx1"/>
            </w14:solidFill>
          </w14:textFill>
        </w:rPr>
        <w:t>81</w:t>
      </w:r>
      <w:r>
        <w:rPr>
          <w:rFonts w:hint="eastAsia" w:ascii="仿宋" w:hAnsi="仿宋" w:eastAsia="仿宋" w:cs="仿宋"/>
          <w:color w:val="000000" w:themeColor="text1"/>
          <w:sz w:val="24"/>
          <w14:textFill>
            <w14:solidFill>
              <w14:schemeClr w14:val="tx1"/>
            </w14:solidFill>
          </w14:textFill>
        </w:rPr>
        <w:t>个</w:t>
      </w:r>
      <w:r>
        <w:rPr>
          <w:rFonts w:hint="eastAsia" w:ascii="仿宋" w:hAnsi="仿宋" w:eastAsia="仿宋" w:cs="仿宋"/>
          <w:color w:val="000000" w:themeColor="text1"/>
          <w:sz w:val="24"/>
          <w:lang w:val="en-US" w:eastAsia="zh-CN"/>
          <w14:textFill>
            <w14:solidFill>
              <w14:schemeClr w14:val="tx1"/>
            </w14:solidFill>
          </w14:textFill>
        </w:rPr>
        <w:t>2ml</w:t>
      </w:r>
      <w:r>
        <w:rPr>
          <w:rFonts w:hint="eastAsia" w:ascii="仿宋" w:hAnsi="仿宋" w:eastAsia="仿宋" w:cs="仿宋"/>
          <w:color w:val="000000" w:themeColor="text1"/>
          <w:sz w:val="24"/>
          <w14:textFill>
            <w14:solidFill>
              <w14:schemeClr w14:val="tx1"/>
            </w14:solidFill>
          </w14:textFill>
        </w:rPr>
        <w:t>冻存管。</w:t>
      </w:r>
    </w:p>
    <w:p w14:paraId="33A715EE">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外壳为高强度铝合金，内胆为304不锈钢，具备良好的耐低温与抗腐蚀性能；配备带安全锁搭扣的锁盖，防止液氮意外泄漏与外界污染。</w:t>
      </w:r>
    </w:p>
    <w:p w14:paraId="5666E9CC">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仿宋" w:hAnsi="仿宋" w:eastAsia="仿宋" w:cs="仿宋"/>
          <w:color w:val="000000" w:themeColor="text1"/>
          <w:sz w:val="24"/>
          <w14:textFill>
            <w14:solidFill>
              <w14:schemeClr w14:val="tx1"/>
            </w14:solidFill>
          </w14:textFill>
        </w:rPr>
        <w:t>设置安全阀，超压时自动泄压；配液位报警器，自动显示容器内温度，当超过温度控制范围时，进行声音报警，确保贮存样品的安全。</w:t>
      </w:r>
    </w:p>
    <w:p w14:paraId="56B62EA6">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r>
        <w:rPr>
          <w:rFonts w:hint="eastAsia" w:ascii="仿宋" w:hAnsi="仿宋" w:eastAsia="仿宋" w:cs="仿宋"/>
          <w:color w:val="000000" w:themeColor="text1"/>
          <w:sz w:val="24"/>
          <w14:textFill>
            <w14:solidFill>
              <w14:schemeClr w14:val="tx1"/>
            </w14:solidFill>
          </w14:textFill>
        </w:rPr>
        <w:t>配专用运输车，方便室内移动。</w:t>
      </w:r>
    </w:p>
    <w:p w14:paraId="2D9C1BC3">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723A5306">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七</w:t>
      </w:r>
      <w:r>
        <w:rPr>
          <w:rFonts w:hint="eastAsia" w:ascii="仿宋" w:hAnsi="仿宋" w:eastAsia="仿宋" w:cs="仿宋"/>
          <w:color w:val="000000" w:themeColor="text1"/>
          <w:sz w:val="24"/>
          <w14:textFill>
            <w14:solidFill>
              <w14:schemeClr w14:val="tx1"/>
            </w14:solidFill>
          </w14:textFill>
        </w:rPr>
        <w:t>）温控空气摇床</w:t>
      </w:r>
    </w:p>
    <w:p w14:paraId="019A9A8B">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摇床性能：振荡方式为回旋振荡，转速范围30 - 300rpm，精度±1rpm；摇瓶</w:t>
      </w:r>
      <w:r>
        <w:rPr>
          <w:rFonts w:hint="eastAsia" w:ascii="仿宋" w:hAnsi="仿宋" w:eastAsia="仿宋" w:cs="仿宋"/>
          <w:color w:val="000000" w:themeColor="text1"/>
          <w:sz w:val="24"/>
          <w:lang w:val="en-US" w:eastAsia="zh-CN"/>
          <w14:textFill>
            <w14:solidFill>
              <w14:schemeClr w14:val="tx1"/>
            </w14:solidFill>
          </w14:textFill>
        </w:rPr>
        <w:t>可满足不同容器包括：250ml、</w:t>
      </w:r>
      <w:r>
        <w:rPr>
          <w:rFonts w:hint="eastAsia" w:ascii="仿宋" w:hAnsi="仿宋" w:eastAsia="仿宋" w:cs="仿宋"/>
          <w:color w:val="000000" w:themeColor="text1"/>
          <w:sz w:val="24"/>
          <w14:textFill>
            <w14:solidFill>
              <w14:schemeClr w14:val="tx1"/>
            </w14:solidFill>
          </w14:textFill>
        </w:rPr>
        <w:t>500ml</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1L、2L、3L，最大单台可同时摇≥15L</w:t>
      </w:r>
      <w:r>
        <w:rPr>
          <w:rFonts w:hint="eastAsia" w:ascii="仿宋" w:hAnsi="仿宋" w:eastAsia="仿宋" w:cs="仿宋"/>
          <w:color w:val="000000" w:themeColor="text1"/>
          <w:sz w:val="24"/>
          <w14:textFill>
            <w14:solidFill>
              <w14:schemeClr w14:val="tx1"/>
            </w14:solidFill>
          </w14:textFill>
        </w:rPr>
        <w:t>，满足大规模悬浮培养需求</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可多台叠加</w:t>
      </w:r>
      <w:r>
        <w:rPr>
          <w:rFonts w:hint="eastAsia" w:ascii="仿宋" w:hAnsi="仿宋" w:eastAsia="仿宋" w:cs="仿宋"/>
          <w:color w:val="000000" w:themeColor="text1"/>
          <w:sz w:val="24"/>
          <w14:textFill>
            <w14:solidFill>
              <w14:schemeClr w14:val="tx1"/>
            </w14:solidFill>
          </w14:textFill>
        </w:rPr>
        <w:t>。</w:t>
      </w:r>
    </w:p>
    <w:p w14:paraId="4024408F">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温控系统：温控范围室温5℃ - 60℃，精度±0.1℃；具备加热与制冷双模式，制冷最低温度可至4℃，适配不同温度需求的实验。</w:t>
      </w:r>
    </w:p>
    <w:p w14:paraId="584D0E02">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LCD显示屏实时显示转速、温度、时间；</w:t>
      </w:r>
    </w:p>
    <w:p w14:paraId="63ECA3BD">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具备定时功能，定时范围0 - 99小时59分钟；配备过载保护、超温报警功能，保障设备与样本安全。</w:t>
      </w:r>
    </w:p>
    <w:p w14:paraId="3B9E656C">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仿宋" w:hAnsi="仿宋" w:eastAsia="仿宋" w:cs="仿宋"/>
          <w:color w:val="000000" w:themeColor="text1"/>
          <w:sz w:val="24"/>
          <w14:textFill>
            <w14:solidFill>
              <w14:schemeClr w14:val="tx1"/>
            </w14:solidFill>
          </w14:textFill>
        </w:rPr>
        <w:t>结构设计：腔体采用不锈钢材质，耐腐蚀易清洁；摇床托盘配备防滑垫，防止容器滑动；具备静音设计。</w:t>
      </w:r>
    </w:p>
    <w:p w14:paraId="3FC9E017">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5EAC9FFD">
      <w:pPr>
        <w:numPr>
          <w:ilvl w:val="0"/>
          <w:numId w:val="0"/>
        </w:numPr>
        <w:spacing w:line="440" w:lineRule="exact"/>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八</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高速冷冻离心机</w:t>
      </w:r>
    </w:p>
    <w:p w14:paraId="7481B543">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最高转速≥15000rpm，最大离心力≥2</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000×g，温控范围-10℃~+37℃，适配低温需求；设备满载运行控温范围 4°C-37°C，可满足不同样品离心时对温度环境的需求。</w:t>
      </w:r>
    </w:p>
    <w:p w14:paraId="2D968982">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加减速控制：≥9档独立加速+≥9档独立减速模式，支持自定义升降速梯度；</w:t>
      </w:r>
      <w:r>
        <w:rPr>
          <w:rFonts w:hint="eastAsia" w:ascii="仿宋" w:hAnsi="仿宋" w:eastAsia="仿宋" w:cs="仿宋"/>
          <w:color w:val="000000" w:themeColor="text1"/>
          <w:sz w:val="24"/>
          <w:lang w:val="en-US" w:eastAsia="zh-CN"/>
          <w14:textFill>
            <w14:solidFill>
              <w14:schemeClr w14:val="tx1"/>
            </w14:solidFill>
          </w14:textFill>
        </w:rPr>
        <w:t>3.</w:t>
      </w:r>
      <w:r>
        <w:rPr>
          <w:rFonts w:hint="eastAsia" w:ascii="仿宋" w:hAnsi="仿宋" w:eastAsia="仿宋" w:cs="仿宋"/>
          <w:color w:val="000000" w:themeColor="text1"/>
          <w:sz w:val="24"/>
          <w:lang w:eastAsia="zh-CN"/>
          <w14:textFill>
            <w14:solidFill>
              <w14:schemeClr w14:val="tx1"/>
            </w14:solidFill>
          </w14:textFill>
        </w:rPr>
        <w:t>具有定速计时、启动计时二种功能，瞬时离心功能。</w:t>
      </w:r>
    </w:p>
    <w:p w14:paraId="56B8C560">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r>
        <w:rPr>
          <w:rFonts w:hint="eastAsia" w:ascii="仿宋" w:hAnsi="仿宋" w:eastAsia="仿宋" w:cs="仿宋"/>
          <w:color w:val="000000" w:themeColor="text1"/>
          <w:sz w:val="24"/>
          <w:lang w:eastAsia="zh-CN"/>
          <w14:textFill>
            <w14:solidFill>
              <w14:schemeClr w14:val="tx1"/>
            </w14:solidFill>
          </w14:textFill>
        </w:rPr>
        <w:t>整机可整体酒精擦拭消毒，所有转子、吊桶、转子盖均可121℃高温高压灭菌。</w:t>
      </w:r>
    </w:p>
    <w:p w14:paraId="4EEE0C52">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5.可更换不用转头或者满足离心1.5mlEP管，2mlEP管，</w:t>
      </w:r>
      <w:r>
        <w:rPr>
          <w:rFonts w:hint="eastAsia" w:ascii="仿宋" w:hAnsi="仿宋" w:eastAsia="仿宋" w:cs="仿宋"/>
          <w:color w:val="000000" w:themeColor="text1"/>
          <w:sz w:val="24"/>
          <w:lang w:eastAsia="zh-CN"/>
          <w14:textFill>
            <w14:solidFill>
              <w14:schemeClr w14:val="tx1"/>
            </w14:solidFill>
          </w14:textFill>
        </w:rPr>
        <w:t>15ml</w:t>
      </w:r>
      <w:r>
        <w:rPr>
          <w:rFonts w:hint="eastAsia" w:ascii="仿宋" w:hAnsi="仿宋" w:eastAsia="仿宋" w:cs="仿宋"/>
          <w:color w:val="000000" w:themeColor="text1"/>
          <w:sz w:val="24"/>
          <w:lang w:val="en-US" w:eastAsia="zh-CN"/>
          <w14:textFill>
            <w14:solidFill>
              <w14:schemeClr w14:val="tx1"/>
            </w14:solidFill>
          </w14:textFill>
        </w:rPr>
        <w:t>管</w:t>
      </w:r>
      <w:r>
        <w:rPr>
          <w:rFonts w:hint="eastAsia" w:ascii="仿宋" w:hAnsi="仿宋" w:eastAsia="仿宋" w:cs="仿宋"/>
          <w:color w:val="000000" w:themeColor="text1"/>
          <w:sz w:val="24"/>
          <w:lang w:eastAsia="zh-CN"/>
          <w14:textFill>
            <w14:solidFill>
              <w14:schemeClr w14:val="tx1"/>
            </w14:solidFill>
          </w14:textFill>
        </w:rPr>
        <w:t>、50mL角的转子，满足</w:t>
      </w:r>
      <w:r>
        <w:rPr>
          <w:rFonts w:hint="eastAsia" w:ascii="仿宋" w:hAnsi="仿宋" w:eastAsia="仿宋" w:cs="仿宋"/>
          <w:color w:val="000000" w:themeColor="text1"/>
          <w:sz w:val="24"/>
          <w:lang w:val="en-US" w:eastAsia="zh-CN"/>
          <w14:textFill>
            <w14:solidFill>
              <w14:schemeClr w14:val="tx1"/>
            </w14:solidFill>
          </w14:textFill>
        </w:rPr>
        <w:t>细胞离心</w:t>
      </w:r>
      <w:r>
        <w:rPr>
          <w:rFonts w:hint="eastAsia" w:ascii="仿宋" w:hAnsi="仿宋" w:eastAsia="仿宋" w:cs="仿宋"/>
          <w:color w:val="000000" w:themeColor="text1"/>
          <w:sz w:val="24"/>
          <w:lang w:eastAsia="zh-CN"/>
          <w14:textFill>
            <w14:solidFill>
              <w14:schemeClr w14:val="tx1"/>
            </w14:solidFill>
          </w14:textFill>
        </w:rPr>
        <w:t>、试剂澄清离心需求。</w:t>
      </w:r>
    </w:p>
    <w:p w14:paraId="23D69BF5">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配置需求</w:t>
      </w:r>
    </w:p>
    <w:p w14:paraId="6AEA5A86">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主机1台，含</w:t>
      </w:r>
      <w:r>
        <w:rPr>
          <w:rFonts w:hint="eastAsia" w:ascii="仿宋" w:hAnsi="仿宋" w:eastAsia="仿宋" w:cs="仿宋"/>
          <w:color w:val="000000" w:themeColor="text1"/>
          <w:sz w:val="24"/>
          <w:lang w:val="en-US" w:eastAsia="zh-CN"/>
          <w14:textFill>
            <w14:solidFill>
              <w14:schemeClr w14:val="tx1"/>
            </w14:solidFill>
          </w14:textFill>
        </w:rPr>
        <w:t>满足</w:t>
      </w:r>
      <w:r>
        <w:rPr>
          <w:rFonts w:hint="eastAsia" w:ascii="仿宋" w:hAnsi="仿宋" w:eastAsia="仿宋" w:cs="仿宋"/>
          <w:color w:val="000000" w:themeColor="text1"/>
          <w:sz w:val="24"/>
          <w:lang w:eastAsia="zh-CN"/>
          <w14:textFill>
            <w14:solidFill>
              <w14:schemeClr w14:val="tx1"/>
            </w14:solidFill>
          </w14:textFill>
        </w:rPr>
        <w:t>上述的转子、细胞离心预设程序包，配套操作维护工具包。</w:t>
      </w:r>
    </w:p>
    <w:p w14:paraId="6E0ED131">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36C47368">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九</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细胞计数仪</w:t>
      </w:r>
    </w:p>
    <w:p w14:paraId="155B9FB2">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1.非染色活率计数、台盼蓝染色活率计数、人工比对活率计数模式；</w:t>
      </w:r>
    </w:p>
    <w:p w14:paraId="6A07B691">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测量直径范围：1-200 μm；计数浓度范围：0.25×10</w:t>
      </w:r>
      <w:r>
        <w:rPr>
          <w:rFonts w:hint="eastAsia" w:ascii="仿宋" w:hAnsi="仿宋" w:eastAsia="仿宋" w:cs="仿宋"/>
          <w:color w:val="000000" w:themeColor="text1"/>
          <w:sz w:val="24"/>
          <w:vertAlign w:val="superscript"/>
          <w:lang w:val="en-US" w:eastAsia="zh-CN"/>
          <w14:textFill>
            <w14:solidFill>
              <w14:schemeClr w14:val="tx1"/>
            </w14:solidFill>
          </w14:textFill>
        </w:rPr>
        <w:t>4</w:t>
      </w:r>
      <w:r>
        <w:rPr>
          <w:rFonts w:hint="eastAsia" w:ascii="仿宋" w:hAnsi="仿宋" w:eastAsia="仿宋" w:cs="仿宋"/>
          <w:color w:val="000000" w:themeColor="text1"/>
          <w:sz w:val="24"/>
          <w:lang w:val="en-US" w:eastAsia="zh-CN"/>
          <w14:textFill>
            <w14:solidFill>
              <w14:schemeClr w14:val="tx1"/>
            </w14:solidFill>
          </w14:textFill>
        </w:rPr>
        <w:t xml:space="preserve"> - 3×10</w:t>
      </w:r>
      <w:r>
        <w:rPr>
          <w:rFonts w:hint="eastAsia" w:ascii="仿宋" w:hAnsi="仿宋" w:eastAsia="仿宋" w:cs="仿宋"/>
          <w:color w:val="000000" w:themeColor="text1"/>
          <w:sz w:val="24"/>
          <w:vertAlign w:val="superscript"/>
          <w:lang w:val="en-US" w:eastAsia="zh-CN"/>
          <w14:textFill>
            <w14:solidFill>
              <w14:schemeClr w14:val="tx1"/>
            </w14:solidFill>
          </w14:textFill>
        </w:rPr>
        <w:t>7</w:t>
      </w:r>
      <w:r>
        <w:rPr>
          <w:rFonts w:hint="eastAsia" w:ascii="仿宋" w:hAnsi="仿宋" w:eastAsia="仿宋" w:cs="仿宋"/>
          <w:color w:val="000000" w:themeColor="text1"/>
          <w:sz w:val="24"/>
          <w:lang w:val="en-US" w:eastAsia="zh-CN"/>
          <w14:textFill>
            <w14:solidFill>
              <w14:schemeClr w14:val="tx1"/>
            </w14:solidFill>
          </w14:textFill>
        </w:rPr>
        <w:t xml:space="preserve"> 个细胞/mL； </w:t>
      </w:r>
    </w:p>
    <w:p w14:paraId="488D07DD">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加样量：10 μL； </w:t>
      </w:r>
    </w:p>
    <w:p w14:paraId="719D4A8A">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3.兼容多种细胞计数板型； </w:t>
      </w:r>
    </w:p>
    <w:p w14:paraId="651324B7">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4.可使用仿细胞校准计数板对仪器进行标定（提供证明材料）； </w:t>
      </w:r>
    </w:p>
    <w:p w14:paraId="0209A4C5">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配多种计数分析功能，包括：细胞总数、浓度、活率分析，聚团拆分计数、不规则细胞计数；提供的数据分析图表包括但不限于：细胞直径</w:t>
      </w:r>
      <w:r>
        <w:rPr>
          <w:rFonts w:hint="default" w:ascii="仿宋" w:hAnsi="仿宋" w:eastAsia="仿宋" w:cs="仿宋"/>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 xml:space="preserve">亮度等高线图、散点图及统计表，生长曲线图，聚团分布图，区域细胞原始图，区域细胞死活识别标识图，区域拼接图；提供拼图看图工具，所有计数历史数据均可随时调出查看及追溯； </w:t>
      </w:r>
    </w:p>
    <w:p w14:paraId="71B90268">
      <w:pPr>
        <w:numPr>
          <w:ilvl w:val="0"/>
          <w:numId w:val="0"/>
        </w:numPr>
        <w:spacing w:line="440" w:lineRule="exact"/>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数据导出：</w:t>
      </w:r>
      <w:r>
        <w:rPr>
          <w:rFonts w:hint="default" w:ascii="仿宋" w:hAnsi="仿宋" w:eastAsia="仿宋" w:cs="仿宋"/>
          <w:color w:val="000000" w:themeColor="text1"/>
          <w:sz w:val="24"/>
          <w:lang w:val="en-US" w:eastAsia="zh-CN"/>
          <w14:textFill>
            <w14:solidFill>
              <w14:schemeClr w14:val="tx1"/>
            </w14:solidFill>
          </w14:textFill>
        </w:rPr>
        <w:t xml:space="preserve">U </w:t>
      </w:r>
      <w:r>
        <w:rPr>
          <w:rFonts w:hint="eastAsia" w:ascii="仿宋" w:hAnsi="仿宋" w:eastAsia="仿宋" w:cs="仿宋"/>
          <w:color w:val="000000" w:themeColor="text1"/>
          <w:sz w:val="24"/>
          <w:lang w:val="en-US" w:eastAsia="zh-CN"/>
          <w14:textFill>
            <w14:solidFill>
              <w14:schemeClr w14:val="tx1"/>
            </w14:solidFill>
          </w14:textFill>
        </w:rPr>
        <w:t xml:space="preserve">盘导出，实验数据以 </w:t>
      </w:r>
      <w:r>
        <w:rPr>
          <w:rFonts w:hint="default" w:ascii="仿宋" w:hAnsi="仿宋" w:eastAsia="仿宋" w:cs="仿宋"/>
          <w:color w:val="000000" w:themeColor="text1"/>
          <w:sz w:val="24"/>
          <w:lang w:val="en-US" w:eastAsia="zh-CN"/>
          <w14:textFill>
            <w14:solidFill>
              <w14:schemeClr w14:val="tx1"/>
            </w14:solidFill>
          </w14:textFill>
        </w:rPr>
        <w:t>PDF</w:t>
      </w:r>
      <w:r>
        <w:rPr>
          <w:rFonts w:hint="eastAsia" w:ascii="仿宋" w:hAnsi="仿宋" w:eastAsia="仿宋" w:cs="仿宋"/>
          <w:color w:val="000000" w:themeColor="text1"/>
          <w:sz w:val="24"/>
          <w:lang w:val="en-US" w:eastAsia="zh-CN"/>
          <w14:textFill>
            <w14:solidFill>
              <w14:schemeClr w14:val="tx1"/>
            </w14:solidFill>
          </w14:textFill>
        </w:rPr>
        <w:t>、</w:t>
      </w:r>
      <w:r>
        <w:rPr>
          <w:rFonts w:hint="default" w:ascii="仿宋" w:hAnsi="仿宋" w:eastAsia="仿宋" w:cs="仿宋"/>
          <w:color w:val="000000" w:themeColor="text1"/>
          <w:sz w:val="24"/>
          <w:lang w:val="en-US" w:eastAsia="zh-CN"/>
          <w14:textFill>
            <w14:solidFill>
              <w14:schemeClr w14:val="tx1"/>
            </w14:solidFill>
          </w14:textFill>
        </w:rPr>
        <w:t>JPEG</w:t>
      </w:r>
      <w:r>
        <w:rPr>
          <w:rFonts w:hint="eastAsia" w:ascii="仿宋" w:hAnsi="仿宋" w:eastAsia="仿宋" w:cs="仿宋"/>
          <w:color w:val="000000" w:themeColor="text1"/>
          <w:sz w:val="24"/>
          <w:lang w:val="en-US" w:eastAsia="zh-CN"/>
          <w14:textFill>
            <w14:solidFill>
              <w14:schemeClr w14:val="tx1"/>
            </w14:solidFill>
          </w14:textFill>
        </w:rPr>
        <w:t>、</w:t>
      </w:r>
      <w:r>
        <w:rPr>
          <w:rFonts w:hint="default" w:ascii="仿宋" w:hAnsi="仿宋" w:eastAsia="仿宋" w:cs="仿宋"/>
          <w:color w:val="000000" w:themeColor="text1"/>
          <w:sz w:val="24"/>
          <w:lang w:val="en-US" w:eastAsia="zh-CN"/>
          <w14:textFill>
            <w14:solidFill>
              <w14:schemeClr w14:val="tx1"/>
            </w14:solidFill>
          </w14:textFill>
        </w:rPr>
        <w:t>EXCEL</w:t>
      </w:r>
      <w:r>
        <w:rPr>
          <w:rFonts w:hint="eastAsia" w:ascii="仿宋" w:hAnsi="仿宋" w:eastAsia="仿宋" w:cs="仿宋"/>
          <w:color w:val="000000" w:themeColor="text1"/>
          <w:sz w:val="24"/>
          <w:lang w:val="en-US" w:eastAsia="zh-CN"/>
          <w14:textFill>
            <w14:solidFill>
              <w14:schemeClr w14:val="tx1"/>
            </w14:solidFill>
          </w14:textFill>
        </w:rPr>
        <w:t>、</w:t>
      </w:r>
      <w:r>
        <w:rPr>
          <w:rFonts w:hint="default" w:ascii="仿宋" w:hAnsi="仿宋" w:eastAsia="仿宋" w:cs="仿宋"/>
          <w:color w:val="000000" w:themeColor="text1"/>
          <w:sz w:val="24"/>
          <w:lang w:val="en-US" w:eastAsia="zh-CN"/>
          <w14:textFill>
            <w14:solidFill>
              <w14:schemeClr w14:val="tx1"/>
            </w14:solidFill>
          </w14:textFill>
        </w:rPr>
        <w:t xml:space="preserve">TIFF </w:t>
      </w:r>
      <w:r>
        <w:rPr>
          <w:rFonts w:hint="eastAsia" w:ascii="仿宋" w:hAnsi="仿宋" w:eastAsia="仿宋" w:cs="仿宋"/>
          <w:color w:val="000000" w:themeColor="text1"/>
          <w:sz w:val="24"/>
          <w:lang w:val="en-US" w:eastAsia="zh-CN"/>
          <w14:textFill>
            <w14:solidFill>
              <w14:schemeClr w14:val="tx1"/>
            </w14:solidFill>
          </w14:textFill>
        </w:rPr>
        <w:t xml:space="preserve">形式保存； </w:t>
      </w:r>
    </w:p>
    <w:p w14:paraId="53CB4226">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3C9358E3">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十</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耗材要求</w:t>
      </w:r>
    </w:p>
    <w:p w14:paraId="7F327159">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_GB2312" w:hAnsi="仿宋_GB2312" w:eastAsia="仿宋_GB2312" w:cs="仿宋_GB2312"/>
          <w:color w:val="000000" w:themeColor="text1"/>
          <w:sz w:val="24"/>
          <w:lang w:val="en-US"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对专机专用的耗材、试剂、易损件进行逐项报价，耗材/试剂报价形式以人份为最小报价单位、易损件以单个价格为最小报价单位</w:t>
      </w:r>
      <w:r>
        <w:rPr>
          <w:rFonts w:hint="eastAsia" w:ascii="仿宋" w:hAnsi="仿宋" w:eastAsia="仿宋" w:cs="仿宋"/>
          <w:color w:val="000000" w:themeColor="text1"/>
          <w:sz w:val="24"/>
          <w14:textFill>
            <w14:solidFill>
              <w14:schemeClr w14:val="tx1"/>
            </w14:solidFill>
          </w14:textFill>
        </w:rPr>
        <w:t>。</w:t>
      </w:r>
    </w:p>
    <w:p w14:paraId="3D8B159C">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7AEA851B">
      <w:pPr>
        <w:numPr>
          <w:ilvl w:val="0"/>
          <w:numId w:val="0"/>
        </w:numPr>
        <w:spacing w:line="440" w:lineRule="exact"/>
        <w:rPr>
          <w:rFonts w:hint="eastAsia" w:ascii="仿宋" w:hAnsi="仿宋" w:eastAsia="仿宋" w:cs="仿宋"/>
          <w:color w:val="000000" w:themeColor="text1"/>
          <w:sz w:val="24"/>
          <w14:textFill>
            <w14:solidFill>
              <w14:schemeClr w14:val="tx1"/>
            </w14:solidFill>
          </w14:textFill>
        </w:rPr>
      </w:pPr>
    </w:p>
    <w:p w14:paraId="5B198E0B">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每套设备配置要求：</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985"/>
        <w:gridCol w:w="3639"/>
        <w:gridCol w:w="969"/>
        <w:gridCol w:w="920"/>
      </w:tblGrid>
      <w:tr w14:paraId="212F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A392757">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序号</w:t>
            </w:r>
          </w:p>
        </w:tc>
        <w:tc>
          <w:tcPr>
            <w:tcW w:w="1985" w:type="dxa"/>
          </w:tcPr>
          <w:p w14:paraId="728B52FA">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名称</w:t>
            </w:r>
          </w:p>
        </w:tc>
        <w:tc>
          <w:tcPr>
            <w:tcW w:w="3639" w:type="dxa"/>
          </w:tcPr>
          <w:p w14:paraId="42C03E36">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要求</w:t>
            </w:r>
          </w:p>
        </w:tc>
        <w:tc>
          <w:tcPr>
            <w:tcW w:w="969" w:type="dxa"/>
          </w:tcPr>
          <w:p w14:paraId="48670CB3">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数量</w:t>
            </w:r>
          </w:p>
        </w:tc>
        <w:tc>
          <w:tcPr>
            <w:tcW w:w="920" w:type="dxa"/>
          </w:tcPr>
          <w:p w14:paraId="0D9EF68E">
            <w:pPr>
              <w:spacing w:line="440" w:lineRule="exact"/>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单位</w:t>
            </w:r>
          </w:p>
        </w:tc>
      </w:tr>
      <w:tr w14:paraId="1AF1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84EF90C">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1</w:t>
            </w:r>
          </w:p>
        </w:tc>
        <w:tc>
          <w:tcPr>
            <w:tcW w:w="1985" w:type="dxa"/>
          </w:tcPr>
          <w:p w14:paraId="682E6BC6">
            <w:pPr>
              <w:spacing w:line="440" w:lineRule="exact"/>
              <w:jc w:val="center"/>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移液器</w:t>
            </w:r>
          </w:p>
        </w:tc>
        <w:tc>
          <w:tcPr>
            <w:tcW w:w="3639" w:type="dxa"/>
          </w:tcPr>
          <w:p w14:paraId="6537715C">
            <w:pPr>
              <w:spacing w:line="440" w:lineRule="exact"/>
              <w:jc w:val="center"/>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1.移液器</w:t>
            </w:r>
            <w:r>
              <w:rPr>
                <w:rFonts w:hint="eastAsia" w:ascii="仿宋" w:hAnsi="仿宋" w:eastAsia="仿宋" w:cs="仿宋"/>
                <w:b w:val="0"/>
                <w:bCs/>
                <w:color w:val="000000" w:themeColor="text1"/>
                <w:sz w:val="24"/>
                <w:lang w:val="en-US" w:eastAsia="zh-CN"/>
                <w14:textFill>
                  <w14:solidFill>
                    <w14:schemeClr w14:val="tx1"/>
                  </w14:solidFill>
                </w14:textFill>
              </w:rPr>
              <w:t>7</w:t>
            </w:r>
            <w:r>
              <w:rPr>
                <w:rFonts w:hint="eastAsia" w:ascii="仿宋" w:hAnsi="仿宋" w:eastAsia="仿宋" w:cs="仿宋"/>
                <w:b w:val="0"/>
                <w:bCs/>
                <w:color w:val="000000" w:themeColor="text1"/>
                <w:sz w:val="24"/>
                <w14:textFill>
                  <w14:solidFill>
                    <w14:schemeClr w14:val="tx1"/>
                  </w14:solidFill>
                </w14:textFill>
              </w:rPr>
              <w:t>支；2.校准工具包一个3.说明书一份4.出厂校准卡一份。</w:t>
            </w:r>
          </w:p>
        </w:tc>
        <w:tc>
          <w:tcPr>
            <w:tcW w:w="969" w:type="dxa"/>
          </w:tcPr>
          <w:p w14:paraId="68F8A98A">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p>
        </w:tc>
        <w:tc>
          <w:tcPr>
            <w:tcW w:w="920" w:type="dxa"/>
          </w:tcPr>
          <w:p w14:paraId="31A8D40D">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27897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26E8E07">
            <w:pPr>
              <w:spacing w:line="440" w:lineRule="exact"/>
              <w:jc w:val="center"/>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p>
        </w:tc>
        <w:tc>
          <w:tcPr>
            <w:tcW w:w="1985" w:type="dxa"/>
          </w:tcPr>
          <w:p w14:paraId="34F0A2C5">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水浴锅</w:t>
            </w:r>
          </w:p>
        </w:tc>
        <w:tc>
          <w:tcPr>
            <w:tcW w:w="3639" w:type="dxa"/>
          </w:tcPr>
          <w:p w14:paraId="27EB60F0">
            <w:pPr>
              <w:spacing w:line="440" w:lineRule="exac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水浴锅主机1台，内置PID数字温控模块、防干烧保护系统，兼容15mL/50mL离心管、细胞培养瓶、冻存管</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透明密封防溅盖1个</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配套水位刻度标识</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专用清洁刷、水垢清除套件1套</w:t>
            </w:r>
            <w:r>
              <w:rPr>
                <w:rFonts w:hint="eastAsia" w:ascii="仿宋" w:hAnsi="仿宋" w:eastAsia="仿宋" w:cs="仿宋"/>
                <w:b w:val="0"/>
                <w:bCs/>
                <w:color w:val="000000" w:themeColor="text1"/>
                <w:sz w:val="24"/>
                <w:lang w:eastAsia="zh-CN"/>
                <w14:textFill>
                  <w14:solidFill>
                    <w14:schemeClr w14:val="tx1"/>
                  </w14:solidFill>
                </w14:textFill>
              </w:rPr>
              <w:t>；</w:t>
            </w:r>
          </w:p>
          <w:p w14:paraId="7602D0AD">
            <w:pPr>
              <w:spacing w:line="440" w:lineRule="exact"/>
              <w:jc w:val="center"/>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操作校准证书、整机保修卡</w:t>
            </w:r>
          </w:p>
        </w:tc>
        <w:tc>
          <w:tcPr>
            <w:tcW w:w="969" w:type="dxa"/>
          </w:tcPr>
          <w:p w14:paraId="57D66634">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p>
        </w:tc>
        <w:tc>
          <w:tcPr>
            <w:tcW w:w="920" w:type="dxa"/>
          </w:tcPr>
          <w:p w14:paraId="54F0D087">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7E45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CBA77B">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w:t>
            </w:r>
          </w:p>
        </w:tc>
        <w:tc>
          <w:tcPr>
            <w:tcW w:w="1985" w:type="dxa"/>
          </w:tcPr>
          <w:p w14:paraId="42ECF333">
            <w:pPr>
              <w:spacing w:line="440" w:lineRule="exac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负压泵</w:t>
            </w:r>
          </w:p>
        </w:tc>
        <w:tc>
          <w:tcPr>
            <w:tcW w:w="3639" w:type="dxa"/>
          </w:tcPr>
          <w:p w14:paraId="2A23A7F8">
            <w:pPr>
              <w:spacing w:line="440" w:lineRule="exac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负压泵主机1台，内置无油真空泵、溢流保护模块</w:t>
            </w:r>
            <w:r>
              <w:rPr>
                <w:rFonts w:hint="eastAsia" w:ascii="仿宋" w:hAnsi="仿宋" w:eastAsia="仿宋" w:cs="仿宋"/>
                <w:b w:val="0"/>
                <w:bCs/>
                <w:color w:val="000000" w:themeColor="text1"/>
                <w:sz w:val="24"/>
                <w:lang w:eastAsia="zh-CN"/>
                <w14:textFill>
                  <w14:solidFill>
                    <w14:schemeClr w14:val="tx1"/>
                  </w14:solidFill>
                </w14:textFill>
              </w:rPr>
              <w:t>；</w:t>
            </w:r>
          </w:p>
          <w:p w14:paraId="54E0F7C1">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4L可高温高压灭菌透明废液瓶2只，手持操作器1套，脚踏控制开关1个</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独立HEPA除菌过滤器2个</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快速插拔连接管路，配套操作手册</w:t>
            </w:r>
            <w:r>
              <w:rPr>
                <w:rFonts w:hint="eastAsia" w:ascii="仿宋" w:hAnsi="仿宋" w:eastAsia="仿宋" w:cs="仿宋"/>
                <w:b/>
                <w:color w:val="000000" w:themeColor="text1"/>
                <w:sz w:val="24"/>
                <w14:textFill>
                  <w14:solidFill>
                    <w14:schemeClr w14:val="tx1"/>
                  </w14:solidFill>
                </w14:textFill>
              </w:rPr>
              <w:t>‌</w:t>
            </w:r>
          </w:p>
        </w:tc>
        <w:tc>
          <w:tcPr>
            <w:tcW w:w="969" w:type="dxa"/>
          </w:tcPr>
          <w:p w14:paraId="73DFF0D8">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p>
        </w:tc>
        <w:tc>
          <w:tcPr>
            <w:tcW w:w="920" w:type="dxa"/>
          </w:tcPr>
          <w:p w14:paraId="76FEFD8C">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5343E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6006D29">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4</w:t>
            </w:r>
          </w:p>
        </w:tc>
        <w:tc>
          <w:tcPr>
            <w:tcW w:w="1985" w:type="dxa"/>
          </w:tcPr>
          <w:p w14:paraId="31B63238">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二氧化碳培养箱</w:t>
            </w:r>
          </w:p>
        </w:tc>
        <w:tc>
          <w:tcPr>
            <w:tcW w:w="3639" w:type="dxa"/>
          </w:tcPr>
          <w:p w14:paraId="4D58FD5C">
            <w:pPr>
              <w:spacing w:line="440" w:lineRule="exact"/>
              <w:jc w:val="center"/>
              <w:rPr>
                <w:rFonts w:hint="eastAsia" w:ascii="仿宋" w:hAnsi="仿宋" w:eastAsia="仿宋" w:cs="仿宋"/>
                <w:b w:val="0"/>
                <w:bCs/>
                <w:color w:val="000000" w:themeColor="text1"/>
                <w:sz w:val="24"/>
                <w:lang w:eastAsia="zh-CN"/>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二氧化碳培养箱主机1台，标配≥</w:t>
            </w:r>
            <w:r>
              <w:rPr>
                <w:rFonts w:hint="eastAsia" w:ascii="仿宋" w:hAnsi="仿宋" w:eastAsia="仿宋" w:cs="仿宋"/>
                <w:b w:val="0"/>
                <w:bCs/>
                <w:color w:val="000000" w:themeColor="text1"/>
                <w:sz w:val="24"/>
                <w:lang w:val="en-US" w:eastAsia="zh-CN"/>
                <w14:textFill>
                  <w14:solidFill>
                    <w14:schemeClr w14:val="tx1"/>
                  </w14:solidFill>
                </w14:textFill>
              </w:rPr>
              <w:t>4</w:t>
            </w:r>
            <w:r>
              <w:rPr>
                <w:rFonts w:hint="eastAsia" w:ascii="仿宋" w:hAnsi="仿宋" w:eastAsia="仿宋" w:cs="仿宋"/>
                <w:b w:val="0"/>
                <w:bCs/>
                <w:color w:val="000000" w:themeColor="text1"/>
                <w:sz w:val="24"/>
                <w14:textFill>
                  <w14:solidFill>
                    <w14:schemeClr w14:val="tx1"/>
                  </w14:solidFill>
                </w14:textFill>
              </w:rPr>
              <w:t>块不锈钢搁板、CO₂钢瓶减压阀1个</w:t>
            </w:r>
            <w:r>
              <w:rPr>
                <w:rFonts w:hint="eastAsia" w:ascii="仿宋" w:hAnsi="仿宋" w:eastAsia="仿宋" w:cs="仿宋"/>
                <w:b w:val="0"/>
                <w:bCs/>
                <w:color w:val="000000" w:themeColor="text1"/>
                <w:sz w:val="24"/>
                <w:lang w:eastAsia="zh-CN"/>
                <w14:textFill>
                  <w14:solidFill>
                    <w14:schemeClr w14:val="tx1"/>
                  </w14:solidFill>
                </w14:textFill>
              </w:rPr>
              <w:t>、</w:t>
            </w:r>
          </w:p>
          <w:p w14:paraId="4B81501E">
            <w:pPr>
              <w:spacing w:line="440" w:lineRule="exact"/>
              <w:jc w:val="center"/>
              <w:rPr>
                <w:rFonts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配套提供操作手册、校准证书、售后保修卡；</w:t>
            </w:r>
          </w:p>
        </w:tc>
        <w:tc>
          <w:tcPr>
            <w:tcW w:w="969" w:type="dxa"/>
            <w:shd w:val="clear" w:color="auto" w:fill="auto"/>
            <w:vAlign w:val="top"/>
          </w:tcPr>
          <w:p w14:paraId="358E2F02">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6F4FDCA0">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121E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6A4A414">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5</w:t>
            </w:r>
          </w:p>
        </w:tc>
        <w:tc>
          <w:tcPr>
            <w:tcW w:w="1985" w:type="dxa"/>
          </w:tcPr>
          <w:p w14:paraId="05C551DB">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倒置显微镜</w:t>
            </w:r>
          </w:p>
        </w:tc>
        <w:tc>
          <w:tcPr>
            <w:tcW w:w="3639" w:type="dxa"/>
          </w:tcPr>
          <w:p w14:paraId="313DC650">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倒置显微镜主机1台，标配4×、10×、20×、40×平场消色差物镜各1个，相差环板组1套，目镜（10×）2个。配套提供物镜防尘罩、仪器清洁套装、操作手册、保修卡。</w:t>
            </w:r>
          </w:p>
        </w:tc>
        <w:tc>
          <w:tcPr>
            <w:tcW w:w="969" w:type="dxa"/>
            <w:shd w:val="clear" w:color="auto" w:fill="auto"/>
            <w:vAlign w:val="top"/>
          </w:tcPr>
          <w:p w14:paraId="7F33DB8D">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76CE4BBF">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138F5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65454ECA">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6</w:t>
            </w:r>
          </w:p>
        </w:tc>
        <w:tc>
          <w:tcPr>
            <w:tcW w:w="1985" w:type="dxa"/>
          </w:tcPr>
          <w:p w14:paraId="48023CE1">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液氮罐</w:t>
            </w:r>
          </w:p>
        </w:tc>
        <w:tc>
          <w:tcPr>
            <w:tcW w:w="3639" w:type="dxa"/>
          </w:tcPr>
          <w:p w14:paraId="6510BE39">
            <w:pPr>
              <w:spacing w:line="440" w:lineRule="exact"/>
              <w:jc w:val="center"/>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液氮罐主机1个，标配多层不锈钢冻存架、提桶、颈塞、液位计、带安全锁搭扣的锁盖</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配套提供冻存管盒、冻存管标记笔、液氮安全操作手套、操作手册、保修卡；可选配液位报警器</w:t>
            </w:r>
          </w:p>
        </w:tc>
        <w:tc>
          <w:tcPr>
            <w:tcW w:w="969" w:type="dxa"/>
            <w:shd w:val="clear" w:color="auto" w:fill="auto"/>
            <w:vAlign w:val="top"/>
          </w:tcPr>
          <w:p w14:paraId="79422489">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69088D6D">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795A4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00B70E97">
            <w:pPr>
              <w:spacing w:line="440" w:lineRule="exact"/>
              <w:jc w:val="center"/>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7</w:t>
            </w:r>
          </w:p>
        </w:tc>
        <w:tc>
          <w:tcPr>
            <w:tcW w:w="1985" w:type="dxa"/>
          </w:tcPr>
          <w:p w14:paraId="76C2CDDC">
            <w:pPr>
              <w:spacing w:line="440" w:lineRule="exact"/>
              <w:jc w:val="center"/>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温控空气摇床</w:t>
            </w:r>
          </w:p>
        </w:tc>
        <w:tc>
          <w:tcPr>
            <w:tcW w:w="3639" w:type="dxa"/>
          </w:tcPr>
          <w:p w14:paraId="408052FD">
            <w:pPr>
              <w:spacing w:line="440" w:lineRule="exact"/>
              <w:jc w:val="center"/>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温控空气摇床主机1台，标配不锈钢托盘1个、防滑垫1套、电源线1根。配套提供不同规格摇瓶夹具、操作手册、保修卡；可选配CO₂进气接口，实现厌氧或微需氧培养</w:t>
            </w:r>
          </w:p>
        </w:tc>
        <w:tc>
          <w:tcPr>
            <w:tcW w:w="969" w:type="dxa"/>
            <w:shd w:val="clear" w:color="auto" w:fill="auto"/>
            <w:vAlign w:val="top"/>
          </w:tcPr>
          <w:p w14:paraId="591A7588">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714CC57A">
            <w:pPr>
              <w:spacing w:line="440" w:lineRule="exact"/>
              <w:jc w:val="center"/>
              <w:rPr>
                <w:rFonts w:hint="eastAsia" w:ascii="仿宋" w:hAnsi="仿宋" w:eastAsia="仿宋" w:cs="仿宋"/>
                <w:b w:val="0"/>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4AE7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80DC6C3">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8</w:t>
            </w:r>
          </w:p>
        </w:tc>
        <w:tc>
          <w:tcPr>
            <w:tcW w:w="1985" w:type="dxa"/>
          </w:tcPr>
          <w:p w14:paraId="2763CC88">
            <w:pPr>
              <w:numPr>
                <w:ilvl w:val="0"/>
                <w:numId w:val="0"/>
              </w:num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高速冷冻离心机</w:t>
            </w:r>
          </w:p>
        </w:tc>
        <w:tc>
          <w:tcPr>
            <w:tcW w:w="3639" w:type="dxa"/>
          </w:tcPr>
          <w:p w14:paraId="610849BC">
            <w:pPr>
              <w:numPr>
                <w:ilvl w:val="0"/>
                <w:numId w:val="0"/>
              </w:numPr>
              <w:spacing w:line="440" w:lineRule="exact"/>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主机1台，含</w:t>
            </w:r>
            <w:r>
              <w:rPr>
                <w:rFonts w:hint="eastAsia" w:ascii="仿宋" w:hAnsi="仿宋" w:eastAsia="仿宋" w:cs="仿宋"/>
                <w:color w:val="000000" w:themeColor="text1"/>
                <w:sz w:val="24"/>
                <w:lang w:val="en-US" w:eastAsia="zh-CN"/>
                <w14:textFill>
                  <w14:solidFill>
                    <w14:schemeClr w14:val="tx1"/>
                  </w14:solidFill>
                </w14:textFill>
              </w:rPr>
              <w:t>满足</w:t>
            </w:r>
            <w:r>
              <w:rPr>
                <w:rFonts w:hint="eastAsia" w:ascii="仿宋" w:hAnsi="仿宋" w:eastAsia="仿宋" w:cs="仿宋"/>
                <w:color w:val="000000" w:themeColor="text1"/>
                <w:sz w:val="24"/>
                <w:lang w:eastAsia="zh-CN"/>
                <w14:textFill>
                  <w14:solidFill>
                    <w14:schemeClr w14:val="tx1"/>
                  </w14:solidFill>
                </w14:textFill>
              </w:rPr>
              <w:t>上述的转子，提供3年整机保修，配套操作维护工具包。</w:t>
            </w:r>
          </w:p>
        </w:tc>
        <w:tc>
          <w:tcPr>
            <w:tcW w:w="969" w:type="dxa"/>
            <w:shd w:val="clear" w:color="auto" w:fill="auto"/>
            <w:vAlign w:val="top"/>
          </w:tcPr>
          <w:p w14:paraId="60B1F85F">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1B3A4FF6">
            <w:pPr>
              <w:spacing w:line="440" w:lineRule="exact"/>
              <w:jc w:val="center"/>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r w14:paraId="797A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7D24D8D5">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9</w:t>
            </w:r>
          </w:p>
        </w:tc>
        <w:tc>
          <w:tcPr>
            <w:tcW w:w="1985" w:type="dxa"/>
          </w:tcPr>
          <w:p w14:paraId="7C9D34C5">
            <w:pPr>
              <w:numPr>
                <w:ilvl w:val="0"/>
                <w:numId w:val="0"/>
              </w:numPr>
              <w:spacing w:line="440" w:lineRule="exact"/>
              <w:jc w:val="both"/>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细胞计数仪</w:t>
            </w:r>
          </w:p>
        </w:tc>
        <w:tc>
          <w:tcPr>
            <w:tcW w:w="3639" w:type="dxa"/>
          </w:tcPr>
          <w:p w14:paraId="2E986301">
            <w:pPr>
              <w:numPr>
                <w:ilvl w:val="0"/>
                <w:numId w:val="0"/>
              </w:num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主机 1 台 ；细胞计数片； 台盼蓝染液（0.2%） 1 管；适配器电源 1 套 ；防尘罩 1 个；掌上离心机1套；涡旋振荡器1套。</w:t>
            </w:r>
          </w:p>
        </w:tc>
        <w:tc>
          <w:tcPr>
            <w:tcW w:w="969" w:type="dxa"/>
            <w:shd w:val="clear" w:color="auto" w:fill="auto"/>
            <w:vAlign w:val="top"/>
          </w:tcPr>
          <w:p w14:paraId="7F4F3A65">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w:t>
            </w:r>
          </w:p>
        </w:tc>
        <w:tc>
          <w:tcPr>
            <w:tcW w:w="920" w:type="dxa"/>
            <w:shd w:val="clear" w:color="auto" w:fill="auto"/>
            <w:vAlign w:val="top"/>
          </w:tcPr>
          <w:p w14:paraId="559199F9">
            <w:pPr>
              <w:spacing w:line="440" w:lineRule="exact"/>
              <w:jc w:val="center"/>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套</w:t>
            </w:r>
          </w:p>
        </w:tc>
      </w:tr>
    </w:tbl>
    <w:p w14:paraId="5EA61F8D">
      <w:pPr>
        <w:spacing w:line="440" w:lineRule="exact"/>
        <w:rPr>
          <w:rFonts w:ascii="仿宋" w:hAnsi="仿宋" w:eastAsia="仿宋" w:cs="仿宋"/>
          <w:b/>
          <w:color w:val="000000" w:themeColor="text1"/>
          <w:sz w:val="24"/>
          <w14:textFill>
            <w14:solidFill>
              <w14:schemeClr w14:val="tx1"/>
            </w14:solidFill>
          </w14:textFill>
        </w:rPr>
      </w:pPr>
    </w:p>
    <w:p w14:paraId="11AD96EA">
      <w:pPr>
        <w:numPr>
          <w:ilvl w:val="0"/>
          <w:numId w:val="1"/>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商务要求：</w:t>
      </w:r>
    </w:p>
    <w:p w14:paraId="751AF881">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1.交货及安装、验收要求</w:t>
      </w:r>
    </w:p>
    <w:p w14:paraId="775C65E0">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1.1交货地点：采购人指定地点。</w:t>
      </w:r>
    </w:p>
    <w:p w14:paraId="1C8A2698">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1.2交货期：中标供应商应当在中标通知书发出之日起30日内按</w:t>
      </w:r>
      <w:r>
        <w:rPr>
          <w:rFonts w:hint="eastAsia" w:ascii="仿宋" w:hAnsi="仿宋" w:eastAsia="仿宋" w:cs="仿宋"/>
          <w:color w:val="000000" w:themeColor="text1"/>
          <w:sz w:val="24"/>
          <w:lang w:eastAsia="zh-CN"/>
          <w14:textFill>
            <w14:solidFill>
              <w14:schemeClr w14:val="tx1"/>
            </w14:solidFill>
          </w14:textFill>
        </w:rPr>
        <w:t>采购需求</w:t>
      </w:r>
      <w:r>
        <w:rPr>
          <w:rFonts w:hint="eastAsia" w:ascii="仿宋" w:hAnsi="仿宋" w:eastAsia="仿宋" w:cs="仿宋"/>
          <w:color w:val="000000" w:themeColor="text1"/>
          <w:sz w:val="24"/>
          <w14:textFill>
            <w14:solidFill>
              <w14:schemeClr w14:val="tx1"/>
            </w14:solidFill>
          </w14:textFill>
        </w:rPr>
        <w:t>及中标人的投标文件确定的事项与采购人签订合同，签订合同后</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30</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日内完成设备的安装调试。</w:t>
      </w:r>
    </w:p>
    <w:p w14:paraId="27D3BB04">
      <w:pPr>
        <w:spacing w:line="440" w:lineRule="exact"/>
        <w:rPr>
          <w:rFonts w:hint="eastAsia" w:ascii="仿宋" w:hAnsi="仿宋" w:eastAsia="仿宋" w:cs="仿宋"/>
          <w:color w:val="000000" w:themeColor="text1"/>
          <w:sz w:val="24"/>
          <w:highlight w:val="yellow"/>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1.3中标供应商须保证中标后所提供的设备为原装</w:t>
      </w:r>
      <w:r>
        <w:rPr>
          <w:rFonts w:hint="eastAsia" w:ascii="仿宋" w:hAnsi="仿宋" w:eastAsia="仿宋" w:cs="仿宋"/>
          <w:color w:val="000000" w:themeColor="text1"/>
          <w:sz w:val="24"/>
          <w:highlight w:val="none"/>
          <w14:textFill>
            <w14:solidFill>
              <w14:schemeClr w14:val="tx1"/>
            </w14:solidFill>
          </w14:textFill>
        </w:rPr>
        <w:t>、全新合格的产品</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且原装进口产品生产日期与交货日期差值≤6个月；国产产品生产日期与交货日期差值≤3个月。（按项目调整，进口最长不超1年，国产半年）</w:t>
      </w:r>
    </w:p>
    <w:p w14:paraId="33B42858">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1EE0A0A4">
      <w:p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1.5验收方式：按《小榄镇</w:t>
      </w:r>
      <w:r>
        <w:rPr>
          <w:rFonts w:hint="eastAsia" w:ascii="仿宋" w:hAnsi="仿宋" w:eastAsia="仿宋" w:cs="仿宋"/>
          <w:color w:val="000000" w:themeColor="text1"/>
          <w:sz w:val="24"/>
          <w:lang w:eastAsia="zh-CN"/>
          <w14:textFill>
            <w14:solidFill>
              <w14:schemeClr w14:val="tx1"/>
            </w14:solidFill>
          </w14:textFill>
        </w:rPr>
        <w:t>公立</w:t>
      </w:r>
      <w:r>
        <w:rPr>
          <w:rFonts w:hint="eastAsia" w:ascii="仿宋" w:hAnsi="仿宋" w:eastAsia="仿宋" w:cs="仿宋"/>
          <w:color w:val="000000" w:themeColor="text1"/>
          <w:sz w:val="24"/>
          <w14:textFill>
            <w14:solidFill>
              <w14:schemeClr w14:val="tx1"/>
            </w14:solidFill>
          </w14:textFill>
        </w:rPr>
        <w:t>医院</w:t>
      </w:r>
      <w:r>
        <w:rPr>
          <w:rFonts w:hint="eastAsia" w:ascii="仿宋" w:hAnsi="仿宋" w:eastAsia="仿宋" w:cs="仿宋"/>
          <w:color w:val="000000" w:themeColor="text1"/>
          <w:sz w:val="24"/>
          <w:lang w:eastAsia="zh-CN"/>
          <w14:textFill>
            <w14:solidFill>
              <w14:schemeClr w14:val="tx1"/>
            </w14:solidFill>
          </w14:textFill>
        </w:rPr>
        <w:t>政府</w:t>
      </w:r>
      <w:r>
        <w:rPr>
          <w:rFonts w:hint="eastAsia" w:ascii="仿宋" w:hAnsi="仿宋" w:eastAsia="仿宋" w:cs="仿宋"/>
          <w:color w:val="000000" w:themeColor="text1"/>
          <w:sz w:val="24"/>
          <w14:textFill>
            <w14:solidFill>
              <w14:schemeClr w14:val="tx1"/>
            </w14:solidFill>
          </w14:textFill>
        </w:rPr>
        <w:t>采购和验收</w:t>
      </w:r>
      <w:r>
        <w:rPr>
          <w:rFonts w:hint="eastAsia" w:ascii="仿宋" w:hAnsi="仿宋" w:eastAsia="仿宋" w:cs="仿宋"/>
          <w:color w:val="000000" w:themeColor="text1"/>
          <w:sz w:val="24"/>
          <w:lang w:eastAsia="zh-CN"/>
          <w14:textFill>
            <w14:solidFill>
              <w14:schemeClr w14:val="tx1"/>
            </w14:solidFill>
          </w14:textFill>
        </w:rPr>
        <w:t>办法</w:t>
      </w:r>
      <w:r>
        <w:rPr>
          <w:rFonts w:hint="eastAsia" w:ascii="仿宋" w:hAnsi="仿宋" w:eastAsia="仿宋" w:cs="仿宋"/>
          <w:color w:val="000000" w:themeColor="text1"/>
          <w:sz w:val="24"/>
          <w14:textFill>
            <w14:solidFill>
              <w14:schemeClr w14:val="tx1"/>
            </w14:solidFill>
          </w14:textFill>
        </w:rPr>
        <w:t>》。</w:t>
      </w:r>
    </w:p>
    <w:p w14:paraId="37607C9E">
      <w:pPr>
        <w:spacing w:line="440" w:lineRule="exact"/>
        <w:rPr>
          <w:rFonts w:hint="default"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p w14:paraId="71BBED5E">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2.售后服务要求</w:t>
      </w:r>
    </w:p>
    <w:p w14:paraId="2B351F45">
      <w:pPr>
        <w:tabs>
          <w:tab w:val="left" w:pos="420"/>
        </w:tabs>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2.1中标供应商必须在中国境内有售后服务机构，并附有售后服务能力说明。</w:t>
      </w:r>
    </w:p>
    <w:p w14:paraId="70FB5255">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auto"/>
          <w:sz w:val="24"/>
          <w:highlight w:val="none"/>
        </w:rPr>
        <w:t>★</w:t>
      </w:r>
      <w:r>
        <w:rPr>
          <w:rFonts w:hint="eastAsia" w:ascii="仿宋" w:hAnsi="仿宋" w:eastAsia="仿宋" w:cs="仿宋"/>
          <w:color w:val="000000" w:themeColor="text1"/>
          <w:sz w:val="24"/>
          <w14:textFill>
            <w14:solidFill>
              <w14:schemeClr w14:val="tx1"/>
            </w14:solidFill>
          </w14:textFill>
        </w:rPr>
        <w:t>2.2中标供应商须提供设备原厂质保（设备原厂质量保修范围和保修期）至少为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u w:val="single"/>
          <w:lang w:val="en-US" w:eastAsia="zh-CN"/>
          <w14:textFill>
            <w14:solidFill>
              <w14:schemeClr w14:val="tx1"/>
            </w14:solidFill>
          </w14:textFill>
        </w:rPr>
        <w:t>3</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年。</w:t>
      </w:r>
    </w:p>
    <w:p w14:paraId="34C701EB">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2.3在售后期内，中标供应商在接到用户的维修通知，响应时间为半小时内，工程师到达现场时间为4小时内，排除故障时限为到达现场后8小时内。</w:t>
      </w:r>
    </w:p>
    <w:p w14:paraId="64958E8F">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2.4如果产品故障在检修12小时后仍无法排除，中标供应商应在24小时内提供不低于故障产品规格型号档次的备用产品供采购人使用，直至故障产品修复。</w:t>
      </w:r>
    </w:p>
    <w:p w14:paraId="5ED331B0">
      <w:pPr>
        <w:spacing w:line="440" w:lineRule="exact"/>
        <w:rPr>
          <w:rFonts w:ascii="仿宋" w:hAnsi="仿宋" w:eastAsia="仿宋" w:cs="仿宋"/>
          <w:b/>
          <w:color w:val="000000" w:themeColor="text1"/>
          <w:sz w:val="24"/>
          <w14:textFill>
            <w14:solidFill>
              <w14:schemeClr w14:val="tx1"/>
            </w14:solidFill>
          </w14:textFill>
        </w:rPr>
      </w:pPr>
    </w:p>
    <w:p w14:paraId="5BC1A48F">
      <w:p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3.付款方式</w:t>
      </w:r>
    </w:p>
    <w:p w14:paraId="2B3E1177">
      <w:pPr>
        <w:spacing w:line="440" w:lineRule="exac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★3.1本合同的每笔款项以人民币转账方式支付，合同设备到采购人指定地点交付并完成安装，验收合格后，中标单位凭：</w:t>
      </w:r>
    </w:p>
    <w:p w14:paraId="4B5ECDF0">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（1）合同；</w:t>
      </w:r>
    </w:p>
    <w:p w14:paraId="0C995C91">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（2）验收调试合格报告（加盖采购人公章）；</w:t>
      </w:r>
    </w:p>
    <w:p w14:paraId="1BE3E546">
      <w:pPr>
        <w:spacing w:line="44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（3）中标供应商开具的正式发票（加盖发票专用章）。</w:t>
      </w:r>
    </w:p>
    <w:p w14:paraId="4C1E8C7A">
      <w:pPr>
        <w:spacing w:line="440" w:lineRule="exac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5%；合同</w:t>
      </w:r>
      <w:r>
        <w:rPr>
          <w:rFonts w:hint="eastAsia" w:ascii="仿宋" w:hAnsi="仿宋" w:eastAsia="仿宋" w:cs="仿宋"/>
          <w:color w:val="000000" w:themeColor="text1"/>
          <w:sz w:val="24"/>
          <w:highlight w:val="none"/>
          <w14:textFill>
            <w14:solidFill>
              <w14:schemeClr w14:val="tx1"/>
            </w14:solidFill>
          </w14:textFill>
        </w:rPr>
        <w:t>总金额的5%</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作为第二期款项，</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质保期满</w:t>
      </w:r>
      <w:r>
        <w:rPr>
          <w:rFonts w:hint="eastAsia" w:ascii="仿宋" w:hAnsi="仿宋" w:eastAsia="仿宋" w:cs="仿宋"/>
          <w:color w:val="000000" w:themeColor="text1"/>
          <w:sz w:val="24"/>
          <w:highlight w:val="none"/>
          <w14:textFill>
            <w14:solidFill>
              <w14:schemeClr w14:val="tx1"/>
            </w14:solidFill>
          </w14:textFill>
        </w:rPr>
        <w:t>后一次性无息</w:t>
      </w:r>
      <w:r>
        <w:rPr>
          <w:rFonts w:hint="eastAsia" w:ascii="仿宋" w:hAnsi="仿宋" w:eastAsia="仿宋" w:cs="仿宋"/>
          <w:color w:val="000000" w:themeColor="text1"/>
          <w:sz w:val="24"/>
          <w:highlight w:val="none"/>
          <w:lang w:val="en-US" w:eastAsia="zh-CN"/>
          <w14:textFill>
            <w14:solidFill>
              <w14:schemeClr w14:val="tx1"/>
            </w14:solidFill>
          </w14:textFill>
        </w:rPr>
        <w:t>支付</w:t>
      </w:r>
      <w:r>
        <w:rPr>
          <w:rFonts w:hint="eastAsia" w:ascii="仿宋" w:hAnsi="仿宋" w:eastAsia="仿宋" w:cs="仿宋"/>
          <w:color w:val="000000" w:themeColor="text1"/>
          <w:sz w:val="24"/>
          <w:highlight w:val="none"/>
          <w14:textFill>
            <w14:solidFill>
              <w14:schemeClr w14:val="tx1"/>
            </w14:solidFill>
          </w14:textFill>
        </w:rPr>
        <w:t>。</w:t>
      </w:r>
    </w:p>
    <w:p w14:paraId="7EDF3ECE">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6D067A65">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0A92B183">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63987177">
      <w:pPr>
        <w:spacing w:line="440" w:lineRule="exact"/>
        <w:ind w:firstLine="480" w:firstLineChars="200"/>
        <w:rPr>
          <w:rFonts w:ascii="仿宋" w:hAnsi="仿宋" w:eastAsia="仿宋" w:cs="仿宋"/>
          <w:color w:val="000000" w:themeColor="text1"/>
          <w:sz w:val="24"/>
          <w14:textFill>
            <w14:solidFill>
              <w14:schemeClr w14:val="tx1"/>
            </w14:solidFill>
          </w14:textFill>
        </w:rPr>
      </w:pPr>
    </w:p>
    <w:p w14:paraId="1A0FC714">
      <w:pPr>
        <w:spacing w:line="440" w:lineRule="exact"/>
        <w:jc w:val="center"/>
        <w:rPr>
          <w:rFonts w:ascii="仿宋" w:hAnsi="仿宋" w:eastAsia="仿宋" w:cs="仿宋"/>
          <w:b/>
          <w:bCs/>
          <w:color w:val="000000" w:themeColor="text1"/>
          <w:sz w:val="24"/>
          <w14:textFill>
            <w14:solidFill>
              <w14:schemeClr w14:val="tx1"/>
            </w14:solidFill>
          </w14:textFill>
        </w:rPr>
      </w:pPr>
    </w:p>
    <w:p w14:paraId="0D6B98E2">
      <w:pPr>
        <w:spacing w:line="440" w:lineRule="exact"/>
        <w:jc w:val="center"/>
        <w:rPr>
          <w:rFonts w:ascii="仿宋" w:hAnsi="仿宋" w:eastAsia="仿宋" w:cs="仿宋"/>
          <w:b/>
          <w:bCs/>
          <w:color w:val="000000" w:themeColor="text1"/>
          <w:sz w:val="24"/>
          <w14:textFill>
            <w14:solidFill>
              <w14:schemeClr w14:val="tx1"/>
            </w14:solidFill>
          </w14:textFill>
        </w:rPr>
      </w:pPr>
    </w:p>
    <w:p w14:paraId="0D31FB7F">
      <w:pPr>
        <w:spacing w:line="440" w:lineRule="exact"/>
        <w:jc w:val="center"/>
        <w:rPr>
          <w:rFonts w:ascii="仿宋" w:hAnsi="仿宋" w:eastAsia="仿宋" w:cs="仿宋"/>
          <w:b/>
          <w:bCs/>
          <w:color w:val="000000" w:themeColor="text1"/>
          <w:sz w:val="24"/>
          <w14:textFill>
            <w14:solidFill>
              <w14:schemeClr w14:val="tx1"/>
            </w14:solidFill>
          </w14:textFill>
        </w:rPr>
      </w:pPr>
    </w:p>
    <w:p w14:paraId="6729E627">
      <w:pPr>
        <w:spacing w:line="440" w:lineRule="exact"/>
        <w:jc w:val="center"/>
        <w:rPr>
          <w:rFonts w:ascii="仿宋" w:hAnsi="仿宋" w:eastAsia="仿宋" w:cs="仿宋"/>
          <w:b/>
          <w:bCs/>
          <w:color w:val="000000" w:themeColor="text1"/>
          <w:sz w:val="24"/>
          <w14:textFill>
            <w14:solidFill>
              <w14:schemeClr w14:val="tx1"/>
            </w14:solidFill>
          </w14:textFill>
        </w:rPr>
      </w:pPr>
    </w:p>
    <w:p w14:paraId="79331301">
      <w:pPr>
        <w:spacing w:line="440" w:lineRule="exact"/>
        <w:jc w:val="center"/>
        <w:rPr>
          <w:rFonts w:hint="eastAsia" w:ascii="仿宋" w:hAnsi="仿宋" w:eastAsia="仿宋" w:cs="仿宋"/>
          <w:b/>
          <w:bCs/>
          <w:color w:val="000000" w:themeColor="text1"/>
          <w:sz w:val="24"/>
          <w14:textFill>
            <w14:solidFill>
              <w14:schemeClr w14:val="tx1"/>
            </w14:solidFill>
          </w14:textFill>
        </w:rPr>
      </w:pPr>
    </w:p>
    <w:p w14:paraId="05C0B4D3">
      <w:pPr>
        <w:spacing w:line="440" w:lineRule="exact"/>
        <w:jc w:val="center"/>
        <w:rPr>
          <w:rFonts w:ascii="仿宋" w:hAnsi="仿宋" w:eastAsia="仿宋" w:cs="仿宋"/>
          <w:b/>
          <w:bCs/>
          <w:color w:val="000000" w:themeColor="text1"/>
          <w:sz w:val="24"/>
          <w14:textFill>
            <w14:solidFill>
              <w14:schemeClr w14:val="tx1"/>
            </w14:solidFill>
          </w14:textFill>
        </w:rPr>
      </w:pPr>
    </w:p>
    <w:p w14:paraId="5C71D3A0">
      <w:pPr>
        <w:spacing w:line="440" w:lineRule="exact"/>
        <w:jc w:val="center"/>
        <w:rPr>
          <w:rFonts w:ascii="仿宋" w:hAnsi="仿宋" w:eastAsia="仿宋" w:cs="仿宋"/>
          <w:b/>
          <w:bCs/>
          <w:color w:val="000000" w:themeColor="text1"/>
          <w:sz w:val="24"/>
          <w14:textFill>
            <w14:solidFill>
              <w14:schemeClr w14:val="tx1"/>
            </w14:solidFill>
          </w14:textFill>
        </w:rPr>
      </w:pPr>
    </w:p>
    <w:p w14:paraId="430CD401">
      <w:pPr>
        <w:spacing w:line="440" w:lineRule="exact"/>
        <w:jc w:val="center"/>
        <w:rPr>
          <w:rFonts w:ascii="仿宋" w:hAnsi="仿宋" w:eastAsia="仿宋" w:cs="仿宋"/>
          <w:b/>
          <w:bCs/>
          <w:color w:val="000000" w:themeColor="text1"/>
          <w:sz w:val="24"/>
          <w14:textFill>
            <w14:solidFill>
              <w14:schemeClr w14:val="tx1"/>
            </w14:solidFill>
          </w14:textFill>
        </w:rPr>
      </w:pPr>
    </w:p>
    <w:p w14:paraId="77E8FF6E">
      <w:pPr>
        <w:rPr>
          <w:rFonts w:ascii="仿宋" w:hAnsi="仿宋" w:eastAsia="仿宋" w:cs="仿宋"/>
          <w:color w:val="000000" w:themeColor="text1"/>
          <w:sz w:val="24"/>
          <w:highlight w:val="cyan"/>
          <w:lang w:val="zh-CN"/>
          <w14:textFill>
            <w14:solidFill>
              <w14:schemeClr w14:val="tx1"/>
            </w14:solidFill>
          </w14:textFill>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5574CA4A">
        <w:pPr>
          <w:pStyle w:val="7"/>
        </w:pPr>
        <w:r>
          <w:rPr>
            <w:rFonts w:hint="eastAsia"/>
            <w:lang w:val="en-US" w:eastAsia="zh-CN"/>
          </w:rPr>
          <w:t>需求科室</w:t>
        </w:r>
        <w:r>
          <w:rPr>
            <w:rFonts w:hint="eastAsia"/>
          </w:rPr>
          <w:t>：                                审核</w:t>
        </w:r>
        <w:r>
          <w:rPr>
            <w:rFonts w:hint="eastAsia"/>
            <w:lang w:val="en-US" w:eastAsia="zh-CN"/>
          </w:rPr>
          <w:t>科室</w:t>
        </w:r>
        <w:r>
          <w:rPr>
            <w:rFonts w:hint="eastAsia"/>
          </w:rPr>
          <w:t>：</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196627F1">
                        <w:pPr>
                          <w:pStyle w:val="7"/>
                          <w:jc w:val="center"/>
                        </w:pPr>
                        <w:r>
                          <w:rPr>
                            <w:lang w:val="zh-CN"/>
                          </w:rPr>
                          <w:t xml:space="preserve"> </w:t>
                        </w:r>
                        <w:r>
                          <w:rPr>
                            <w:b/>
                            <w:sz w:val="24"/>
                          </w:rPr>
                          <w:fldChar w:fldCharType="begin"/>
                        </w:r>
                        <w:r>
                          <w:rPr>
                            <w:b/>
                          </w:rPr>
                          <w:instrText xml:space="preserve">PAGE</w:instrText>
                        </w:r>
                        <w:r>
                          <w:rPr>
                            <w:b/>
                            <w:sz w:val="24"/>
                          </w:rPr>
                          <w:fldChar w:fldCharType="separate"/>
                        </w:r>
                        <w:r>
                          <w:rPr>
                            <w:b/>
                          </w:rPr>
                          <w:t>1</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6</w:t>
                        </w:r>
                        <w:r>
                          <w:rPr>
                            <w:b/>
                            <w:sz w:val="24"/>
                          </w:rPr>
                          <w:fldChar w:fldCharType="end"/>
                        </w:r>
                      </w:p>
                    </w:txbxContent>
                  </v:textbox>
                </v:shape>
              </w:pict>
            </mc:Fallback>
          </mc:AlternateContent>
        </w:r>
      </w:p>
      <w:p w14:paraId="4114F3F0">
        <w:pPr>
          <w:pStyle w:val="7"/>
        </w:pPr>
      </w:p>
    </w:sdtContent>
  </w:sdt>
  <w:p w14:paraId="38E17460"/>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7E8738"/>
    <w:multiLevelType w:val="singleLevel"/>
    <w:tmpl w:val="1E7E873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65257"/>
    <w:rsid w:val="000C5864"/>
    <w:rsid w:val="00136269"/>
    <w:rsid w:val="00152E6E"/>
    <w:rsid w:val="001564F2"/>
    <w:rsid w:val="00164D4A"/>
    <w:rsid w:val="001D1D4A"/>
    <w:rsid w:val="001F6B01"/>
    <w:rsid w:val="00215636"/>
    <w:rsid w:val="0022457A"/>
    <w:rsid w:val="00227ED6"/>
    <w:rsid w:val="00234D13"/>
    <w:rsid w:val="002616DE"/>
    <w:rsid w:val="00293A7C"/>
    <w:rsid w:val="002B5F04"/>
    <w:rsid w:val="002E2203"/>
    <w:rsid w:val="002F4E01"/>
    <w:rsid w:val="00341440"/>
    <w:rsid w:val="00342D38"/>
    <w:rsid w:val="00345474"/>
    <w:rsid w:val="003662C2"/>
    <w:rsid w:val="0037094F"/>
    <w:rsid w:val="003A7C0C"/>
    <w:rsid w:val="003F6DDB"/>
    <w:rsid w:val="00411292"/>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943B1"/>
    <w:rsid w:val="007A320E"/>
    <w:rsid w:val="007A3E4E"/>
    <w:rsid w:val="007B6779"/>
    <w:rsid w:val="007D756B"/>
    <w:rsid w:val="007E3690"/>
    <w:rsid w:val="007E613A"/>
    <w:rsid w:val="007F2B11"/>
    <w:rsid w:val="007F33E6"/>
    <w:rsid w:val="008639CD"/>
    <w:rsid w:val="00876B88"/>
    <w:rsid w:val="008A5819"/>
    <w:rsid w:val="008A6F6D"/>
    <w:rsid w:val="008F4E7C"/>
    <w:rsid w:val="008F6ACD"/>
    <w:rsid w:val="00950093"/>
    <w:rsid w:val="009852DA"/>
    <w:rsid w:val="009B3DE4"/>
    <w:rsid w:val="009B5110"/>
    <w:rsid w:val="009C06B8"/>
    <w:rsid w:val="009C60B9"/>
    <w:rsid w:val="009F5D10"/>
    <w:rsid w:val="00AB5743"/>
    <w:rsid w:val="00AC3F2C"/>
    <w:rsid w:val="00B10D67"/>
    <w:rsid w:val="00B22E91"/>
    <w:rsid w:val="00B72C76"/>
    <w:rsid w:val="00B77F33"/>
    <w:rsid w:val="00BA0DB4"/>
    <w:rsid w:val="00BC3D3B"/>
    <w:rsid w:val="00BC522A"/>
    <w:rsid w:val="00BE1E32"/>
    <w:rsid w:val="00C23FE8"/>
    <w:rsid w:val="00C5781C"/>
    <w:rsid w:val="00C61C7C"/>
    <w:rsid w:val="00C8796A"/>
    <w:rsid w:val="00C97C1D"/>
    <w:rsid w:val="00CD392D"/>
    <w:rsid w:val="00CF6139"/>
    <w:rsid w:val="00D00163"/>
    <w:rsid w:val="00D076B0"/>
    <w:rsid w:val="00D46D87"/>
    <w:rsid w:val="00D47646"/>
    <w:rsid w:val="00D932D0"/>
    <w:rsid w:val="00DC1A43"/>
    <w:rsid w:val="00E35651"/>
    <w:rsid w:val="00E60436"/>
    <w:rsid w:val="00E71C5B"/>
    <w:rsid w:val="00EA68FA"/>
    <w:rsid w:val="00EC3435"/>
    <w:rsid w:val="00F066CA"/>
    <w:rsid w:val="00F42A70"/>
    <w:rsid w:val="00F75603"/>
    <w:rsid w:val="00F801B8"/>
    <w:rsid w:val="00F82B4B"/>
    <w:rsid w:val="00FA3C7F"/>
    <w:rsid w:val="00FF4826"/>
    <w:rsid w:val="01995BAA"/>
    <w:rsid w:val="01DA3DC2"/>
    <w:rsid w:val="01F4007C"/>
    <w:rsid w:val="01FB5C4F"/>
    <w:rsid w:val="027725AF"/>
    <w:rsid w:val="04E1113F"/>
    <w:rsid w:val="05991353"/>
    <w:rsid w:val="089A7FB1"/>
    <w:rsid w:val="099B67B3"/>
    <w:rsid w:val="0A814349"/>
    <w:rsid w:val="0A9340C3"/>
    <w:rsid w:val="10D053A3"/>
    <w:rsid w:val="126775F5"/>
    <w:rsid w:val="132135A6"/>
    <w:rsid w:val="140524A5"/>
    <w:rsid w:val="17A84A31"/>
    <w:rsid w:val="180F2092"/>
    <w:rsid w:val="18AC198D"/>
    <w:rsid w:val="191477B1"/>
    <w:rsid w:val="19DC599D"/>
    <w:rsid w:val="1A362D0A"/>
    <w:rsid w:val="1A9A1AE2"/>
    <w:rsid w:val="1AE77BF5"/>
    <w:rsid w:val="1CCB2BC8"/>
    <w:rsid w:val="1DB403E5"/>
    <w:rsid w:val="1E032872"/>
    <w:rsid w:val="1E8B3C3C"/>
    <w:rsid w:val="1F0C2891"/>
    <w:rsid w:val="1FF004A0"/>
    <w:rsid w:val="206E07DC"/>
    <w:rsid w:val="21601D26"/>
    <w:rsid w:val="21F75571"/>
    <w:rsid w:val="22327245"/>
    <w:rsid w:val="242F51F8"/>
    <w:rsid w:val="24F668C2"/>
    <w:rsid w:val="26AC3567"/>
    <w:rsid w:val="27094723"/>
    <w:rsid w:val="28261D07"/>
    <w:rsid w:val="2A710EAE"/>
    <w:rsid w:val="2B9A59A4"/>
    <w:rsid w:val="2BE77795"/>
    <w:rsid w:val="2CAB1A01"/>
    <w:rsid w:val="2D887C39"/>
    <w:rsid w:val="2D993838"/>
    <w:rsid w:val="2E110DC4"/>
    <w:rsid w:val="2E5E7AC5"/>
    <w:rsid w:val="30D80C1D"/>
    <w:rsid w:val="33712CFE"/>
    <w:rsid w:val="33895773"/>
    <w:rsid w:val="361954A6"/>
    <w:rsid w:val="37A874FC"/>
    <w:rsid w:val="38416703"/>
    <w:rsid w:val="386F1C04"/>
    <w:rsid w:val="3C740147"/>
    <w:rsid w:val="3CAE33EF"/>
    <w:rsid w:val="3E9B4363"/>
    <w:rsid w:val="3EEE625E"/>
    <w:rsid w:val="41CA2B9F"/>
    <w:rsid w:val="443A5766"/>
    <w:rsid w:val="44746547"/>
    <w:rsid w:val="45CB4C8D"/>
    <w:rsid w:val="46980B5E"/>
    <w:rsid w:val="48F70818"/>
    <w:rsid w:val="48FD7CFE"/>
    <w:rsid w:val="49EB34D3"/>
    <w:rsid w:val="4A296BD1"/>
    <w:rsid w:val="4B552AA6"/>
    <w:rsid w:val="4BC3112C"/>
    <w:rsid w:val="4BF76F64"/>
    <w:rsid w:val="4CC55BDD"/>
    <w:rsid w:val="4CEF6032"/>
    <w:rsid w:val="4EBD0A92"/>
    <w:rsid w:val="52BE155F"/>
    <w:rsid w:val="52C02E3D"/>
    <w:rsid w:val="55E92BE2"/>
    <w:rsid w:val="579F1125"/>
    <w:rsid w:val="58B3555A"/>
    <w:rsid w:val="594140F7"/>
    <w:rsid w:val="59DA541F"/>
    <w:rsid w:val="5A3921D0"/>
    <w:rsid w:val="5D2C77EA"/>
    <w:rsid w:val="5DC71851"/>
    <w:rsid w:val="5F804660"/>
    <w:rsid w:val="62403327"/>
    <w:rsid w:val="633D71BB"/>
    <w:rsid w:val="64E709A2"/>
    <w:rsid w:val="656A70AF"/>
    <w:rsid w:val="65D26342"/>
    <w:rsid w:val="66AA15BF"/>
    <w:rsid w:val="677E01D8"/>
    <w:rsid w:val="67846E87"/>
    <w:rsid w:val="67D61EEB"/>
    <w:rsid w:val="67ED42D2"/>
    <w:rsid w:val="68850A18"/>
    <w:rsid w:val="68C030F7"/>
    <w:rsid w:val="69340CF8"/>
    <w:rsid w:val="6BD2675F"/>
    <w:rsid w:val="6C171CF3"/>
    <w:rsid w:val="6DDF526D"/>
    <w:rsid w:val="6E8B036B"/>
    <w:rsid w:val="6F2A17D8"/>
    <w:rsid w:val="744B3E55"/>
    <w:rsid w:val="7583350A"/>
    <w:rsid w:val="771B7375"/>
    <w:rsid w:val="787A1809"/>
    <w:rsid w:val="7B3F62EE"/>
    <w:rsid w:val="7B9D57BC"/>
    <w:rsid w:val="7BDA70B6"/>
    <w:rsid w:val="7C115C9E"/>
    <w:rsid w:val="7E2C2E60"/>
    <w:rsid w:val="7EA220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qFormat/>
    <w:uiPriority w:val="0"/>
    <w:pPr>
      <w:widowControl/>
      <w:jc w:val="left"/>
    </w:pPr>
    <w:rPr>
      <w:kern w:val="0"/>
      <w:szCs w:val="20"/>
    </w:rPr>
  </w:style>
  <w:style w:type="paragraph" w:styleId="4">
    <w:name w:val="Body Text"/>
    <w:basedOn w:val="1"/>
    <w:next w:val="5"/>
    <w:qFormat/>
    <w:uiPriority w:val="0"/>
    <w:pPr>
      <w:spacing w:after="120"/>
    </w:pPr>
  </w:style>
  <w:style w:type="paragraph" w:styleId="5">
    <w:name w:val="toc 5"/>
    <w:basedOn w:val="1"/>
    <w:next w:val="1"/>
    <w:qFormat/>
    <w:uiPriority w:val="0"/>
    <w:pPr>
      <w:ind w:left="1680" w:leftChars="800"/>
    </w:pPr>
  </w:style>
  <w:style w:type="paragraph" w:styleId="6">
    <w:name w:val="Balloon Text"/>
    <w:basedOn w:val="1"/>
    <w:link w:val="20"/>
    <w:qFormat/>
    <w:uiPriority w:val="0"/>
    <w:rPr>
      <w:sz w:val="18"/>
      <w:szCs w:val="18"/>
    </w:rPr>
  </w:style>
  <w:style w:type="paragraph" w:styleId="7">
    <w:name w:val="footer"/>
    <w:basedOn w:val="1"/>
    <w:link w:val="22"/>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annotation subject"/>
    <w:basedOn w:val="3"/>
    <w:next w:val="3"/>
    <w:link w:val="19"/>
    <w:qFormat/>
    <w:uiPriority w:val="0"/>
    <w:pPr>
      <w:widowControl w:val="0"/>
    </w:pPr>
    <w:rPr>
      <w:b/>
      <w:bCs/>
      <w:kern w:val="2"/>
      <w:szCs w:val="24"/>
    </w:rPr>
  </w:style>
  <w:style w:type="paragraph" w:styleId="11">
    <w:name w:val="Body Text First Indent"/>
    <w:basedOn w:val="4"/>
    <w:next w:val="1"/>
    <w:qFormat/>
    <w:uiPriority w:val="0"/>
    <w:pPr>
      <w:spacing w:after="0" w:line="360" w:lineRule="auto"/>
      <w:ind w:firstLine="425"/>
    </w:pPr>
    <w:rPr>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character" w:styleId="16">
    <w:name w:val="annotation reference"/>
    <w:basedOn w:val="14"/>
    <w:qFormat/>
    <w:uiPriority w:val="0"/>
    <w:rPr>
      <w:sz w:val="21"/>
      <w:szCs w:val="21"/>
    </w:rPr>
  </w:style>
  <w:style w:type="paragraph" w:styleId="17">
    <w:name w:val="List Paragraph"/>
    <w:basedOn w:val="1"/>
    <w:unhideWhenUsed/>
    <w:qFormat/>
    <w:uiPriority w:val="99"/>
    <w:pPr>
      <w:ind w:firstLine="420" w:firstLineChars="200"/>
    </w:pPr>
  </w:style>
  <w:style w:type="character" w:customStyle="1" w:styleId="18">
    <w:name w:val="批注文字 Char"/>
    <w:basedOn w:val="14"/>
    <w:link w:val="3"/>
    <w:qFormat/>
    <w:uiPriority w:val="0"/>
    <w:rPr>
      <w:rFonts w:asciiTheme="minorHAnsi" w:hAnsiTheme="minorHAnsi" w:eastAsiaTheme="minorEastAsia" w:cstheme="minorBidi"/>
      <w:sz w:val="21"/>
    </w:rPr>
  </w:style>
  <w:style w:type="character" w:customStyle="1" w:styleId="19">
    <w:name w:val="批注主题 Char"/>
    <w:basedOn w:val="18"/>
    <w:link w:val="10"/>
    <w:qFormat/>
    <w:uiPriority w:val="0"/>
  </w:style>
  <w:style w:type="character" w:customStyle="1" w:styleId="20">
    <w:name w:val="批注框文本 Char"/>
    <w:basedOn w:val="14"/>
    <w:link w:val="6"/>
    <w:qFormat/>
    <w:uiPriority w:val="0"/>
    <w:rPr>
      <w:rFonts w:asciiTheme="minorHAnsi" w:hAnsiTheme="minorHAnsi" w:eastAsiaTheme="minorEastAsia" w:cstheme="minorBidi"/>
      <w:kern w:val="2"/>
      <w:sz w:val="18"/>
      <w:szCs w:val="18"/>
    </w:rPr>
  </w:style>
  <w:style w:type="paragraph" w:customStyle="1" w:styleId="21">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22">
    <w:name w:val="页脚 Char"/>
    <w:basedOn w:val="14"/>
    <w:link w:val="7"/>
    <w:qFormat/>
    <w:uiPriority w:val="99"/>
    <w:rPr>
      <w:rFonts w:asciiTheme="minorHAnsi" w:hAnsiTheme="minorHAnsi" w:eastAsiaTheme="minorEastAsia" w:cstheme="minorBidi"/>
      <w:kern w:val="2"/>
      <w:sz w:val="18"/>
      <w:szCs w:val="24"/>
    </w:rPr>
  </w:style>
  <w:style w:type="character" w:customStyle="1" w:styleId="23">
    <w:name w:val="fontstyle01"/>
    <w:basedOn w:val="14"/>
    <w:qFormat/>
    <w:uiPriority w:val="0"/>
    <w:rPr>
      <w:rFonts w:ascii="宋体" w:hAnsi="宋体" w:eastAsia="宋体" w:cs="宋体"/>
      <w:color w:val="000000"/>
      <w:sz w:val="18"/>
      <w:szCs w:val="18"/>
    </w:rPr>
  </w:style>
  <w:style w:type="character" w:customStyle="1" w:styleId="24">
    <w:name w:val="font31"/>
    <w:basedOn w:val="14"/>
    <w:qFormat/>
    <w:uiPriority w:val="0"/>
    <w:rPr>
      <w:rFonts w:hint="default" w:ascii="Times New Roman" w:hAnsi="Times New Roman" w:cs="Times New Roman"/>
      <w:color w:val="000000"/>
      <w:sz w:val="28"/>
      <w:szCs w:val="28"/>
      <w:u w:val="none"/>
    </w:rPr>
  </w:style>
  <w:style w:type="character" w:customStyle="1" w:styleId="25">
    <w:name w:val="font11"/>
    <w:basedOn w:val="14"/>
    <w:qFormat/>
    <w:uiPriority w:val="0"/>
    <w:rPr>
      <w:rFonts w:hint="eastAsia" w:ascii="仿宋_GB2312" w:eastAsia="仿宋_GB2312" w:cs="仿宋_GB2312"/>
      <w:color w:val="000000"/>
      <w:sz w:val="28"/>
      <w:szCs w:val="28"/>
      <w:u w:val="none"/>
    </w:rPr>
  </w:style>
  <w:style w:type="character" w:customStyle="1" w:styleId="26">
    <w:name w:val="font21"/>
    <w:basedOn w:val="14"/>
    <w:qFormat/>
    <w:uiPriority w:val="0"/>
    <w:rPr>
      <w:rFonts w:hint="default" w:ascii="Times New Roman" w:hAnsi="Times New Roman" w:cs="Times New Roman"/>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8</Pages>
  <Words>2906</Words>
  <Characters>3253</Characters>
  <Lines>2</Lines>
  <Paragraphs>6</Paragraphs>
  <TotalTime>103</TotalTime>
  <ScaleCrop>false</ScaleCrop>
  <LinksUpToDate>false</LinksUpToDate>
  <CharactersWithSpaces>3299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2020-11-05T08:46:00Z</dcterms:created>
  <dc:creator>ye</dc:creator>
  <cp:lastModifiedBy>维</cp:lastModifiedBy>
  <cp:lastPrinted>2021-08-11T08:36:00Z</cp:lastPrinted>
  <dcterms:modified xsi:type="dcterms:W3CDTF">2026-09-09T03:29:37Z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3D2D6D50BCFD4248A5D820E2DFCFDBD7_13</vt:lpwstr>
  </property>
  <property fmtid="{D5CDD505-2E9C-101B-9397-08002B2CF9AE}" pid="4" name="KSOTemplateDocerSaveRecord">
    <vt:lpwstr>eyJoZGlkIjoiZTIwMTMwYTA2NTI3OTgwOGYwYzA4NmFiZDYzYTU5NzEiLCJ1c2VySWQiOiI2NzkzNTU2NjEifQ==</vt:lpwstr>
  </property>
</Properties>
</file>