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8"/>
          <w:rFonts w:hint="eastAsia" w:ascii="宋体" w:hAnsi="宋体" w:eastAsia="宋体" w:cs="宋体"/>
          <w:b/>
          <w:bCs/>
          <w:sz w:val="32"/>
          <w:szCs w:val="28"/>
        </w:rPr>
      </w:pPr>
    </w:p>
    <w:p w14:paraId="0C8D5C73">
      <w:pPr>
        <w:spacing w:line="360" w:lineRule="auto"/>
        <w:jc w:val="center"/>
        <w:outlineLvl w:val="1"/>
        <w:rPr>
          <w:rStyle w:val="18"/>
          <w:rFonts w:hint="eastAsia" w:ascii="宋体" w:hAnsi="宋体" w:eastAsia="宋体" w:cs="宋体"/>
          <w:b/>
          <w:bCs/>
          <w:sz w:val="32"/>
          <w:szCs w:val="28"/>
          <w:lang w:val="en-US" w:eastAsia="zh-CN"/>
        </w:rPr>
      </w:pPr>
    </w:p>
    <w:p w14:paraId="268FE1B6">
      <w:pPr>
        <w:spacing w:line="360" w:lineRule="auto"/>
        <w:jc w:val="center"/>
        <w:outlineLvl w:val="1"/>
        <w:rPr>
          <w:rStyle w:val="18"/>
          <w:rFonts w:hint="eastAsia" w:ascii="宋体" w:hAnsi="宋体" w:eastAsia="宋体" w:cs="宋体"/>
          <w:b/>
          <w:bCs/>
          <w:sz w:val="32"/>
          <w:szCs w:val="28"/>
          <w:lang w:val="en-US" w:eastAsia="zh-CN"/>
        </w:rPr>
      </w:pPr>
    </w:p>
    <w:p w14:paraId="2F3D57A4">
      <w:pPr>
        <w:spacing w:line="360" w:lineRule="auto"/>
        <w:jc w:val="center"/>
        <w:outlineLvl w:val="1"/>
        <w:rPr>
          <w:rStyle w:val="18"/>
          <w:rFonts w:hint="eastAsia" w:ascii="宋体" w:hAnsi="宋体" w:eastAsia="宋体" w:cs="宋体"/>
          <w:b/>
          <w:bCs/>
          <w:sz w:val="32"/>
          <w:szCs w:val="28"/>
          <w:lang w:val="en-US" w:eastAsia="zh-CN"/>
        </w:rPr>
      </w:pPr>
    </w:p>
    <w:p w14:paraId="0D63EF51">
      <w:pPr>
        <w:pStyle w:val="4"/>
        <w:rPr>
          <w:rStyle w:val="18"/>
          <w:rFonts w:hint="eastAsia" w:ascii="宋体" w:hAnsi="宋体" w:eastAsia="宋体" w:cs="宋体"/>
          <w:b/>
          <w:bCs/>
          <w:sz w:val="32"/>
          <w:szCs w:val="28"/>
          <w:lang w:val="en-US" w:eastAsia="zh-CN"/>
        </w:rPr>
      </w:pPr>
    </w:p>
    <w:p w14:paraId="26170796">
      <w:pPr>
        <w:pStyle w:val="11"/>
        <w:rPr>
          <w:rStyle w:val="18"/>
          <w:rFonts w:hint="eastAsia" w:ascii="宋体" w:hAnsi="宋体" w:eastAsia="宋体" w:cs="宋体"/>
          <w:b/>
          <w:bCs/>
          <w:sz w:val="32"/>
          <w:szCs w:val="28"/>
          <w:lang w:val="en-US" w:eastAsia="zh-CN"/>
        </w:rPr>
      </w:pPr>
    </w:p>
    <w:p w14:paraId="5F9B338A">
      <w:pPr>
        <w:pStyle w:val="11"/>
        <w:rPr>
          <w:rStyle w:val="18"/>
          <w:rFonts w:hint="eastAsia" w:ascii="宋体" w:hAnsi="宋体" w:eastAsia="宋体" w:cs="宋体"/>
          <w:b/>
          <w:bCs/>
          <w:sz w:val="32"/>
          <w:szCs w:val="28"/>
          <w:lang w:val="en-US" w:eastAsia="zh-CN"/>
        </w:rPr>
      </w:pPr>
    </w:p>
    <w:p w14:paraId="0B850935">
      <w:pPr>
        <w:pStyle w:val="11"/>
        <w:rPr>
          <w:rStyle w:val="18"/>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8"/>
          <w:rFonts w:hint="eastAsia" w:ascii="宋体" w:hAnsi="宋体" w:eastAsia="宋体" w:cs="宋体"/>
          <w:b/>
          <w:bCs/>
          <w:sz w:val="48"/>
          <w:szCs w:val="48"/>
          <w:lang w:val="en-US" w:eastAsia="zh-CN"/>
        </w:rPr>
        <w:t>中山市东升医院2027-2029年度医疗护理员外包服务项目调研响应文件</w:t>
      </w:r>
    </w:p>
    <w:p w14:paraId="3785F128">
      <w:pPr>
        <w:spacing w:line="360" w:lineRule="auto"/>
        <w:jc w:val="center"/>
        <w:outlineLvl w:val="1"/>
        <w:rPr>
          <w:rStyle w:val="18"/>
          <w:rFonts w:hint="eastAsia" w:ascii="宋体" w:hAnsi="宋体" w:eastAsia="宋体" w:cs="宋体"/>
          <w:b/>
          <w:bCs/>
          <w:sz w:val="32"/>
          <w:szCs w:val="28"/>
        </w:rPr>
      </w:pPr>
    </w:p>
    <w:p w14:paraId="66779CA0">
      <w:pPr>
        <w:spacing w:line="360" w:lineRule="auto"/>
        <w:jc w:val="center"/>
        <w:outlineLvl w:val="1"/>
        <w:rPr>
          <w:rStyle w:val="18"/>
          <w:rFonts w:hint="eastAsia" w:ascii="宋体" w:hAnsi="宋体" w:eastAsia="宋体" w:cs="宋体"/>
          <w:b/>
          <w:bCs/>
          <w:sz w:val="32"/>
          <w:szCs w:val="28"/>
        </w:rPr>
      </w:pPr>
    </w:p>
    <w:p w14:paraId="3ACB86FE">
      <w:pPr>
        <w:spacing w:line="360" w:lineRule="auto"/>
        <w:jc w:val="center"/>
        <w:outlineLvl w:val="1"/>
        <w:rPr>
          <w:rStyle w:val="18"/>
          <w:rFonts w:hint="eastAsia" w:ascii="宋体" w:hAnsi="宋体" w:eastAsia="宋体" w:cs="宋体"/>
          <w:b/>
          <w:bCs/>
          <w:sz w:val="32"/>
          <w:szCs w:val="28"/>
        </w:rPr>
      </w:pPr>
    </w:p>
    <w:p w14:paraId="07D4B0A5">
      <w:pPr>
        <w:spacing w:line="360" w:lineRule="auto"/>
        <w:jc w:val="center"/>
        <w:outlineLvl w:val="1"/>
        <w:rPr>
          <w:rStyle w:val="18"/>
          <w:rFonts w:hint="eastAsia" w:ascii="宋体" w:hAnsi="宋体" w:eastAsia="宋体" w:cs="宋体"/>
          <w:b/>
          <w:bCs/>
          <w:sz w:val="32"/>
          <w:szCs w:val="28"/>
        </w:rPr>
      </w:pPr>
    </w:p>
    <w:p w14:paraId="41060C6E">
      <w:pPr>
        <w:spacing w:line="360" w:lineRule="auto"/>
        <w:jc w:val="center"/>
        <w:outlineLvl w:val="1"/>
        <w:rPr>
          <w:rStyle w:val="18"/>
          <w:rFonts w:hint="eastAsia" w:ascii="宋体" w:hAnsi="宋体" w:eastAsia="宋体" w:cs="宋体"/>
          <w:b/>
          <w:bCs/>
          <w:sz w:val="32"/>
          <w:szCs w:val="28"/>
        </w:rPr>
      </w:pPr>
    </w:p>
    <w:p w14:paraId="43C5CE10">
      <w:pPr>
        <w:pStyle w:val="3"/>
        <w:rPr>
          <w:rStyle w:val="18"/>
          <w:rFonts w:hint="eastAsia" w:ascii="宋体" w:hAnsi="宋体" w:eastAsia="宋体" w:cs="宋体"/>
          <w:b/>
          <w:bCs/>
          <w:sz w:val="32"/>
          <w:szCs w:val="28"/>
        </w:rPr>
      </w:pPr>
    </w:p>
    <w:p w14:paraId="13F4767D">
      <w:pPr>
        <w:spacing w:line="360" w:lineRule="auto"/>
        <w:ind w:firstLine="1680" w:firstLineChars="700"/>
        <w:jc w:val="both"/>
        <w:outlineLvl w:val="1"/>
        <w:rPr>
          <w:rStyle w:val="18"/>
          <w:rFonts w:hint="default" w:ascii="宋体" w:hAnsi="宋体" w:eastAsia="宋体" w:cs="宋体"/>
          <w:b w:val="0"/>
          <w:bCs w:val="0"/>
          <w:sz w:val="24"/>
          <w:szCs w:val="24"/>
          <w:u w:val="single"/>
          <w:lang w:val="en-US" w:eastAsia="zh-CN"/>
        </w:rPr>
      </w:pPr>
      <w:r>
        <w:rPr>
          <w:rStyle w:val="18"/>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8"/>
          <w:rFonts w:hint="default"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邮箱：</w:t>
      </w:r>
    </w:p>
    <w:p w14:paraId="319592BB">
      <w:pPr>
        <w:pStyle w:val="3"/>
        <w:rPr>
          <w:rStyle w:val="18"/>
          <w:rFonts w:hint="eastAsia" w:ascii="宋体" w:hAnsi="宋体" w:eastAsia="宋体" w:cs="宋体"/>
          <w:b/>
          <w:bCs/>
          <w:sz w:val="32"/>
          <w:szCs w:val="28"/>
        </w:rPr>
      </w:pPr>
    </w:p>
    <w:p w14:paraId="18276DFC">
      <w:pPr>
        <w:spacing w:line="360" w:lineRule="auto"/>
        <w:jc w:val="left"/>
        <w:outlineLvl w:val="1"/>
        <w:rPr>
          <w:rStyle w:val="18"/>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0CA609BF">
      <w:pPr>
        <w:pStyle w:val="17"/>
        <w:numPr>
          <w:ilvl w:val="0"/>
          <w:numId w:val="0"/>
        </w:numPr>
        <w:spacing w:line="360" w:lineRule="auto"/>
        <w:ind w:leftChars="0"/>
        <w:jc w:val="center"/>
        <w:rPr>
          <w:rFonts w:hint="eastAsia" w:ascii="宋体" w:hAnsi="宋体" w:eastAsia="宋体" w:cs="宋体"/>
          <w:b/>
          <w:bCs/>
          <w:sz w:val="32"/>
          <w:szCs w:val="32"/>
          <w:lang w:val="zh-TW" w:eastAsia="zh-TW"/>
        </w:rPr>
      </w:pPr>
      <w:r>
        <w:rPr>
          <w:rFonts w:hint="eastAsia" w:ascii="宋体" w:hAnsi="宋体" w:eastAsia="宋体" w:cs="宋体"/>
          <w:b/>
          <w:bCs/>
          <w:sz w:val="32"/>
          <w:szCs w:val="32"/>
          <w:lang w:val="zh-TW" w:eastAsia="zh-CN"/>
        </w:rPr>
        <w:t>一、调研</w:t>
      </w:r>
      <w:r>
        <w:rPr>
          <w:rFonts w:hint="eastAsia" w:ascii="宋体" w:hAnsi="宋体" w:eastAsia="宋体" w:cs="宋体"/>
          <w:b/>
          <w:bCs/>
          <w:sz w:val="32"/>
          <w:szCs w:val="32"/>
          <w:lang w:val="zh-TW" w:eastAsia="zh-TW"/>
        </w:rPr>
        <w:t>报价单</w:t>
      </w:r>
    </w:p>
    <w:p w14:paraId="152EF204">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本调研公告将作为后续该项目参数设置及预算确定的重要依据，</w:t>
      </w:r>
      <w:r>
        <w:rPr>
          <w:rFonts w:hint="eastAsia" w:ascii="宋体" w:hAnsi="宋体" w:eastAsia="宋体" w:cs="宋体"/>
          <w:b w:val="0"/>
          <w:bCs w:val="0"/>
          <w:sz w:val="21"/>
          <w:szCs w:val="21"/>
          <w:lang w:val="zh-TW" w:eastAsia="zh-CN"/>
        </w:rPr>
        <w:t>请各意向供应商认真核实情况后提供调研报价</w:t>
      </w:r>
    </w:p>
    <w:p w14:paraId="4498CA15">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4"/>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3813"/>
        <w:gridCol w:w="2399"/>
        <w:gridCol w:w="2182"/>
      </w:tblGrid>
      <w:tr w14:paraId="5DAB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4F70771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3813" w:type="dxa"/>
            <w:vAlign w:val="center"/>
          </w:tcPr>
          <w:p w14:paraId="37D6AA4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2399" w:type="dxa"/>
            <w:vAlign w:val="center"/>
          </w:tcPr>
          <w:p w14:paraId="62C352DC">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2182" w:type="dxa"/>
            <w:vAlign w:val="center"/>
          </w:tcPr>
          <w:p w14:paraId="14FFFF5D">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调研报价（元/月）</w:t>
            </w:r>
          </w:p>
        </w:tc>
      </w:tr>
      <w:tr w14:paraId="39A3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16" w:type="dxa"/>
            <w:vAlign w:val="center"/>
          </w:tcPr>
          <w:p w14:paraId="775BE0A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3813" w:type="dxa"/>
            <w:vAlign w:val="center"/>
          </w:tcPr>
          <w:p w14:paraId="548E4B5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aps w:val="0"/>
                <w:color w:val="000000"/>
                <w:spacing w:val="0"/>
                <w:sz w:val="21"/>
                <w:szCs w:val="21"/>
                <w:shd w:val="clear" w:fill="FFFFFF"/>
                <w:lang w:eastAsia="zh-CN"/>
              </w:rPr>
              <w:t>场地租用</w:t>
            </w:r>
          </w:p>
        </w:tc>
        <w:tc>
          <w:tcPr>
            <w:tcW w:w="2399" w:type="dxa"/>
            <w:vAlign w:val="center"/>
          </w:tcPr>
          <w:p w14:paraId="5573E89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三年</w:t>
            </w:r>
          </w:p>
        </w:tc>
        <w:tc>
          <w:tcPr>
            <w:tcW w:w="2182" w:type="dxa"/>
            <w:vAlign w:val="center"/>
          </w:tcPr>
          <w:p w14:paraId="1AC3F19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p>
        </w:tc>
      </w:tr>
      <w:tr w14:paraId="5578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9010" w:type="dxa"/>
            <w:gridSpan w:val="4"/>
            <w:vAlign w:val="center"/>
          </w:tcPr>
          <w:p w14:paraId="619023D7">
            <w:pPr>
              <w:spacing w:line="240" w:lineRule="auto"/>
              <w:jc w:val="left"/>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 xml:space="preserve">备注：采购人提供办公场地，由中标人租用方式按月向采购人缴纳租金。服务期限：三年。 </w:t>
            </w:r>
          </w:p>
          <w:p w14:paraId="1568FDF0">
            <w:pPr>
              <w:spacing w:line="240" w:lineRule="auto"/>
              <w:jc w:val="left"/>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在服务期前 12 个月，中标人如累计 4 次出现满意度得分低于 80 分的情况，采购人有权终止合同</w:t>
            </w:r>
          </w:p>
          <w:p w14:paraId="19CC75E9">
            <w:pPr>
              <w:spacing w:line="240" w:lineRule="auto"/>
              <w:jc w:val="left"/>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服务期的第 13 个月到第 36 个月，每 12 个月为一个周期，如同一周期内累计 3 次出现满意度得分低于 80 分的情况，采购人有权终止合同。</w:t>
            </w:r>
          </w:p>
          <w:p w14:paraId="6A165125">
            <w:pPr>
              <w:spacing w:line="24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kern w:val="2"/>
                <w:sz w:val="21"/>
                <w:szCs w:val="21"/>
                <w:u w:val="none"/>
                <w:lang w:val="en-US" w:eastAsia="zh-CN" w:bidi="ar-SA"/>
              </w:rPr>
              <w:t>采购人对成交供应商所提供的服务满意且考核合格，经采购人同意，本项目服务期限自动延期。</w:t>
            </w:r>
          </w:p>
        </w:tc>
      </w:tr>
    </w:tbl>
    <w:p w14:paraId="3C6A2A9B">
      <w:pPr>
        <w:widowControl/>
        <w:spacing w:line="360" w:lineRule="auto"/>
        <w:jc w:val="left"/>
        <w:rPr>
          <w:rFonts w:hint="eastAsia" w:ascii="宋体" w:hAnsi="宋体" w:eastAsia="宋体" w:cs="宋体"/>
          <w:sz w:val="24"/>
          <w:szCs w:val="24"/>
          <w:lang w:val="zh-TW" w:eastAsia="zh-TW"/>
        </w:rPr>
      </w:pPr>
    </w:p>
    <w:p w14:paraId="5A2D6A19">
      <w:pPr>
        <w:widowControl/>
        <w:spacing w:line="360" w:lineRule="auto"/>
        <w:jc w:val="left"/>
        <w:rPr>
          <w:rFonts w:hint="eastAsia" w:ascii="宋体" w:hAnsi="宋体" w:eastAsia="宋体" w:cs="宋体"/>
          <w:sz w:val="24"/>
          <w:szCs w:val="24"/>
          <w:lang w:val="zh-TW" w:eastAsia="zh-TW"/>
        </w:rPr>
      </w:pPr>
    </w:p>
    <w:p w14:paraId="3F058B46">
      <w:pPr>
        <w:widowControl/>
        <w:spacing w:line="360" w:lineRule="auto"/>
        <w:jc w:val="left"/>
        <w:rPr>
          <w:rFonts w:hint="eastAsia" w:ascii="宋体" w:hAnsi="宋体" w:eastAsia="宋体" w:cs="宋体"/>
          <w:sz w:val="24"/>
          <w:szCs w:val="24"/>
          <w:lang w:val="zh-TW" w:eastAsia="zh-TW"/>
        </w:rPr>
      </w:pPr>
    </w:p>
    <w:p w14:paraId="67C27B39">
      <w:pPr>
        <w:widowControl/>
        <w:spacing w:line="360" w:lineRule="auto"/>
        <w:jc w:val="left"/>
        <w:rPr>
          <w:rFonts w:hint="eastAsia" w:ascii="宋体" w:hAnsi="宋体" w:eastAsia="宋体" w:cs="宋体"/>
          <w:sz w:val="24"/>
          <w:szCs w:val="24"/>
          <w:lang w:val="zh-TW" w:eastAsia="zh-TW"/>
        </w:rPr>
      </w:pPr>
    </w:p>
    <w:p w14:paraId="6C624FBE">
      <w:pPr>
        <w:widowControl/>
        <w:spacing w:line="360" w:lineRule="auto"/>
        <w:jc w:val="left"/>
        <w:rPr>
          <w:rFonts w:hint="eastAsia" w:ascii="宋体" w:hAnsi="宋体" w:eastAsia="宋体" w:cs="宋体"/>
          <w:sz w:val="24"/>
          <w:szCs w:val="24"/>
          <w:lang w:val="zh-TW" w:eastAsia="zh-TW"/>
        </w:rPr>
      </w:pPr>
    </w:p>
    <w:p w14:paraId="428ED1A2">
      <w:pPr>
        <w:widowControl/>
        <w:spacing w:line="360" w:lineRule="auto"/>
        <w:jc w:val="left"/>
        <w:rPr>
          <w:rFonts w:hint="eastAsia" w:ascii="宋体" w:hAnsi="宋体" w:eastAsia="宋体" w:cs="宋体"/>
          <w:sz w:val="24"/>
          <w:szCs w:val="24"/>
          <w:lang w:val="zh-TW" w:eastAsia="zh-TW"/>
        </w:rPr>
      </w:pPr>
    </w:p>
    <w:p w14:paraId="42E9A151">
      <w:pPr>
        <w:widowControl/>
        <w:spacing w:line="360" w:lineRule="auto"/>
        <w:jc w:val="left"/>
        <w:rPr>
          <w:rFonts w:hint="eastAsia" w:ascii="宋体" w:hAnsi="宋体" w:eastAsia="宋体" w:cs="宋体"/>
          <w:sz w:val="24"/>
          <w:szCs w:val="24"/>
          <w:lang w:val="zh-TW" w:eastAsia="zh-TW"/>
        </w:rPr>
      </w:pPr>
    </w:p>
    <w:p w14:paraId="4959D44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供应商名称（供应商公章）：</w:t>
      </w:r>
    </w:p>
    <w:p w14:paraId="6C56CCB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032F6822">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2E86D20B">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719297F1">
      <w:pPr>
        <w:spacing w:line="360" w:lineRule="auto"/>
        <w:rPr>
          <w:rStyle w:val="18"/>
          <w:rFonts w:hint="eastAsia" w:ascii="宋体" w:hAnsi="宋体" w:eastAsia="宋体" w:cs="宋体"/>
          <w:b/>
          <w:bCs/>
          <w:sz w:val="21"/>
          <w:szCs w:val="21"/>
        </w:rPr>
      </w:pPr>
    </w:p>
    <w:p w14:paraId="52FA8535">
      <w:pPr>
        <w:spacing w:line="360" w:lineRule="auto"/>
        <w:rPr>
          <w:rStyle w:val="18"/>
          <w:rFonts w:hint="eastAsia" w:ascii="宋体" w:hAnsi="宋体" w:eastAsia="宋体" w:cs="宋体"/>
          <w:b/>
          <w:bCs/>
          <w:sz w:val="21"/>
          <w:szCs w:val="21"/>
        </w:rPr>
      </w:pPr>
    </w:p>
    <w:p w14:paraId="50D5BD8E">
      <w:pPr>
        <w:spacing w:line="360" w:lineRule="auto"/>
        <w:rPr>
          <w:rStyle w:val="18"/>
          <w:rFonts w:hint="eastAsia" w:ascii="宋体" w:hAnsi="宋体" w:eastAsia="宋体" w:cs="宋体"/>
          <w:b/>
          <w:bCs/>
          <w:sz w:val="21"/>
          <w:szCs w:val="21"/>
        </w:rPr>
      </w:pPr>
    </w:p>
    <w:p w14:paraId="37E6D51F">
      <w:pPr>
        <w:spacing w:line="360" w:lineRule="auto"/>
        <w:rPr>
          <w:rStyle w:val="18"/>
          <w:rFonts w:hint="eastAsia" w:ascii="宋体" w:hAnsi="宋体" w:eastAsia="宋体" w:cs="宋体"/>
          <w:b/>
          <w:bCs/>
          <w:sz w:val="21"/>
          <w:szCs w:val="21"/>
        </w:rPr>
      </w:pPr>
    </w:p>
    <w:p w14:paraId="21723915">
      <w:pPr>
        <w:spacing w:line="360" w:lineRule="auto"/>
        <w:rPr>
          <w:rStyle w:val="18"/>
          <w:rFonts w:hint="eastAsia" w:ascii="宋体" w:hAnsi="宋体" w:eastAsia="宋体" w:cs="宋体"/>
          <w:b/>
          <w:bCs/>
          <w:sz w:val="21"/>
          <w:szCs w:val="21"/>
        </w:rPr>
      </w:pPr>
    </w:p>
    <w:p w14:paraId="06BC40C1">
      <w:pPr>
        <w:spacing w:line="360" w:lineRule="auto"/>
        <w:rPr>
          <w:rStyle w:val="18"/>
          <w:rFonts w:hint="eastAsia" w:ascii="宋体" w:hAnsi="宋体" w:eastAsia="宋体" w:cs="宋体"/>
          <w:b/>
          <w:bCs/>
          <w:sz w:val="21"/>
          <w:szCs w:val="21"/>
        </w:rPr>
      </w:pPr>
    </w:p>
    <w:p w14:paraId="21275F74">
      <w:pPr>
        <w:spacing w:line="360" w:lineRule="auto"/>
        <w:rPr>
          <w:rStyle w:val="18"/>
          <w:rFonts w:hint="eastAsia" w:ascii="宋体" w:hAnsi="宋体" w:eastAsia="宋体" w:cs="宋体"/>
          <w:b/>
          <w:bCs/>
          <w:sz w:val="21"/>
          <w:szCs w:val="21"/>
        </w:rPr>
      </w:pPr>
    </w:p>
    <w:p w14:paraId="1BFF8C19">
      <w:pPr>
        <w:spacing w:line="360" w:lineRule="auto"/>
        <w:rPr>
          <w:rStyle w:val="18"/>
          <w:rFonts w:hint="eastAsia" w:ascii="宋体" w:hAnsi="宋体" w:eastAsia="宋体" w:cs="宋体"/>
          <w:b/>
          <w:bCs/>
          <w:sz w:val="21"/>
          <w:szCs w:val="21"/>
        </w:rPr>
      </w:pPr>
    </w:p>
    <w:p w14:paraId="4E056FB4">
      <w:pPr>
        <w:spacing w:line="360" w:lineRule="auto"/>
        <w:rPr>
          <w:rStyle w:val="18"/>
          <w:rFonts w:hint="eastAsia" w:ascii="宋体" w:hAnsi="宋体" w:eastAsia="宋体" w:cs="宋体"/>
          <w:b/>
          <w:bCs/>
          <w:sz w:val="21"/>
          <w:szCs w:val="21"/>
        </w:rPr>
      </w:pPr>
    </w:p>
    <w:p w14:paraId="5B763102">
      <w:pPr>
        <w:spacing w:line="360" w:lineRule="auto"/>
        <w:rPr>
          <w:rFonts w:hint="eastAsia" w:ascii="宋体" w:hAnsi="宋体" w:eastAsia="宋体" w:cs="宋体"/>
          <w:b/>
          <w:bCs/>
          <w:color w:val="auto"/>
          <w:sz w:val="21"/>
          <w:szCs w:val="21"/>
          <w:lang w:eastAsia="zh-CN"/>
        </w:rPr>
      </w:pPr>
      <w:r>
        <w:rPr>
          <w:rStyle w:val="18"/>
          <w:rFonts w:hint="eastAsia" w:ascii="宋体" w:hAnsi="宋体" w:eastAsia="宋体" w:cs="宋体"/>
          <w:b/>
          <w:bCs/>
          <w:sz w:val="21"/>
          <w:szCs w:val="21"/>
          <w:lang w:eastAsia="zh-CN"/>
        </w:rPr>
        <w:t>二、</w:t>
      </w:r>
      <w:r>
        <w:rPr>
          <w:rStyle w:val="18"/>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40F1FFBB">
      <w:pPr>
        <w:pStyle w:val="16"/>
        <w:rPr>
          <w:rFonts w:hint="eastAsia"/>
        </w:rPr>
      </w:pPr>
    </w:p>
    <w:p w14:paraId="24B6E3FE">
      <w:pPr>
        <w:pStyle w:val="16"/>
        <w:rPr>
          <w:rFonts w:hint="eastAsia"/>
        </w:rPr>
      </w:pPr>
    </w:p>
    <w:p w14:paraId="060E39A7">
      <w:pPr>
        <w:pStyle w:val="16"/>
        <w:rPr>
          <w:rFonts w:hint="eastAsia"/>
        </w:rPr>
      </w:pPr>
    </w:p>
    <w:p w14:paraId="39D5D4C8">
      <w:pPr>
        <w:pStyle w:val="11"/>
        <w:spacing w:line="360" w:lineRule="auto"/>
        <w:ind w:left="0" w:leftChars="0" w:firstLine="0" w:firstLineChars="0"/>
        <w:jc w:val="both"/>
        <w:outlineLvl w:val="1"/>
        <w:rPr>
          <w:rFonts w:hint="eastAsia" w:ascii="宋体" w:hAnsi="宋体" w:eastAsia="宋体" w:cs="宋体"/>
          <w:color w:val="auto"/>
          <w:sz w:val="21"/>
          <w:szCs w:val="21"/>
        </w:rPr>
      </w:pPr>
      <w:bookmarkStart w:id="0" w:name="_Toc15526"/>
      <w:bookmarkStart w:id="1" w:name="_Toc27661"/>
      <w:bookmarkStart w:id="2" w:name="_Toc11351"/>
      <w:bookmarkStart w:id="3" w:name="_Toc20589"/>
      <w:bookmarkStart w:id="4" w:name="_Toc25638"/>
      <w:bookmarkStart w:id="5" w:name="_Toc12015"/>
      <w:r>
        <w:rPr>
          <w:rStyle w:val="18"/>
          <w:rFonts w:hint="eastAsia" w:ascii="宋体" w:hAnsi="宋体" w:eastAsia="宋体" w:cs="宋体"/>
          <w:b/>
          <w:bCs/>
          <w:sz w:val="21"/>
          <w:szCs w:val="21"/>
          <w:lang w:val="en-US" w:eastAsia="zh-CN"/>
        </w:rPr>
        <w:t>三、</w:t>
      </w:r>
      <w:r>
        <w:rPr>
          <w:rStyle w:val="18"/>
          <w:rFonts w:hint="eastAsia" w:ascii="宋体" w:hAnsi="宋体" w:eastAsia="宋体" w:cs="宋体"/>
          <w:b/>
          <w:bCs/>
          <w:sz w:val="21"/>
          <w:szCs w:val="21"/>
        </w:rPr>
        <w:t>法定代表人身份证明书</w:t>
      </w:r>
      <w:bookmarkEnd w:id="0"/>
      <w:bookmarkEnd w:id="1"/>
      <w:bookmarkEnd w:id="2"/>
      <w:bookmarkEnd w:id="3"/>
      <w:bookmarkEnd w:id="4"/>
      <w:bookmarkEnd w:id="5"/>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7"/>
        <w:rPr>
          <w:rFonts w:hint="eastAsia" w:ascii="宋体" w:hAnsi="宋体" w:eastAsia="宋体" w:cs="宋体"/>
          <w:lang w:eastAsia="zh-CN"/>
        </w:rPr>
      </w:pPr>
    </w:p>
    <w:p w14:paraId="2E8967E4">
      <w:pPr>
        <w:pStyle w:val="16"/>
        <w:spacing w:line="360" w:lineRule="auto"/>
        <w:jc w:val="center"/>
        <w:rPr>
          <w:rStyle w:val="18"/>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414D3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989AA5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BF2380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szCs w:val="24"/>
        </w:rPr>
        <w:t>本公司郑重</w:t>
      </w:r>
      <w:r>
        <w:rPr>
          <w:rFonts w:hint="eastAsia" w:ascii="宋体" w:hAnsi="宋体" w:eastAsia="宋体" w:cs="宋体"/>
          <w:sz w:val="24"/>
          <w:szCs w:val="24"/>
          <w:lang w:eastAsia="zh-CN"/>
        </w:rPr>
        <w:t>声明</w:t>
      </w:r>
      <w:r>
        <w:rPr>
          <w:rFonts w:hint="eastAsia" w:ascii="宋体" w:hAnsi="宋体" w:eastAsia="宋体" w:cs="宋体"/>
          <w:sz w:val="24"/>
          <w:szCs w:val="24"/>
        </w:rPr>
        <w:t>本公司在参加本次</w:t>
      </w:r>
      <w:r>
        <w:rPr>
          <w:rFonts w:hint="eastAsia" w:ascii="宋体" w:hAnsi="宋体" w:eastAsia="宋体" w:cs="宋体"/>
          <w:i w:val="0"/>
          <w:iCs w:val="0"/>
          <w:caps w:val="0"/>
          <w:color w:val="000000"/>
          <w:spacing w:val="0"/>
          <w:sz w:val="24"/>
          <w:szCs w:val="24"/>
          <w:u w:val="single"/>
          <w:shd w:val="clear" w:fill="FFFFFF"/>
        </w:rPr>
        <w:t>中山市东升医院2027-2029年度医疗护理员外包服务项目</w:t>
      </w:r>
      <w:bookmarkStart w:id="12" w:name="_GoBack"/>
      <w:bookmarkEnd w:id="12"/>
      <w:r>
        <w:rPr>
          <w:rFonts w:hint="eastAsia" w:ascii="宋体" w:hAnsi="宋体" w:eastAsia="宋体" w:cs="宋体"/>
          <w:sz w:val="24"/>
          <w:szCs w:val="24"/>
          <w:u w:val="single"/>
          <w:lang w:eastAsia="zh-CN"/>
        </w:rPr>
        <w:t>调研</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3BFFE0A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bookmarkStart w:id="6" w:name="_Toc26969"/>
      <w:bookmarkStart w:id="7" w:name="_Toc16435"/>
      <w:bookmarkStart w:id="8" w:name="_Toc23967"/>
      <w:bookmarkStart w:id="9" w:name="_Toc2041"/>
      <w:bookmarkStart w:id="10" w:name="_Toc1074"/>
      <w:bookmarkStart w:id="11" w:name="_Toc12967"/>
    </w:p>
    <w:p w14:paraId="5DDD7D9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248C81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68F4F41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32AC12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6E41D3E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bookmarkEnd w:id="6"/>
    <w:bookmarkEnd w:id="7"/>
    <w:bookmarkEnd w:id="8"/>
    <w:bookmarkEnd w:id="9"/>
    <w:bookmarkEnd w:id="10"/>
    <w:bookmarkEnd w:id="11"/>
    <w:p w14:paraId="43379772">
      <w:pPr>
        <w:keepNext w:val="0"/>
        <w:keepLines w:val="0"/>
        <w:pageBreakBefore w:val="0"/>
        <w:numPr>
          <w:ilvl w:val="0"/>
          <w:numId w:val="0"/>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pacing w:val="7"/>
          <w:sz w:val="20"/>
          <w:szCs w:val="20"/>
          <w:lang w:eastAsia="zh-CN"/>
        </w:rPr>
      </w:pPr>
    </w:p>
    <w:p w14:paraId="1AD104C4">
      <w:pPr>
        <w:keepNext w:val="0"/>
        <w:keepLines w:val="0"/>
        <w:pageBreakBefore w:val="0"/>
        <w:numPr>
          <w:ilvl w:val="0"/>
          <w:numId w:val="0"/>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sz w:val="20"/>
          <w:szCs w:val="20"/>
          <w:lang w:val="en-US" w:eastAsia="zh-CN"/>
        </w:rPr>
      </w:pPr>
      <w:r>
        <w:rPr>
          <w:rFonts w:hint="eastAsia" w:ascii="宋体" w:hAnsi="宋体" w:eastAsia="宋体" w:cs="宋体"/>
          <w:b/>
          <w:bCs/>
          <w:spacing w:val="7"/>
          <w:sz w:val="20"/>
          <w:szCs w:val="20"/>
          <w:lang w:eastAsia="zh-CN"/>
        </w:rPr>
        <w:t>六</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4"/>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95" w:beforeLines="30" w:line="227"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20"/>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57" w:type="dxa"/>
          <w:left w:w="57" w:type="dxa"/>
          <w:bottom w:w="57" w:type="dxa"/>
          <w:right w:w="57" w:type="dxa"/>
        </w:tblCellMar>
      </w:tblPr>
      <w:tblGrid>
        <w:gridCol w:w="661"/>
        <w:gridCol w:w="5547"/>
        <w:gridCol w:w="1425"/>
        <w:gridCol w:w="978"/>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547"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25"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978"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547" w:type="dxa"/>
          </w:tcPr>
          <w:p w14:paraId="7BF3540E">
            <w:pPr>
              <w:pStyle w:val="10"/>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说明：</w:t>
            </w:r>
          </w:p>
          <w:p w14:paraId="1C68B676">
            <w:pPr>
              <w:pStyle w:val="10"/>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1.供应商须对本项目的采购标的进行整体响应，任何只对本项目采购标的其中一部分内容或数量进行响应的，将作无效投标（响应）处理。</w:t>
            </w:r>
          </w:p>
          <w:p w14:paraId="02D08AE6">
            <w:pPr>
              <w:pStyle w:val="10"/>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2.采购需求中标注“★”号条款为实质性条款，供应商须按要求对其进行逐条响应，当出现负偏离或未响应，将作无效投标（响应）处理；若要求提供证明材料，还须按要求提供证明材料，否则将作无效投标（响应）处理。</w:t>
            </w:r>
          </w:p>
          <w:p w14:paraId="502D1396">
            <w:pPr>
              <w:pStyle w:val="10"/>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rPr>
              <w:t>3.采购需求中标注“▲”号条款为重要技术条款，供应商须按要求对其进行逐条响应，当出现负偏离或未响应，对应项将不予计分，不会作无效投标（响应）处理；若要求提供证明材料，还须按要求提供证明材料，否则不予计分。</w:t>
            </w:r>
          </w:p>
        </w:tc>
        <w:tc>
          <w:tcPr>
            <w:tcW w:w="1425" w:type="dxa"/>
          </w:tcPr>
          <w:p w14:paraId="03ED26DE">
            <w:pPr>
              <w:pStyle w:val="21"/>
              <w:rPr>
                <w:rFonts w:ascii="宋体" w:hAnsi="宋体" w:eastAsia="宋体" w:cs="宋体"/>
                <w:lang w:eastAsia="zh-CN"/>
              </w:rPr>
            </w:pPr>
          </w:p>
        </w:tc>
        <w:tc>
          <w:tcPr>
            <w:tcW w:w="978" w:type="dxa"/>
          </w:tcPr>
          <w:p w14:paraId="314D7EEC">
            <w:pPr>
              <w:pStyle w:val="21"/>
              <w:rPr>
                <w:rFonts w:ascii="宋体" w:hAnsi="宋体" w:eastAsia="宋体" w:cs="宋体"/>
                <w:lang w:eastAsia="zh-CN"/>
              </w:rPr>
            </w:pPr>
          </w:p>
        </w:tc>
        <w:tc>
          <w:tcPr>
            <w:tcW w:w="1065" w:type="dxa"/>
          </w:tcPr>
          <w:p w14:paraId="0A9D39B5">
            <w:pPr>
              <w:pStyle w:val="21"/>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547" w:type="dxa"/>
          </w:tcPr>
          <w:p w14:paraId="5C46027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项目概况</w:t>
            </w:r>
          </w:p>
          <w:p w14:paraId="5945504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中山市东升院区位于广东省中山市东升镇兆隆路1号之二，是一所集医疗、急救、康复、预防保健、科研为一体的二级甲等综合医院。</w:t>
            </w:r>
          </w:p>
          <w:p w14:paraId="78F4C3D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（一）项目及范围名称：中山市东升医院2027-2029年度医疗护理员外包服务项目采购需求。</w:t>
            </w:r>
          </w:p>
          <w:p w14:paraId="0E33E93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（二）服务期限：自合同签订之日起三年，具体起止期限以采购人与中标人签订的合同约定为准。</w:t>
            </w:r>
          </w:p>
          <w:p w14:paraId="0C4F5FA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（三）项目模式：采购人采用场地租用模式，由中标人按月向采购人缴纳租金。</w:t>
            </w:r>
          </w:p>
          <w:p w14:paraId="3301EA2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（四）本项目由中标人负责招标文件对中标人要求的一切事宜及责任，如果投标人在中标并签署合同后，在项目实施过程中出现报价内容的任何遗漏，均由中标人负责。</w:t>
            </w:r>
          </w:p>
          <w:p w14:paraId="2AAEC11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（五）本项目由中标人承包及负责招标文件对中标人要求的一切事宜及责任。</w:t>
            </w:r>
          </w:p>
          <w:p w14:paraId="7E04CF6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（六）本项目不接受联合体投标。</w:t>
            </w:r>
          </w:p>
          <w:p w14:paraId="299E92B4">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（七）中标人不得以任何方式转包本项目。</w:t>
            </w:r>
          </w:p>
        </w:tc>
        <w:tc>
          <w:tcPr>
            <w:tcW w:w="1425" w:type="dxa"/>
          </w:tcPr>
          <w:p w14:paraId="69CF45F5">
            <w:pPr>
              <w:pStyle w:val="21"/>
              <w:rPr>
                <w:rFonts w:ascii="宋体" w:hAnsi="宋体" w:eastAsia="宋体" w:cs="宋体"/>
                <w:lang w:eastAsia="zh-CN"/>
              </w:rPr>
            </w:pPr>
          </w:p>
        </w:tc>
        <w:tc>
          <w:tcPr>
            <w:tcW w:w="978" w:type="dxa"/>
          </w:tcPr>
          <w:p w14:paraId="4B1E84E1">
            <w:pPr>
              <w:pStyle w:val="21"/>
              <w:rPr>
                <w:rFonts w:ascii="宋体" w:hAnsi="宋体" w:eastAsia="宋体" w:cs="宋体"/>
                <w:lang w:eastAsia="zh-CN"/>
              </w:rPr>
            </w:pPr>
          </w:p>
        </w:tc>
        <w:tc>
          <w:tcPr>
            <w:tcW w:w="1065" w:type="dxa"/>
          </w:tcPr>
          <w:p w14:paraId="050D5957">
            <w:pPr>
              <w:pStyle w:val="21"/>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547" w:type="dxa"/>
          </w:tcPr>
          <w:p w14:paraId="7A6E676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中标人工作内容及注意事项：</w:t>
            </w:r>
          </w:p>
          <w:p w14:paraId="3AB1A43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1.以患者为中心，提供安全、优质的医疗护理服务。</w:t>
            </w:r>
          </w:p>
          <w:p w14:paraId="147B63A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2.严禁操作任何治疗性、技术性的医疗护理工作，如鼻饲等。</w:t>
            </w:r>
          </w:p>
          <w:p w14:paraId="10849E0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3.按合同内容提供医疗护理服务，严格按照协议书收费标准收取费用并签订协议书，未经采购人许可，严禁私自提高医疗护理的服务费用。</w:t>
            </w:r>
          </w:p>
          <w:p w14:paraId="11047CA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医疗护理员必须按要求提供相关服务，不得擅自提价、收取合同之外的餐费、住宿等费用，不得私自收费、索取小费。如发生上述违规现象，所引起的责任纠纷均由中标人负责，且不得再安排违规人员在采购人工作。</w:t>
            </w:r>
          </w:p>
          <w:p w14:paraId="5C6EE7E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5.不得强行向患者推荐及提供医疗护理服务。</w:t>
            </w:r>
          </w:p>
          <w:p w14:paraId="3F38C10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6.由中标人派专人直接向患者/家属按照协议书收费标准收费并出示收据等证明凭票供患者/家属，医疗护理员不能直接收费。</w:t>
            </w:r>
          </w:p>
          <w:p w14:paraId="2B80660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各病区根据患者需求配置相对固定医疗护理员，协助护士为全病区患者打开水，定时开关空调。协助护士整理床铺，保持床单整洁干燥、无异味、物品摆放符合科室要求，协助护士为新入院病人开床，将出院的空床铺备用床，整理被服间，入好棉被备用，收发病人服、送标本等工作，具体细节听从科室安排。提供一对一或一对多的服务，一对多医疗护理员与患者的配置比例为1:2-1:5，原则上不得跨房服务，未经科室同意不得随意调换医疗护理员。</w:t>
            </w:r>
          </w:p>
          <w:p w14:paraId="3217CEE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8.医疗护理原则上在病人所在的科室范围、病房范围内服务，不能跨越超过 2 间病房，尤其是一对多医疗护理员，不得擅离职守，须协助病人完成各项辅助检查（送其中一名患者外出检查时，要将自己所管理病人委托给同事管理）；一对一医疗护理员须 24 小时驻病人病区提供服务。中标人应严格遵守《中华人民共和国劳动法》相关工时规定，保障护理员每日必要休息、睡眠时间，落实轮班、补休，严禁长期超时加班。一对一陪护员每天享有 2.5 小时吃饭休息时间。</w:t>
            </w:r>
          </w:p>
          <w:p w14:paraId="455F2D9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9.医疗护理原则上不允许离开医院，如果需离开需告知主管由主管安排好替班人员方可离开医院。</w:t>
            </w:r>
          </w:p>
          <w:p w14:paraId="35A67A0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10.日常护理工作要求</w:t>
            </w:r>
          </w:p>
          <w:p w14:paraId="573AA86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10.1衣：</w:t>
            </w:r>
          </w:p>
          <w:p w14:paraId="5908FCB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（1）做好患者的皮肤清洁工作，包括帮助卧床轻症患者床上擦浴、协助患者沐浴更衣、洗头，协助护士完成危、重症患者床上擦浴工作等。</w:t>
            </w:r>
          </w:p>
          <w:p w14:paraId="2EABF11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（2）清洁时要控制室内温度适宜，注意关好门窗，拉好床帘或屏风，保护患者隐私。</w:t>
            </w:r>
          </w:p>
          <w:p w14:paraId="388A1F6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（3）协助调节好水温，淋浴盆须先放凉水再放热水（禁止戴手套试水温，避免烫伤病人）。</w:t>
            </w:r>
          </w:p>
          <w:p w14:paraId="474BCE3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（4）一侧肢体瘫痪或受伤、手术后患者的穿脱衣顺序：先穿患侧后穿健侧，先脱健侧后脱患侧。</w:t>
            </w:r>
          </w:p>
          <w:p w14:paraId="7E404F9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（5）淋浴或擦浴过程中从头到脚的顺序擦洗，动作轻柔，注意观察患者病情（询问患者有无不适），关注皮肤情况，看有无水泡、破损及皮疹等异常情况。</w:t>
            </w:r>
          </w:p>
          <w:p w14:paraId="1895255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10.2食：</w:t>
            </w:r>
          </w:p>
          <w:p w14:paraId="1F6C40B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（1）照顾患者饮食，如不能自行进食的需协助患者进食、喝水，鼻饲的除外。</w:t>
            </w:r>
          </w:p>
          <w:p w14:paraId="1317679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（2）注意患者有无吞咽困难、呛咳、误吸等情况，如有，必须立即停止喂食，并告知医生护士，严禁自作主张，盲目喂食。</w:t>
            </w:r>
          </w:p>
          <w:p w14:paraId="439E605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（3）对老年患者及部分可自理患者，可备好餐台、餐具等用品，让其自行进食。对双手自主活动受限，但清醒、进食无障碍的患者协助喂食。</w:t>
            </w:r>
          </w:p>
          <w:p w14:paraId="55E91DA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10.3住：</w:t>
            </w:r>
          </w:p>
          <w:p w14:paraId="7BFAB3E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（1）协助患者床上自主活动，定时变换体位，协助护士给予卧床患者翻身叩背，防止皮肤压伤。</w:t>
            </w:r>
          </w:p>
          <w:p w14:paraId="4230DEA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（2）帮助病情较轻但长期卧床不能自行翻身的患者翻身，如卧位—坐位、坐位—站立、站立—行走等体位变换。注意动作要轻柔，切忌推、拉、扯等粗暴动作。</w:t>
            </w:r>
          </w:p>
          <w:p w14:paraId="4F43878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（3）协助护士完成留置尿管患者的夹管、放尿工作。</w:t>
            </w:r>
          </w:p>
          <w:p w14:paraId="18EDB4D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10.4行：</w:t>
            </w:r>
          </w:p>
          <w:p w14:paraId="0A791CE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（1）陪伴患者下床活动，关心患者。</w:t>
            </w:r>
          </w:p>
          <w:p w14:paraId="0DB0293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（2）带患者外出活动时，注意患者活动能力、身体平衡状况，保证周围环境安全，熟练应用辅助工具（如轮椅、车床、拐杖、助行器等）。</w:t>
            </w:r>
          </w:p>
          <w:p w14:paraId="28C76AB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（3）协助落实防坠床、防跌倒措施。</w:t>
            </w:r>
          </w:p>
          <w:p w14:paraId="2820D22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11.在护士的指导下，协助患者做好标本的采集（如：常规大、小便等）。</w:t>
            </w:r>
          </w:p>
          <w:p w14:paraId="178D457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12.告知患者或家属保管好贵重物品。</w:t>
            </w:r>
          </w:p>
          <w:p w14:paraId="40319F3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13.凡病房内有吸氧的患者注意做好四防工作(防火、防油、防热、防震)。</w:t>
            </w:r>
          </w:p>
          <w:p w14:paraId="49EF16B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14.协助支持运输人员运送患者完成各项检查及治疗。</w:t>
            </w:r>
          </w:p>
          <w:p w14:paraId="246BCD8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15.及时将患者的有关情况告知护士或医生，如：使用仪器的患者（心电监护仪、微量输液泵、输液泵等）出现报警时。</w:t>
            </w:r>
          </w:p>
          <w:p w14:paraId="16B5525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16.严格按病情护理，尤其注意手术、介入及危重病人的护理，在征得医护人员同意、病情允许、尽量在家属在场情况下，确定病人可离床活动，否则造成患者出现意外的，因中标人及其工作人员过错引发全部损失与法律责任，由中标人最终承担；如采购人对外先行向第三方赔付的，有权向中标人进行全额追偿。</w:t>
            </w:r>
          </w:p>
          <w:p w14:paraId="4F2ACE8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17.巡视病房，及时为患者解决生活照顾问题。</w:t>
            </w:r>
          </w:p>
          <w:p w14:paraId="201DE0C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18.协助患者进食及服药，清洁餐具。</w:t>
            </w:r>
          </w:p>
          <w:p w14:paraId="418DC7B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19.为患者递送大、小便器，清理大小便，便后及时倾倒和清洗，保持会阴部清洁。</w:t>
            </w:r>
          </w:p>
          <w:p w14:paraId="6EBF963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20.协助护士为患者洗漱、更衣洗头、喂饭、洗澡、擦澡、洗脚、剪指（趾）甲等。</w:t>
            </w:r>
          </w:p>
          <w:p w14:paraId="7625023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21.协助患者过床、上下床、翻身等，发现患者身体情况异常，及时向医护人员报告。</w:t>
            </w:r>
          </w:p>
          <w:p w14:paraId="3CD111BD">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22.在医务人员的指导或协助下，为患者更换体位、活动肢体、户外活动等，促进患者的功能恢复。</w:t>
            </w:r>
          </w:p>
        </w:tc>
        <w:tc>
          <w:tcPr>
            <w:tcW w:w="1425" w:type="dxa"/>
          </w:tcPr>
          <w:p w14:paraId="50520806">
            <w:pPr>
              <w:pStyle w:val="21"/>
              <w:rPr>
                <w:rFonts w:ascii="宋体" w:hAnsi="宋体" w:eastAsia="宋体" w:cs="宋体"/>
                <w:lang w:eastAsia="zh-CN"/>
              </w:rPr>
            </w:pPr>
          </w:p>
        </w:tc>
        <w:tc>
          <w:tcPr>
            <w:tcW w:w="978" w:type="dxa"/>
          </w:tcPr>
          <w:p w14:paraId="27AC7BB1">
            <w:pPr>
              <w:pStyle w:val="21"/>
              <w:rPr>
                <w:rFonts w:ascii="宋体" w:hAnsi="宋体" w:eastAsia="宋体" w:cs="宋体"/>
                <w:lang w:eastAsia="zh-CN"/>
              </w:rPr>
            </w:pPr>
          </w:p>
        </w:tc>
        <w:tc>
          <w:tcPr>
            <w:tcW w:w="1065" w:type="dxa"/>
          </w:tcPr>
          <w:p w14:paraId="714423AC">
            <w:pPr>
              <w:pStyle w:val="21"/>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547" w:type="dxa"/>
          </w:tcPr>
          <w:p w14:paraId="79CE57F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中标人的员工条件与要求</w:t>
            </w:r>
          </w:p>
          <w:p w14:paraId="145A94B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1.项目经理</w:t>
            </w:r>
          </w:p>
          <w:p w14:paraId="47BDBE8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中标人必须指派一位项目经理，全权代表其负责管理承包区域服务工作，年龄 48 岁以下，大专或以上学历，具备医院后勤 / 陪护服务管理相关专业技术职称或职业技能等级证书，并与采购人保持密切联系。项目经理须具备两年以上医院后勤服务（包含医疗护理服务或陪护服务）管理负责人的经历（熟练掌握员工培训、质控管理等技能）。</w:t>
            </w:r>
          </w:p>
          <w:p w14:paraId="14ACDFF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2.主管</w:t>
            </w:r>
          </w:p>
          <w:p w14:paraId="4C14198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中标人必须指派一位主管，进行现场工作及技术管理。年龄 50 岁以下，大专或以上学历，具备医院后勤 / 陪护服务管理相关专业技术职称或职业技能等级证书，并与招标人保持密切联系。主管须具备一年以上医院后勤服务（包含医疗护理服务或陪护服务）的管理经历（熟练掌握现场工作、技术管理、人员培训、服务质量管控等技能）。其他管理人员按照实际运作配备必要的班长、领班等岗位。</w:t>
            </w:r>
          </w:p>
          <w:p w14:paraId="6316F86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3.员工条件</w:t>
            </w:r>
          </w:p>
          <w:p w14:paraId="6B9ACA1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（1）中标人应对拟录用人员开展背景核查，要求从业人员本人提供无犯罪记录证明，不得录用有刑事犯罪记录人员。</w:t>
            </w:r>
          </w:p>
          <w:p w14:paraId="2A095D0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（2）身体健康，肝功能正常，无传染病，具有完全民事行为能力。</w:t>
            </w:r>
          </w:p>
          <w:p w14:paraId="16E2C7E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（3）用工年龄符合国家规定。</w:t>
            </w:r>
          </w:p>
          <w:p w14:paraId="2403BDBF">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（4）初中或以上学历。</w:t>
            </w:r>
          </w:p>
          <w:p w14:paraId="78B930A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（5）文字书写清楚，语言清晰，有一定的沟通能力。</w:t>
            </w:r>
          </w:p>
          <w:p w14:paraId="351612F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（6）具备医疗护理员 / 生活照护相关职业技能等级证书。</w:t>
            </w:r>
          </w:p>
          <w:p w14:paraId="3FCABFB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4.职业道德要求</w:t>
            </w:r>
          </w:p>
          <w:p w14:paraId="14BC1F2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（1）严格遵守医院的相关规章制度及操作规范，在采购人的指导下积极做好本职工作。</w:t>
            </w:r>
          </w:p>
          <w:p w14:paraId="5951BEB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（2）恪守职业道德，维护医院信誉，严禁有损医院形象、声誉、挑拨医患关系的言行。</w:t>
            </w:r>
          </w:p>
          <w:p w14:paraId="72920F0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（3）遵守社会公德，爱护医院公物，节约用水用电。</w:t>
            </w:r>
          </w:p>
          <w:p w14:paraId="57D58A4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（4）文明礼貌、细致周到、态度和蔼、尊重患者，用心对待每一位患者及家属。</w:t>
            </w:r>
          </w:p>
          <w:p w14:paraId="40A8F95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（5）严禁向患者暗示或索要红包及推荐药品、保健品等。</w:t>
            </w:r>
          </w:p>
          <w:p w14:paraId="06FD7CE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（6）有保密意识，不探听、不泄露、不传播患者病情及隐私，不准翻阅病历资料及相关医疗文件，不私自给患者解释病情。</w:t>
            </w:r>
          </w:p>
          <w:p w14:paraId="7130D98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5.员工的行为要求</w:t>
            </w:r>
          </w:p>
          <w:p w14:paraId="025132C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（1）着装统一、衣帽整齐，仪表端庄，佩戴工卡，不留长指甲，上班时间不披头散发，不穿短裤、背心、拖鞋、响底鞋。</w:t>
            </w:r>
          </w:p>
          <w:p w14:paraId="4962564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（2）语言清晰，文明用语，有一定的沟通能力和服务技术，不得顶撞病人及家属。</w:t>
            </w:r>
          </w:p>
          <w:p w14:paraId="498F3FE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（3）工作认真、责任心强，不得随意离开服务范围。</w:t>
            </w:r>
          </w:p>
          <w:p w14:paraId="4FEC036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（4）工作时间不扎堆聊天、大声说话、吃东西和干私活，从事非特殊操作时不得戴手套。</w:t>
            </w:r>
          </w:p>
          <w:p w14:paraId="30A41B7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（5）团结协作，严禁院内吵闹、打架、拉帮结派、聚结赌博。</w:t>
            </w:r>
          </w:p>
          <w:p w14:paraId="0A6EE91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（6）绝对保证不擅自拿取、窃用、倒卖医院废物（要求提供有关承诺及处罚细则）。</w:t>
            </w:r>
          </w:p>
          <w:p w14:paraId="23171D8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（7）严禁向患者介绍及推荐非正规医疗护理员（俗称黑工），杜绝黑市医疗护理服务。</w:t>
            </w:r>
          </w:p>
          <w:p w14:paraId="24B8758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（8）严禁向采购人漏报、瞒报、谎报医疗护理服务人数。</w:t>
            </w:r>
          </w:p>
          <w:p w14:paraId="617AA47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9）发生差错、患者物品丢失、争议或其它异常问题时，5分钟之内报告现场护士或护士长、中标人管理人员，并配合调查。如隐瞒不报、知情不报、包庇违规或帮助当事人隐瞒真相，不如实和及时报告上级的，采购人有权要求中标人对当事人进行处罚。</w:t>
            </w:r>
          </w:p>
          <w:p w14:paraId="6E4D7B3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（10）员工身体不适不能正常工作时应请假病休，如强行坚持工作造成不良后果由中标人承担责任。</w:t>
            </w:r>
          </w:p>
          <w:p w14:paraId="523AE66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（11）做好病房环境管理，个人物品除必需生活用品外，其他物品不能放在病房内，陪人床按科室规定放指定位置，协助患者及家属做好物品的放置。</w:t>
            </w:r>
          </w:p>
          <w:p w14:paraId="0975F14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（12）病床床栏及床尾把手要及时复位。</w:t>
            </w:r>
          </w:p>
          <w:p w14:paraId="5C3C32F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（13）病房内不能私自使用电器（电饭煲、电热杯、电压力煲、电炖盅等），如患者因病情需要使用电器时征得医护人员同意，同时必须有人在旁。</w:t>
            </w:r>
          </w:p>
          <w:p w14:paraId="2031D32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14）医疗护理非特殊情况（如带病人检查等）离开病房时不能超过半小时；离开期间，应做好交接由其他医疗护理协助相关工作；如无故私自离开病房，造成患者出现意外的，因中标人及其工作人员过错引发全部损失与法律责任，由中标人最终承担；如采购人对外先行向第三方赔付的，有权向中标人进行全额追偿。</w:t>
            </w:r>
          </w:p>
          <w:p w14:paraId="7624CC3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（15）医疗护理员应服从安排，无权挑选病人。</w:t>
            </w:r>
          </w:p>
          <w:p w14:paraId="34F72C4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16）发现基本设施（如排气扇、水龙头、地面、墙、门、窗等）的维修问题，及时向采购人报告。检查冷暖气开放时开窗房间，劝阻病人、家属、医务人员等的开窗行为并负责关窗。将屡劝无效的科室报告至采购人。</w:t>
            </w:r>
          </w:p>
          <w:p w14:paraId="46AED31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 xml:space="preserve">（17）协助采购人创建节约型能源公共机构等节能相关工作的申报，配合做好节能工作，及时制止浪费水电、浪费材料、跑冒滴漏等浪费资源的现象。限制人为浪费，及时关闭无人室间电器。中标人的环保节能工作开展情况将纳入合同期的服务质量考核。 </w:t>
            </w:r>
          </w:p>
          <w:p w14:paraId="28DB704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(18)医疗护理员不得在病房进行用餐，离开病房前须做好交接。其他时间（含午休时间）须在病房内，擅离职守、超出规定时间引起的一切责任由中标人负责。</w:t>
            </w:r>
          </w:p>
        </w:tc>
        <w:tc>
          <w:tcPr>
            <w:tcW w:w="1425" w:type="dxa"/>
          </w:tcPr>
          <w:p w14:paraId="1976FE37">
            <w:pPr>
              <w:pStyle w:val="21"/>
              <w:rPr>
                <w:rFonts w:ascii="宋体" w:hAnsi="宋体" w:eastAsia="宋体" w:cs="宋体"/>
                <w:lang w:eastAsia="zh-CN"/>
              </w:rPr>
            </w:pPr>
          </w:p>
        </w:tc>
        <w:tc>
          <w:tcPr>
            <w:tcW w:w="978" w:type="dxa"/>
          </w:tcPr>
          <w:p w14:paraId="23D2CAC8">
            <w:pPr>
              <w:pStyle w:val="21"/>
              <w:rPr>
                <w:rFonts w:ascii="宋体" w:hAnsi="宋体" w:eastAsia="宋体" w:cs="宋体"/>
                <w:lang w:eastAsia="zh-CN"/>
              </w:rPr>
            </w:pPr>
          </w:p>
        </w:tc>
        <w:tc>
          <w:tcPr>
            <w:tcW w:w="1065" w:type="dxa"/>
          </w:tcPr>
          <w:p w14:paraId="6941F157">
            <w:pPr>
              <w:pStyle w:val="21"/>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0"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547" w:type="dxa"/>
          </w:tcPr>
          <w:p w14:paraId="39DFE5F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采购人对中标人的管理要求</w:t>
            </w:r>
          </w:p>
          <w:p w14:paraId="6EEE39B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1.中标人员工在采购人单位工作期间，必须遵守国家法律和采购人单位的规章制度，切实履行相关的工作制度和职责。</w:t>
            </w:r>
          </w:p>
          <w:p w14:paraId="7D9BEF6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2.中标人负责对其员工进行上岗培训、安全生产教育及院感知识培训，提供的人员必须经过训练合格后才可以安排在采购人指定地点工作，对于国家规定的一些特殊工种，提供的人员需具有相应资格。</w:t>
            </w:r>
          </w:p>
          <w:p w14:paraId="4C33E23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中标人负责办理其员工的劳动用工手续、计划生育管理及工伤意外伤害事故、居住证等事宜及安排食宿。中标人的员工违反国家计划生育政策的一切后果由中标人承担，如发生劳动纠纷给采购人造成损失，中标人应予以赔偿。</w:t>
            </w:r>
          </w:p>
          <w:p w14:paraId="646821E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中标人应服从采购人的管理，采购人定期评估中标人及其员工的日常工作情况。中标人员在日常工作中应服从所在科室负责人具体工作安排，并遵守所在科室的规章制度。对违法、违纪、违规等的中标人员工，采购人有权提出处罚要求，包括但不限于经济处罚、终止其在医院的工作资格直至诉诸法律。</w:t>
            </w:r>
          </w:p>
          <w:p w14:paraId="7BBB009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5.中标人的服务及所使用的物品、用具、材料不得违反国家有关环卫、环保相关制度和管理规定，不得对采购人的环境造成二次污染；采购人有权对相关事宜进行检查和评估，有权拒绝使用不符合标准的材料。</w:t>
            </w:r>
          </w:p>
          <w:p w14:paraId="2D67D26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中标人应根据采购人的服务要求，制定并不断完善各项管理规章制度、人力资源管理方案、具体的日常岗位工作安排和应急管理方案以及员工管理制度和奖惩条例，并提交给采购人备案，采购人有权要求其修订相关制度并监督其执行。</w:t>
            </w:r>
          </w:p>
          <w:p w14:paraId="064C1F3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7.对一些重要岗位的管理、人员安排及相关制度，采购人有权直接参与管理和裁决。</w:t>
            </w:r>
          </w:p>
          <w:p w14:paraId="7DF5485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8.中标人员工的着装应按岗位分类不同而有所区别，同一类岗位的员工着装应一致。中标人员上岗工作期间应配带标有员工姓名和编号的胸卡，上岗期间应讲究文明礼貌，注意仪表仪容。为员工提供职业防护用品（如：口包、手套）等用物，不得擅自取用采购人用物。</w:t>
            </w:r>
          </w:p>
          <w:p w14:paraId="5780366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9.中标人及其员工在工作中发现各种问题和安全隐患，有责任向所在科室和采购人采购管理小组报告并提供合理化建议，以提高管理质量和效率。</w:t>
            </w:r>
          </w:p>
          <w:p w14:paraId="582D3C6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10.中标人应全面负责处理其服务范围内的各种冲突、纠纷，并承担由此引起的相应经济法律等责任。</w:t>
            </w:r>
          </w:p>
          <w:p w14:paraId="3319A4C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11.采购人发生突发、紧急、特殊的应急事件时或有特殊任务需紧急临时增加人员投入时，中标人及其员工应服从采购人管理部门的调遣和指挥，参与应急工作，费用不另外追加。</w:t>
            </w:r>
          </w:p>
          <w:p w14:paraId="1EB7356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12.采购人不向中标人提供员工宿舍。中标人办公区域的水电费及固话安装、使用费用由中标人承担；中标人及其员工不得在服务区使用本院设备、设施、物品和水电做个人私事。</w:t>
            </w:r>
          </w:p>
          <w:p w14:paraId="06DC42A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13.用工年龄按法定要求执行，身体健康（提供健康证等）。</w:t>
            </w:r>
          </w:p>
          <w:p w14:paraId="78F382A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14.实行全天候服务，保证随叫随到。根据任务量弹性排班，满足医疗护理要求。</w:t>
            </w:r>
          </w:p>
          <w:p w14:paraId="0B4CDB5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15.因中标人员工导致的他人损失等情况，由中标人承担责任。</w:t>
            </w:r>
          </w:p>
          <w:p w14:paraId="56C09CC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16.采购人管理小组有权查阅中标人的财务报表以了解公司财务状况。</w:t>
            </w:r>
          </w:p>
          <w:p w14:paraId="337B2A33">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17.中标人在项目服务期间的办公支出、运营费用（含办公室租金、电话费、水电费等）支出均由中标人支付，如有采购人代付的类项，中标人须每月3日前向采购人支付上月费用。</w:t>
            </w:r>
          </w:p>
        </w:tc>
        <w:tc>
          <w:tcPr>
            <w:tcW w:w="1425" w:type="dxa"/>
          </w:tcPr>
          <w:p w14:paraId="556D3F97">
            <w:pPr>
              <w:pStyle w:val="21"/>
              <w:rPr>
                <w:rFonts w:ascii="宋体" w:hAnsi="宋体" w:eastAsia="宋体" w:cs="宋体"/>
                <w:lang w:eastAsia="zh-CN"/>
              </w:rPr>
            </w:pPr>
          </w:p>
        </w:tc>
        <w:tc>
          <w:tcPr>
            <w:tcW w:w="978" w:type="dxa"/>
          </w:tcPr>
          <w:p w14:paraId="59D2077F">
            <w:pPr>
              <w:pStyle w:val="21"/>
              <w:rPr>
                <w:rFonts w:ascii="宋体" w:hAnsi="宋体" w:eastAsia="宋体" w:cs="宋体"/>
                <w:lang w:eastAsia="zh-CN"/>
              </w:rPr>
            </w:pPr>
          </w:p>
        </w:tc>
        <w:tc>
          <w:tcPr>
            <w:tcW w:w="1065" w:type="dxa"/>
          </w:tcPr>
          <w:p w14:paraId="788F44CC">
            <w:pPr>
              <w:pStyle w:val="21"/>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547" w:type="dxa"/>
          </w:tcPr>
          <w:p w14:paraId="0957BFB5">
            <w:pPr>
              <w:keepNext w:val="0"/>
              <w:keepLines w:val="0"/>
              <w:pageBreakBefore w:val="0"/>
              <w:tabs>
                <w:tab w:val="left" w:pos="0"/>
              </w:tabs>
              <w:kinsoku/>
              <w:wordWrap/>
              <w:overflowPunct/>
              <w:topLinePunct w:val="0"/>
              <w:autoSpaceDE w:val="0"/>
              <w:autoSpaceDN w:val="0"/>
              <w:bidi w:val="0"/>
              <w:adjustRightInd/>
              <w:spacing w:line="240" w:lineRule="atLeast"/>
              <w:jc w:val="left"/>
              <w:textAlignment w:val="auto"/>
              <w:rPr>
                <w:rFonts w:hint="eastAsia" w:ascii="宋体" w:hAnsi="宋体" w:eastAsia="宋体" w:cs="宋体"/>
                <w:bCs/>
                <w:kern w:val="0"/>
                <w:sz w:val="22"/>
                <w:szCs w:val="22"/>
                <w:lang w:eastAsia="zh-CN"/>
              </w:rPr>
            </w:pPr>
            <w:r>
              <w:rPr>
                <w:rFonts w:hint="eastAsia" w:ascii="宋体" w:hAnsi="宋体" w:eastAsia="宋体" w:cs="宋体"/>
                <w:bCs/>
                <w:kern w:val="0"/>
                <w:sz w:val="22"/>
                <w:szCs w:val="22"/>
              </w:rPr>
              <w:t>陪护服务收费指导价格</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109"/>
              <w:gridCol w:w="757"/>
              <w:gridCol w:w="2905"/>
            </w:tblGrid>
            <w:tr w14:paraId="11A71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27665538">
                  <w:pPr>
                    <w:keepNext w:val="0"/>
                    <w:keepLines w:val="0"/>
                    <w:pageBreakBefore w:val="0"/>
                    <w:kinsoku/>
                    <w:wordWrap/>
                    <w:overflowPunct/>
                    <w:topLinePunct w:val="0"/>
                    <w:autoSpaceDE w:val="0"/>
                    <w:autoSpaceDN w:val="0"/>
                    <w:bidi w:val="0"/>
                    <w:adjustRightInd/>
                    <w:snapToGrid w:val="0"/>
                    <w:spacing w:line="240" w:lineRule="atLeast"/>
                    <w:jc w:val="center"/>
                    <w:textAlignment w:val="auto"/>
                    <w:rPr>
                      <w:rFonts w:hint="eastAsia" w:ascii="宋体" w:hAnsi="宋体" w:eastAsia="宋体" w:cs="宋体"/>
                      <w:b/>
                      <w:kern w:val="0"/>
                      <w:sz w:val="22"/>
                      <w:szCs w:val="22"/>
                    </w:rPr>
                  </w:pPr>
                  <w:r>
                    <w:rPr>
                      <w:rFonts w:hint="eastAsia" w:ascii="宋体" w:hAnsi="宋体" w:eastAsia="宋体" w:cs="宋体"/>
                      <w:b/>
                      <w:bCs/>
                      <w:kern w:val="0"/>
                      <w:sz w:val="22"/>
                      <w:szCs w:val="22"/>
                    </w:rPr>
                    <w:t>服务形式</w:t>
                  </w:r>
                </w:p>
              </w:tc>
              <w:tc>
                <w:tcPr>
                  <w:tcW w:w="1023" w:type="pct"/>
                  <w:tcBorders>
                    <w:top w:val="single" w:color="auto" w:sz="4" w:space="0"/>
                    <w:left w:val="single" w:color="auto" w:sz="4" w:space="0"/>
                    <w:bottom w:val="single" w:color="auto" w:sz="4" w:space="0"/>
                    <w:right w:val="single" w:color="auto" w:sz="4" w:space="0"/>
                  </w:tcBorders>
                  <w:vAlign w:val="center"/>
                </w:tcPr>
                <w:p w14:paraId="60C0C731">
                  <w:pPr>
                    <w:keepNext w:val="0"/>
                    <w:keepLines w:val="0"/>
                    <w:pageBreakBefore w:val="0"/>
                    <w:kinsoku/>
                    <w:wordWrap/>
                    <w:overflowPunct/>
                    <w:topLinePunct w:val="0"/>
                    <w:autoSpaceDE w:val="0"/>
                    <w:autoSpaceDN w:val="0"/>
                    <w:bidi w:val="0"/>
                    <w:adjustRightInd/>
                    <w:snapToGrid w:val="0"/>
                    <w:spacing w:line="240" w:lineRule="atLeast"/>
                    <w:jc w:val="center"/>
                    <w:textAlignment w:val="auto"/>
                    <w:rPr>
                      <w:rFonts w:hint="eastAsia" w:ascii="宋体" w:hAnsi="宋体" w:eastAsia="宋体" w:cs="宋体"/>
                      <w:b/>
                      <w:kern w:val="0"/>
                      <w:sz w:val="22"/>
                      <w:szCs w:val="22"/>
                    </w:rPr>
                  </w:pPr>
                  <w:r>
                    <w:rPr>
                      <w:rFonts w:hint="eastAsia" w:ascii="宋体" w:hAnsi="宋体" w:eastAsia="宋体" w:cs="宋体"/>
                      <w:b/>
                      <w:bCs/>
                      <w:kern w:val="0"/>
                      <w:sz w:val="22"/>
                      <w:szCs w:val="22"/>
                    </w:rPr>
                    <w:t>收费标准</w:t>
                  </w:r>
                </w:p>
              </w:tc>
              <w:tc>
                <w:tcPr>
                  <w:tcW w:w="698" w:type="pct"/>
                  <w:tcBorders>
                    <w:top w:val="single" w:color="auto" w:sz="4" w:space="0"/>
                    <w:left w:val="single" w:color="auto" w:sz="4" w:space="0"/>
                    <w:bottom w:val="single" w:color="auto" w:sz="4" w:space="0"/>
                    <w:right w:val="single" w:color="auto" w:sz="4" w:space="0"/>
                  </w:tcBorders>
                  <w:vAlign w:val="center"/>
                </w:tcPr>
                <w:p w14:paraId="4917A27C">
                  <w:pPr>
                    <w:keepNext w:val="0"/>
                    <w:keepLines w:val="0"/>
                    <w:pageBreakBefore w:val="0"/>
                    <w:kinsoku/>
                    <w:wordWrap/>
                    <w:overflowPunct/>
                    <w:topLinePunct w:val="0"/>
                    <w:autoSpaceDE w:val="0"/>
                    <w:autoSpaceDN w:val="0"/>
                    <w:bidi w:val="0"/>
                    <w:adjustRightInd/>
                    <w:snapToGrid w:val="0"/>
                    <w:spacing w:line="240" w:lineRule="atLeast"/>
                    <w:ind w:left="-601" w:firstLine="525"/>
                    <w:jc w:val="center"/>
                    <w:textAlignment w:val="auto"/>
                    <w:rPr>
                      <w:rFonts w:hint="eastAsia" w:ascii="宋体" w:hAnsi="宋体" w:eastAsia="宋体" w:cs="宋体"/>
                      <w:b/>
                      <w:kern w:val="0"/>
                      <w:sz w:val="22"/>
                      <w:szCs w:val="22"/>
                    </w:rPr>
                  </w:pPr>
                  <w:r>
                    <w:rPr>
                      <w:rFonts w:hint="eastAsia" w:ascii="宋体" w:hAnsi="宋体" w:eastAsia="宋体" w:cs="宋体"/>
                      <w:b/>
                      <w:bCs/>
                      <w:kern w:val="0"/>
                      <w:sz w:val="22"/>
                      <w:szCs w:val="22"/>
                    </w:rPr>
                    <w:t>服务对象</w:t>
                  </w:r>
                </w:p>
              </w:tc>
              <w:tc>
                <w:tcPr>
                  <w:tcW w:w="2678" w:type="pct"/>
                  <w:tcBorders>
                    <w:top w:val="single" w:color="auto" w:sz="4" w:space="0"/>
                    <w:left w:val="single" w:color="auto" w:sz="4" w:space="0"/>
                    <w:bottom w:val="single" w:color="auto" w:sz="4" w:space="0"/>
                    <w:right w:val="single" w:color="auto" w:sz="4" w:space="0"/>
                  </w:tcBorders>
                  <w:vAlign w:val="center"/>
                </w:tcPr>
                <w:p w14:paraId="330D1788">
                  <w:pPr>
                    <w:keepNext w:val="0"/>
                    <w:keepLines w:val="0"/>
                    <w:pageBreakBefore w:val="0"/>
                    <w:kinsoku/>
                    <w:wordWrap/>
                    <w:overflowPunct/>
                    <w:topLinePunct w:val="0"/>
                    <w:autoSpaceDE w:val="0"/>
                    <w:autoSpaceDN w:val="0"/>
                    <w:bidi w:val="0"/>
                    <w:adjustRightInd/>
                    <w:snapToGrid w:val="0"/>
                    <w:spacing w:line="240" w:lineRule="atLeast"/>
                    <w:ind w:left="-601" w:firstLine="525"/>
                    <w:jc w:val="center"/>
                    <w:textAlignment w:val="auto"/>
                    <w:rPr>
                      <w:rFonts w:hint="eastAsia" w:ascii="宋体" w:hAnsi="宋体" w:eastAsia="宋体" w:cs="宋体"/>
                      <w:b/>
                      <w:kern w:val="0"/>
                      <w:sz w:val="22"/>
                      <w:szCs w:val="22"/>
                    </w:rPr>
                  </w:pPr>
                  <w:r>
                    <w:rPr>
                      <w:rFonts w:hint="eastAsia" w:ascii="宋体" w:hAnsi="宋体" w:eastAsia="宋体" w:cs="宋体"/>
                      <w:b/>
                      <w:bCs/>
                      <w:kern w:val="0"/>
                      <w:sz w:val="22"/>
                      <w:szCs w:val="22"/>
                    </w:rPr>
                    <w:t>服务内容</w:t>
                  </w:r>
                </w:p>
              </w:tc>
            </w:tr>
            <w:tr w14:paraId="57FA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nil"/>
                    <w:left w:val="single" w:color="auto" w:sz="4" w:space="0"/>
                    <w:bottom w:val="single" w:color="auto" w:sz="4" w:space="0"/>
                    <w:right w:val="single" w:color="auto" w:sz="4" w:space="0"/>
                  </w:tcBorders>
                  <w:vAlign w:val="center"/>
                </w:tcPr>
                <w:p w14:paraId="3C14D5FC">
                  <w:pPr>
                    <w:keepNext w:val="0"/>
                    <w:keepLines w:val="0"/>
                    <w:pageBreakBefore w:val="0"/>
                    <w:widowControl/>
                    <w:kinsoku/>
                    <w:wordWrap/>
                    <w:overflowPunct/>
                    <w:topLinePunct w:val="0"/>
                    <w:bidi w:val="0"/>
                    <w:adjustRightInd/>
                    <w:spacing w:line="240" w:lineRule="atLeast"/>
                    <w:jc w:val="center"/>
                    <w:textAlignment w:val="auto"/>
                    <w:rPr>
                      <w:rFonts w:hint="eastAsia" w:ascii="宋体" w:hAnsi="宋体" w:eastAsia="宋体" w:cs="宋体"/>
                      <w:b/>
                      <w:kern w:val="0"/>
                      <w:sz w:val="22"/>
                      <w:szCs w:val="22"/>
                      <w:lang w:eastAsia="zh-CN"/>
                    </w:rPr>
                  </w:pPr>
                  <w:r>
                    <w:rPr>
                      <w:rFonts w:hint="eastAsia" w:ascii="宋体" w:hAnsi="宋体" w:eastAsia="宋体" w:cs="宋体"/>
                      <w:b w:val="0"/>
                      <w:bCs/>
                      <w:kern w:val="0"/>
                      <w:sz w:val="22"/>
                      <w:szCs w:val="22"/>
                      <w:lang w:eastAsia="zh-CN"/>
                    </w:rPr>
                    <w:t>一对</w:t>
                  </w:r>
                  <w:r>
                    <w:rPr>
                      <w:rFonts w:hint="eastAsia" w:ascii="宋体" w:hAnsi="宋体" w:eastAsia="宋体" w:cs="宋体"/>
                      <w:b w:val="0"/>
                      <w:bCs/>
                      <w:kern w:val="0"/>
                      <w:sz w:val="22"/>
                      <w:szCs w:val="22"/>
                      <w:lang w:val="en-US" w:eastAsia="zh-CN"/>
                    </w:rPr>
                    <w:t>多</w:t>
                  </w:r>
                </w:p>
              </w:tc>
              <w:tc>
                <w:tcPr>
                  <w:tcW w:w="1023" w:type="pct"/>
                  <w:tcBorders>
                    <w:top w:val="single" w:color="auto" w:sz="4" w:space="0"/>
                    <w:left w:val="single" w:color="auto" w:sz="4" w:space="0"/>
                    <w:bottom w:val="single" w:color="auto" w:sz="4" w:space="0"/>
                    <w:right w:val="single" w:color="auto" w:sz="4" w:space="0"/>
                  </w:tcBorders>
                  <w:vAlign w:val="center"/>
                </w:tcPr>
                <w:p w14:paraId="2FF071E5">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一对四或五:100 元 / 人 / 天；</w:t>
                  </w:r>
                </w:p>
                <w:p w14:paraId="1A1AF0B3">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一对三:150 元 / 人 / 天；</w:t>
                  </w:r>
                </w:p>
                <w:p w14:paraId="2E8AE474">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 w:val="22"/>
                      <w:szCs w:val="22"/>
                      <w:highlight w:val="none"/>
                    </w:rPr>
                  </w:pPr>
                  <w:r>
                    <w:rPr>
                      <w:rFonts w:hint="eastAsia" w:ascii="宋体" w:hAnsi="宋体" w:eastAsia="宋体" w:cs="宋体"/>
                      <w:kern w:val="0"/>
                      <w:sz w:val="22"/>
                      <w:szCs w:val="22"/>
                      <w:highlight w:val="none"/>
                      <w:lang w:val="en-US" w:eastAsia="zh-CN"/>
                    </w:rPr>
                    <w:t>一对二:180 元 / 人 / 天</w:t>
                  </w:r>
                </w:p>
              </w:tc>
              <w:tc>
                <w:tcPr>
                  <w:tcW w:w="698" w:type="pct"/>
                  <w:tcBorders>
                    <w:top w:val="single" w:color="auto" w:sz="4" w:space="0"/>
                    <w:left w:val="single" w:color="auto" w:sz="4" w:space="0"/>
                    <w:bottom w:val="single" w:color="auto" w:sz="4" w:space="0"/>
                    <w:right w:val="single" w:color="auto" w:sz="4" w:space="0"/>
                  </w:tcBorders>
                  <w:vAlign w:val="center"/>
                </w:tcPr>
                <w:p w14:paraId="723C68AE">
                  <w:pPr>
                    <w:keepNext w:val="0"/>
                    <w:keepLines w:val="0"/>
                    <w:pageBreakBefore w:val="0"/>
                    <w:kinsoku/>
                    <w:wordWrap/>
                    <w:overflowPunct/>
                    <w:topLinePunct w:val="0"/>
                    <w:autoSpaceDE w:val="0"/>
                    <w:autoSpaceDN w:val="0"/>
                    <w:bidi w:val="0"/>
                    <w:adjustRightInd/>
                    <w:snapToGrid w:val="0"/>
                    <w:spacing w:line="240" w:lineRule="atLeast"/>
                    <w:jc w:val="center"/>
                    <w:textAlignment w:val="auto"/>
                    <w:rPr>
                      <w:rFonts w:hint="eastAsia" w:ascii="宋体" w:hAnsi="宋体" w:eastAsia="宋体" w:cs="宋体"/>
                      <w:b/>
                      <w:kern w:val="0"/>
                      <w:sz w:val="22"/>
                      <w:szCs w:val="22"/>
                    </w:rPr>
                  </w:pPr>
                  <w:r>
                    <w:rPr>
                      <w:rFonts w:hint="eastAsia" w:ascii="宋体" w:hAnsi="宋体" w:eastAsia="宋体" w:cs="宋体"/>
                      <w:kern w:val="0"/>
                      <w:sz w:val="22"/>
                      <w:szCs w:val="22"/>
                    </w:rPr>
                    <w:t>生活不能自理</w:t>
                  </w:r>
                </w:p>
              </w:tc>
              <w:tc>
                <w:tcPr>
                  <w:tcW w:w="2678" w:type="pct"/>
                  <w:vMerge w:val="restart"/>
                  <w:tcBorders>
                    <w:top w:val="single" w:color="auto" w:sz="4" w:space="0"/>
                    <w:left w:val="single" w:color="auto" w:sz="4" w:space="0"/>
                    <w:right w:val="single" w:color="auto" w:sz="4" w:space="0"/>
                  </w:tcBorders>
                  <w:vAlign w:val="center"/>
                </w:tcPr>
                <w:p w14:paraId="74F01174">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1.巡视病房，及时为患者解决生活照顾问题；</w:t>
                  </w:r>
                </w:p>
                <w:p w14:paraId="31D3A005">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2.保持患者床单元整洁干燥、无异味；</w:t>
                  </w:r>
                </w:p>
                <w:p w14:paraId="7E694241">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3.协助患者进食及服药，清洁餐具；</w:t>
                  </w:r>
                </w:p>
                <w:p w14:paraId="0ABD0DDB">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4.协助患者递送大小便器并及时倾倒、清洗；</w:t>
                  </w:r>
                </w:p>
                <w:p w14:paraId="1675A2C0">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5.协助观察输液的情况，发现患者情况异常及时向医护人员报告；</w:t>
                  </w:r>
                </w:p>
                <w:p w14:paraId="6288EB25">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6.协助护士为患者洗脸、漱口、梳头、更衣擦浴(或洗澡)、洗头、剪指(趾)甲、刮胡须等；</w:t>
                  </w:r>
                </w:p>
                <w:p w14:paraId="0F875212">
                  <w:pPr>
                    <w:keepNext w:val="0"/>
                    <w:keepLines w:val="0"/>
                    <w:pageBreakBefore w:val="0"/>
                    <w:widowControl/>
                    <w:kinsoku/>
                    <w:wordWrap/>
                    <w:overflowPunct/>
                    <w:topLinePunct w:val="0"/>
                    <w:autoSpaceDE w:val="0"/>
                    <w:autoSpaceDN w:val="0"/>
                    <w:bidi w:val="0"/>
                    <w:adjustRightInd/>
                    <w:spacing w:line="240" w:lineRule="atLeast"/>
                    <w:jc w:val="left"/>
                    <w:textAlignment w:val="auto"/>
                    <w:rPr>
                      <w:rFonts w:hint="eastAsia" w:ascii="宋体" w:hAnsi="宋体" w:eastAsia="宋体" w:cs="宋体"/>
                      <w:b/>
                      <w:kern w:val="0"/>
                      <w:sz w:val="22"/>
                      <w:szCs w:val="22"/>
                    </w:rPr>
                  </w:pPr>
                  <w:r>
                    <w:rPr>
                      <w:rFonts w:hint="eastAsia" w:ascii="宋体" w:hAnsi="宋体" w:eastAsia="宋体" w:cs="宋体"/>
                      <w:kern w:val="0"/>
                      <w:sz w:val="22"/>
                      <w:szCs w:val="22"/>
                    </w:rPr>
                    <w:t>7.在医务人员的指导下，为患者更换体位、活动肢体，或协助患者科内活动等。</w:t>
                  </w:r>
                </w:p>
              </w:tc>
            </w:tr>
            <w:tr w14:paraId="64934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2F33EDBB">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 w:val="22"/>
                      <w:szCs w:val="22"/>
                    </w:rPr>
                  </w:pPr>
                  <w:r>
                    <w:rPr>
                      <w:rFonts w:hint="eastAsia" w:ascii="宋体" w:hAnsi="宋体" w:eastAsia="宋体" w:cs="宋体"/>
                      <w:kern w:val="0"/>
                      <w:sz w:val="22"/>
                      <w:szCs w:val="22"/>
                    </w:rPr>
                    <w:t>一对一</w:t>
                  </w:r>
                </w:p>
              </w:tc>
              <w:tc>
                <w:tcPr>
                  <w:tcW w:w="1023" w:type="pct"/>
                  <w:tcBorders>
                    <w:top w:val="single" w:color="auto" w:sz="4" w:space="0"/>
                    <w:left w:val="single" w:color="auto" w:sz="4" w:space="0"/>
                    <w:bottom w:val="single" w:color="auto" w:sz="4" w:space="0"/>
                    <w:right w:val="single" w:color="auto" w:sz="4" w:space="0"/>
                  </w:tcBorders>
                  <w:vAlign w:val="center"/>
                </w:tcPr>
                <w:p w14:paraId="7E6BE22D">
                  <w:pPr>
                    <w:keepNext w:val="0"/>
                    <w:keepLines w:val="0"/>
                    <w:pageBreakBefore w:val="0"/>
                    <w:kinsoku/>
                    <w:wordWrap/>
                    <w:overflowPunct/>
                    <w:topLinePunct w:val="0"/>
                    <w:autoSpaceDE w:val="0"/>
                    <w:autoSpaceDN w:val="0"/>
                    <w:bidi w:val="0"/>
                    <w:adjustRightInd/>
                    <w:snapToGrid w:val="0"/>
                    <w:spacing w:line="240" w:lineRule="atLeast"/>
                    <w:ind w:left="-601" w:firstLine="525"/>
                    <w:jc w:val="center"/>
                    <w:textAlignment w:val="auto"/>
                    <w:rPr>
                      <w:rFonts w:hint="eastAsia" w:ascii="宋体" w:hAnsi="宋体" w:eastAsia="宋体" w:cs="宋体"/>
                      <w:b/>
                      <w:kern w:val="0"/>
                      <w:sz w:val="22"/>
                      <w:szCs w:val="22"/>
                      <w:highlight w:val="none"/>
                    </w:rPr>
                  </w:pPr>
                  <w:r>
                    <w:rPr>
                      <w:rFonts w:hint="eastAsia" w:ascii="宋体" w:hAnsi="宋体" w:eastAsia="宋体" w:cs="宋体"/>
                      <w:kern w:val="0"/>
                      <w:sz w:val="22"/>
                      <w:szCs w:val="22"/>
                      <w:highlight w:val="none"/>
                    </w:rPr>
                    <w:t>2</w:t>
                  </w:r>
                  <w:r>
                    <w:rPr>
                      <w:rFonts w:hint="eastAsia" w:ascii="宋体" w:hAnsi="宋体" w:eastAsia="宋体" w:cs="宋体"/>
                      <w:kern w:val="0"/>
                      <w:sz w:val="22"/>
                      <w:szCs w:val="22"/>
                      <w:highlight w:val="none"/>
                      <w:lang w:val="en-US" w:eastAsia="zh-CN"/>
                    </w:rPr>
                    <w:t>6</w:t>
                  </w:r>
                  <w:r>
                    <w:rPr>
                      <w:rFonts w:hint="eastAsia" w:ascii="宋体" w:hAnsi="宋体" w:eastAsia="宋体" w:cs="宋体"/>
                      <w:kern w:val="0"/>
                      <w:sz w:val="22"/>
                      <w:szCs w:val="22"/>
                      <w:highlight w:val="none"/>
                    </w:rPr>
                    <w:t>0元/人/天</w:t>
                  </w:r>
                </w:p>
              </w:tc>
              <w:tc>
                <w:tcPr>
                  <w:tcW w:w="698" w:type="pct"/>
                  <w:tcBorders>
                    <w:top w:val="single" w:color="auto" w:sz="4" w:space="0"/>
                    <w:left w:val="single" w:color="auto" w:sz="4" w:space="0"/>
                    <w:bottom w:val="single" w:color="auto" w:sz="4" w:space="0"/>
                    <w:right w:val="single" w:color="auto" w:sz="4" w:space="0"/>
                  </w:tcBorders>
                  <w:vAlign w:val="center"/>
                </w:tcPr>
                <w:p w14:paraId="2AD3C8DC">
                  <w:pPr>
                    <w:keepNext w:val="0"/>
                    <w:keepLines w:val="0"/>
                    <w:pageBreakBefore w:val="0"/>
                    <w:kinsoku/>
                    <w:wordWrap/>
                    <w:overflowPunct/>
                    <w:topLinePunct w:val="0"/>
                    <w:autoSpaceDE w:val="0"/>
                    <w:autoSpaceDN w:val="0"/>
                    <w:bidi w:val="0"/>
                    <w:adjustRightInd/>
                    <w:snapToGrid w:val="0"/>
                    <w:spacing w:line="240" w:lineRule="atLeast"/>
                    <w:jc w:val="center"/>
                    <w:textAlignment w:val="auto"/>
                    <w:rPr>
                      <w:rFonts w:hint="eastAsia" w:ascii="宋体" w:hAnsi="宋体" w:eastAsia="宋体" w:cs="宋体"/>
                      <w:b/>
                      <w:kern w:val="0"/>
                      <w:sz w:val="22"/>
                      <w:szCs w:val="22"/>
                    </w:rPr>
                  </w:pPr>
                  <w:r>
                    <w:rPr>
                      <w:rFonts w:hint="eastAsia" w:ascii="宋体" w:hAnsi="宋体" w:eastAsia="宋体" w:cs="宋体"/>
                      <w:kern w:val="0"/>
                      <w:sz w:val="22"/>
                      <w:szCs w:val="22"/>
                    </w:rPr>
                    <w:t>生活完全不能自理</w:t>
                  </w:r>
                </w:p>
              </w:tc>
              <w:tc>
                <w:tcPr>
                  <w:tcW w:w="2678" w:type="pct"/>
                  <w:vMerge w:val="continue"/>
                  <w:tcBorders>
                    <w:left w:val="single" w:color="auto" w:sz="4" w:space="0"/>
                    <w:right w:val="single" w:color="auto" w:sz="4" w:space="0"/>
                  </w:tcBorders>
                  <w:vAlign w:val="center"/>
                </w:tcPr>
                <w:p w14:paraId="541EF98E">
                  <w:pPr>
                    <w:keepNext w:val="0"/>
                    <w:keepLines w:val="0"/>
                    <w:pageBreakBefore w:val="0"/>
                    <w:widowControl/>
                    <w:kinsoku/>
                    <w:wordWrap/>
                    <w:overflowPunct/>
                    <w:topLinePunct w:val="0"/>
                    <w:autoSpaceDE w:val="0"/>
                    <w:autoSpaceDN w:val="0"/>
                    <w:bidi w:val="0"/>
                    <w:adjustRightInd/>
                    <w:spacing w:line="240" w:lineRule="atLeast"/>
                    <w:jc w:val="left"/>
                    <w:textAlignment w:val="auto"/>
                    <w:rPr>
                      <w:rFonts w:hint="eastAsia" w:ascii="宋体" w:hAnsi="宋体" w:eastAsia="宋体" w:cs="宋体"/>
                      <w:b/>
                      <w:kern w:val="0"/>
                      <w:sz w:val="22"/>
                      <w:szCs w:val="22"/>
                    </w:rPr>
                  </w:pPr>
                </w:p>
              </w:tc>
            </w:tr>
            <w:tr w14:paraId="2BEE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348D168B">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 w:val="22"/>
                      <w:szCs w:val="22"/>
                    </w:rPr>
                  </w:pPr>
                  <w:r>
                    <w:rPr>
                      <w:rFonts w:hint="eastAsia" w:ascii="宋体" w:hAnsi="宋体" w:eastAsia="宋体" w:cs="宋体"/>
                      <w:kern w:val="0"/>
                      <w:sz w:val="22"/>
                      <w:szCs w:val="22"/>
                    </w:rPr>
                    <w:t>特殊病人</w:t>
                  </w:r>
                </w:p>
              </w:tc>
              <w:tc>
                <w:tcPr>
                  <w:tcW w:w="1023" w:type="pct"/>
                  <w:tcBorders>
                    <w:top w:val="single" w:color="auto" w:sz="4" w:space="0"/>
                    <w:left w:val="single" w:color="auto" w:sz="4" w:space="0"/>
                    <w:bottom w:val="single" w:color="auto" w:sz="4" w:space="0"/>
                    <w:right w:val="single" w:color="auto" w:sz="4" w:space="0"/>
                  </w:tcBorders>
                  <w:vAlign w:val="center"/>
                </w:tcPr>
                <w:p w14:paraId="72FC210C">
                  <w:pPr>
                    <w:keepNext w:val="0"/>
                    <w:keepLines w:val="0"/>
                    <w:pageBreakBefore w:val="0"/>
                    <w:kinsoku/>
                    <w:wordWrap/>
                    <w:overflowPunct/>
                    <w:topLinePunct w:val="0"/>
                    <w:autoSpaceDE w:val="0"/>
                    <w:autoSpaceDN w:val="0"/>
                    <w:bidi w:val="0"/>
                    <w:adjustRightInd/>
                    <w:snapToGrid w:val="0"/>
                    <w:spacing w:line="240" w:lineRule="atLeast"/>
                    <w:ind w:left="-601" w:firstLine="525"/>
                    <w:jc w:val="center"/>
                    <w:textAlignment w:val="auto"/>
                    <w:rPr>
                      <w:rFonts w:hint="eastAsia" w:ascii="宋体" w:hAnsi="宋体" w:eastAsia="宋体" w:cs="宋体"/>
                      <w:b/>
                      <w:kern w:val="0"/>
                      <w:sz w:val="22"/>
                      <w:szCs w:val="22"/>
                    </w:rPr>
                  </w:pPr>
                  <w:r>
                    <w:rPr>
                      <w:rFonts w:hint="eastAsia" w:ascii="宋体" w:hAnsi="宋体" w:eastAsia="宋体" w:cs="宋体"/>
                      <w:kern w:val="0"/>
                      <w:sz w:val="22"/>
                      <w:szCs w:val="22"/>
                      <w:highlight w:val="none"/>
                      <w:lang w:val="en-US" w:eastAsia="zh-CN"/>
                    </w:rPr>
                    <w:t>280</w:t>
                  </w:r>
                  <w:r>
                    <w:rPr>
                      <w:rFonts w:hint="eastAsia" w:ascii="宋体" w:hAnsi="宋体" w:eastAsia="宋体" w:cs="宋体"/>
                      <w:kern w:val="0"/>
                      <w:sz w:val="22"/>
                      <w:szCs w:val="22"/>
                      <w:highlight w:val="none"/>
                    </w:rPr>
                    <w:t>元/人/天</w:t>
                  </w:r>
                </w:p>
              </w:tc>
              <w:tc>
                <w:tcPr>
                  <w:tcW w:w="698" w:type="pct"/>
                  <w:tcBorders>
                    <w:top w:val="single" w:color="auto" w:sz="4" w:space="0"/>
                    <w:left w:val="single" w:color="auto" w:sz="4" w:space="0"/>
                    <w:bottom w:val="single" w:color="auto" w:sz="4" w:space="0"/>
                    <w:right w:val="single" w:color="auto" w:sz="4" w:space="0"/>
                  </w:tcBorders>
                  <w:vAlign w:val="center"/>
                </w:tcPr>
                <w:p w14:paraId="1281EAA4">
                  <w:pPr>
                    <w:keepNext w:val="0"/>
                    <w:keepLines w:val="0"/>
                    <w:pageBreakBefore w:val="0"/>
                    <w:kinsoku/>
                    <w:wordWrap/>
                    <w:overflowPunct/>
                    <w:topLinePunct w:val="0"/>
                    <w:autoSpaceDE w:val="0"/>
                    <w:autoSpaceDN w:val="0"/>
                    <w:bidi w:val="0"/>
                    <w:adjustRightInd/>
                    <w:snapToGrid w:val="0"/>
                    <w:spacing w:line="240" w:lineRule="atLeast"/>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传染</w:t>
                  </w:r>
                </w:p>
                <w:p w14:paraId="0E54E359">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 w:val="22"/>
                      <w:szCs w:val="22"/>
                    </w:rPr>
                  </w:pPr>
                  <w:r>
                    <w:rPr>
                      <w:rFonts w:hint="eastAsia" w:ascii="宋体" w:hAnsi="宋体" w:eastAsia="宋体" w:cs="宋体"/>
                      <w:kern w:val="0"/>
                      <w:sz w:val="22"/>
                      <w:szCs w:val="22"/>
                    </w:rPr>
                    <w:t>病人</w:t>
                  </w:r>
                </w:p>
              </w:tc>
              <w:tc>
                <w:tcPr>
                  <w:tcW w:w="2678" w:type="pct"/>
                  <w:vMerge w:val="continue"/>
                  <w:tcBorders>
                    <w:left w:val="single" w:color="auto" w:sz="4" w:space="0"/>
                    <w:bottom w:val="single" w:color="auto" w:sz="4" w:space="0"/>
                    <w:right w:val="single" w:color="auto" w:sz="4" w:space="0"/>
                  </w:tcBorders>
                  <w:vAlign w:val="center"/>
                </w:tcPr>
                <w:p w14:paraId="24AF15D5">
                  <w:pPr>
                    <w:keepNext w:val="0"/>
                    <w:keepLines w:val="0"/>
                    <w:pageBreakBefore w:val="0"/>
                    <w:widowControl/>
                    <w:kinsoku/>
                    <w:wordWrap/>
                    <w:overflowPunct/>
                    <w:topLinePunct w:val="0"/>
                    <w:autoSpaceDE w:val="0"/>
                    <w:autoSpaceDN w:val="0"/>
                    <w:bidi w:val="0"/>
                    <w:adjustRightInd/>
                    <w:spacing w:line="240" w:lineRule="atLeast"/>
                    <w:jc w:val="left"/>
                    <w:textAlignment w:val="auto"/>
                    <w:rPr>
                      <w:rFonts w:hint="eastAsia" w:ascii="宋体" w:hAnsi="宋体" w:eastAsia="宋体" w:cs="宋体"/>
                      <w:b/>
                      <w:kern w:val="0"/>
                      <w:sz w:val="22"/>
                      <w:szCs w:val="22"/>
                    </w:rPr>
                  </w:pPr>
                </w:p>
              </w:tc>
            </w:tr>
            <w:tr w14:paraId="2A55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99" w:type="pct"/>
                  <w:tcBorders>
                    <w:top w:val="single" w:color="auto" w:sz="4" w:space="0"/>
                    <w:left w:val="single" w:color="auto" w:sz="4" w:space="0"/>
                    <w:bottom w:val="single" w:color="auto" w:sz="4" w:space="0"/>
                    <w:right w:val="single" w:color="auto" w:sz="4" w:space="0"/>
                  </w:tcBorders>
                  <w:vAlign w:val="center"/>
                </w:tcPr>
                <w:p w14:paraId="26DB5225">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 w:val="22"/>
                      <w:szCs w:val="22"/>
                    </w:rPr>
                  </w:pPr>
                  <w:r>
                    <w:rPr>
                      <w:rFonts w:hint="eastAsia" w:ascii="宋体" w:hAnsi="宋体" w:eastAsia="宋体" w:cs="宋体"/>
                      <w:kern w:val="0"/>
                      <w:sz w:val="22"/>
                      <w:szCs w:val="22"/>
                    </w:rPr>
                    <w:t>租床服务</w:t>
                  </w:r>
                </w:p>
              </w:tc>
              <w:tc>
                <w:tcPr>
                  <w:tcW w:w="1023" w:type="pct"/>
                  <w:tcBorders>
                    <w:top w:val="single" w:color="auto" w:sz="4" w:space="0"/>
                    <w:left w:val="single" w:color="auto" w:sz="4" w:space="0"/>
                    <w:bottom w:val="single" w:color="auto" w:sz="4" w:space="0"/>
                    <w:right w:val="single" w:color="auto" w:sz="4" w:space="0"/>
                  </w:tcBorders>
                  <w:vAlign w:val="center"/>
                </w:tcPr>
                <w:p w14:paraId="3D8E5CDA">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 w:val="22"/>
                      <w:szCs w:val="22"/>
                    </w:rPr>
                  </w:pPr>
                  <w:r>
                    <w:rPr>
                      <w:rFonts w:hint="eastAsia" w:ascii="宋体" w:hAnsi="宋体" w:eastAsia="宋体" w:cs="宋体"/>
                      <w:kern w:val="0"/>
                      <w:sz w:val="22"/>
                      <w:szCs w:val="22"/>
                      <w:highlight w:val="none"/>
                    </w:rPr>
                    <w:t>10</w:t>
                  </w:r>
                  <w:r>
                    <w:rPr>
                      <w:rFonts w:hint="eastAsia" w:ascii="宋体" w:hAnsi="宋体" w:eastAsia="宋体" w:cs="宋体"/>
                      <w:kern w:val="0"/>
                      <w:sz w:val="22"/>
                      <w:szCs w:val="22"/>
                      <w:highlight w:val="none"/>
                      <w:lang w:eastAsia="zh-CN"/>
                    </w:rPr>
                    <w:t>元</w:t>
                  </w:r>
                  <w:r>
                    <w:rPr>
                      <w:rFonts w:hint="eastAsia" w:ascii="宋体" w:hAnsi="宋体" w:eastAsia="宋体" w:cs="宋体"/>
                      <w:kern w:val="0"/>
                      <w:sz w:val="22"/>
                      <w:szCs w:val="22"/>
                      <w:highlight w:val="none"/>
                    </w:rPr>
                    <w:t>/张/天</w:t>
                  </w:r>
                </w:p>
              </w:tc>
              <w:tc>
                <w:tcPr>
                  <w:tcW w:w="698" w:type="pct"/>
                  <w:tcBorders>
                    <w:top w:val="single" w:color="auto" w:sz="4" w:space="0"/>
                    <w:left w:val="single" w:color="auto" w:sz="4" w:space="0"/>
                    <w:bottom w:val="single" w:color="auto" w:sz="4" w:space="0"/>
                    <w:right w:val="single" w:color="auto" w:sz="4" w:space="0"/>
                  </w:tcBorders>
                  <w:vAlign w:val="center"/>
                </w:tcPr>
                <w:p w14:paraId="178D09CC">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患者家属陪护使用</w:t>
                  </w:r>
                </w:p>
              </w:tc>
              <w:tc>
                <w:tcPr>
                  <w:tcW w:w="2678" w:type="pct"/>
                  <w:tcBorders>
                    <w:top w:val="single" w:color="auto" w:sz="4" w:space="0"/>
                    <w:left w:val="single" w:color="auto" w:sz="4" w:space="0"/>
                    <w:bottom w:val="single" w:color="auto" w:sz="4" w:space="0"/>
                    <w:right w:val="single" w:color="auto" w:sz="4" w:space="0"/>
                  </w:tcBorders>
                  <w:vAlign w:val="center"/>
                </w:tcPr>
                <w:p w14:paraId="395720A4">
                  <w:pPr>
                    <w:keepNext w:val="0"/>
                    <w:keepLines w:val="0"/>
                    <w:pageBreakBefore w:val="0"/>
                    <w:widowControl/>
                    <w:kinsoku/>
                    <w:wordWrap/>
                    <w:overflowPunct/>
                    <w:topLinePunct w:val="0"/>
                    <w:autoSpaceDE w:val="0"/>
                    <w:autoSpaceDN w:val="0"/>
                    <w:bidi w:val="0"/>
                    <w:adjustRightInd/>
                    <w:spacing w:line="240" w:lineRule="atLeast"/>
                    <w:jc w:val="left"/>
                    <w:textAlignment w:val="auto"/>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提供陪护床租赁使用</w:t>
                  </w:r>
                </w:p>
              </w:tc>
            </w:tr>
            <w:tr w14:paraId="1084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5F9943AB">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特别说明</w:t>
                  </w:r>
                </w:p>
              </w:tc>
              <w:tc>
                <w:tcPr>
                  <w:tcW w:w="4400" w:type="pct"/>
                  <w:gridSpan w:val="3"/>
                  <w:tcBorders>
                    <w:top w:val="single" w:color="auto" w:sz="4" w:space="0"/>
                    <w:left w:val="single" w:color="auto" w:sz="4" w:space="0"/>
                    <w:bottom w:val="single" w:color="auto" w:sz="4" w:space="0"/>
                    <w:right w:val="single" w:color="auto" w:sz="4" w:space="0"/>
                  </w:tcBorders>
                  <w:vAlign w:val="center"/>
                </w:tcPr>
                <w:p w14:paraId="30639EC2">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1.本次价格制定是在充分的市场调研基础上形成的，国家法定节假日（春节期间）服务价格在原收费标准上：一对一在原收费的标准上加收 200 元 / 天，一对多在原基础收费的标准上加收 100 元 / 天，该加价部分中标人不得截留、克扣，应足额发放给当班护理人员；</w:t>
                  </w:r>
                </w:p>
                <w:p w14:paraId="635C71E3">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bCs/>
                      <w:kern w:val="0"/>
                      <w:sz w:val="22"/>
                      <w:szCs w:val="22"/>
                    </w:rPr>
                  </w:pPr>
                  <w:r>
                    <w:rPr>
                      <w:rFonts w:hint="eastAsia" w:ascii="宋体" w:hAnsi="宋体" w:eastAsia="宋体" w:cs="宋体"/>
                      <w:kern w:val="0"/>
                      <w:sz w:val="22"/>
                      <w:szCs w:val="22"/>
                    </w:rPr>
                    <w:t>2.服务时间不足 24 小时：一对多≤12 小时按半天计算（11 点前）、大于 12 小时按全天计算（11 点后）；一对一按实际上岗服务时间计算费用；对病人或家属收费必须以自愿为原则，无论收费多少，中标人应当向患方出具正式税务发票作为合法收费依据</w:t>
                  </w:r>
                  <w:r>
                    <w:rPr>
                      <w:rFonts w:hint="eastAsia" w:ascii="宋体" w:hAnsi="宋体" w:eastAsia="宋体" w:cs="宋体"/>
                      <w:bCs/>
                      <w:kern w:val="0"/>
                      <w:sz w:val="22"/>
                      <w:szCs w:val="22"/>
                    </w:rPr>
                    <w:t>；</w:t>
                  </w:r>
                </w:p>
                <w:p w14:paraId="69B2C121">
                  <w:pPr>
                    <w:keepNext w:val="0"/>
                    <w:keepLines w:val="0"/>
                    <w:pageBreakBefore w:val="0"/>
                    <w:widowControl/>
                    <w:kinsoku/>
                    <w:wordWrap/>
                    <w:overflowPunct/>
                    <w:topLinePunct w:val="0"/>
                    <w:autoSpaceDE w:val="0"/>
                    <w:autoSpaceDN w:val="0"/>
                    <w:bidi w:val="0"/>
                    <w:adjustRightInd/>
                    <w:spacing w:line="240" w:lineRule="atLeast"/>
                    <w:jc w:val="left"/>
                    <w:textAlignment w:val="auto"/>
                    <w:rPr>
                      <w:rFonts w:hint="eastAsia" w:ascii="宋体" w:hAnsi="宋体" w:eastAsia="宋体" w:cs="宋体"/>
                      <w:kern w:val="0"/>
                      <w:sz w:val="22"/>
                      <w:szCs w:val="22"/>
                    </w:rPr>
                  </w:pPr>
                  <w:r>
                    <w:rPr>
                      <w:rFonts w:hint="eastAsia" w:ascii="宋体" w:hAnsi="宋体" w:eastAsia="宋体" w:cs="宋体"/>
                      <w:bCs/>
                      <w:kern w:val="0"/>
                      <w:sz w:val="22"/>
                      <w:szCs w:val="22"/>
                    </w:rPr>
                    <w:t>3.一对一陪护员每天有2.5小时吃饭时间；</w:t>
                  </w:r>
                </w:p>
              </w:tc>
            </w:tr>
          </w:tbl>
          <w:p w14:paraId="34B3F748">
            <w:pPr>
              <w:widowControl/>
              <w:autoSpaceDE w:val="0"/>
              <w:autoSpaceDN w:val="0"/>
              <w:adjustRightInd w:val="0"/>
              <w:spacing w:line="560" w:lineRule="exact"/>
              <w:jc w:val="left"/>
              <w:textAlignment w:val="baseline"/>
              <w:rPr>
                <w:rFonts w:hint="eastAsia" w:ascii="宋体" w:hAnsi="宋体" w:eastAsia="宋体" w:cs="宋体"/>
                <w:kern w:val="0"/>
                <w:sz w:val="28"/>
                <w:szCs w:val="28"/>
              </w:rPr>
            </w:pPr>
            <w:r>
              <w:rPr>
                <w:rFonts w:hint="eastAsia" w:ascii="宋体" w:hAnsi="宋体" w:eastAsia="宋体" w:cs="宋体"/>
                <w:b/>
                <w:bCs/>
                <w:kern w:val="0"/>
                <w:sz w:val="22"/>
                <w:szCs w:val="22"/>
                <w:highlight w:val="none"/>
              </w:rPr>
              <w:t>★</w:t>
            </w:r>
            <w:r>
              <w:rPr>
                <w:rFonts w:hint="eastAsia" w:ascii="宋体" w:hAnsi="宋体" w:eastAsia="宋体" w:cs="宋体"/>
                <w:kern w:val="0"/>
                <w:sz w:val="22"/>
                <w:szCs w:val="22"/>
                <w:highlight w:val="none"/>
              </w:rPr>
              <w:t>注</w:t>
            </w:r>
            <w:r>
              <w:rPr>
                <w:rFonts w:hint="eastAsia" w:ascii="宋体" w:hAnsi="宋体" w:eastAsia="宋体" w:cs="宋体"/>
                <w:kern w:val="0"/>
                <w:sz w:val="22"/>
                <w:szCs w:val="22"/>
              </w:rPr>
              <w:t>：中标人中标后的服务收费标准不能超出以上指导价。</w:t>
            </w:r>
          </w:p>
          <w:p w14:paraId="0AD1872D">
            <w:pPr>
              <w:widowControl w:val="0"/>
              <w:spacing w:line="240" w:lineRule="exact"/>
              <w:rPr>
                <w:rFonts w:ascii="宋体" w:hAnsi="宋体" w:eastAsia="宋体" w:cs="宋体"/>
                <w:color w:val="auto"/>
                <w:sz w:val="20"/>
                <w:szCs w:val="20"/>
                <w:shd w:val="clear" w:color="auto" w:fill="FFFFFF"/>
                <w:lang w:eastAsia="zh-CN" w:bidi="ar"/>
              </w:rPr>
            </w:pPr>
          </w:p>
        </w:tc>
        <w:tc>
          <w:tcPr>
            <w:tcW w:w="1425" w:type="dxa"/>
          </w:tcPr>
          <w:p w14:paraId="309C6D61">
            <w:pPr>
              <w:pStyle w:val="21"/>
              <w:rPr>
                <w:rFonts w:ascii="宋体" w:hAnsi="宋体" w:eastAsia="宋体" w:cs="宋体"/>
                <w:lang w:eastAsia="zh-CN"/>
              </w:rPr>
            </w:pPr>
          </w:p>
        </w:tc>
        <w:tc>
          <w:tcPr>
            <w:tcW w:w="978" w:type="dxa"/>
          </w:tcPr>
          <w:p w14:paraId="3DA9A9F7">
            <w:pPr>
              <w:pStyle w:val="21"/>
              <w:rPr>
                <w:rFonts w:ascii="宋体" w:hAnsi="宋体" w:eastAsia="宋体" w:cs="宋体"/>
                <w:lang w:eastAsia="zh-CN"/>
              </w:rPr>
            </w:pPr>
          </w:p>
        </w:tc>
        <w:tc>
          <w:tcPr>
            <w:tcW w:w="1065" w:type="dxa"/>
          </w:tcPr>
          <w:p w14:paraId="3217B854">
            <w:pPr>
              <w:pStyle w:val="21"/>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547" w:type="dxa"/>
          </w:tcPr>
          <w:p w14:paraId="50CF00E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其他要求</w:t>
            </w:r>
          </w:p>
          <w:p w14:paraId="7059748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1.中标人管理人员及员工必须遵守采购人的规章制度，认同医院的文化，服从采购人监管部门的管理。严格按照制定的工作内容及要求，为患者与临床一线提供良好的服务。</w:t>
            </w:r>
          </w:p>
          <w:p w14:paraId="19E9725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2.中标人派驻的项目经理与投标文件所提供的相符，且不得同时兼任其他项目的管理人员。</w:t>
            </w:r>
          </w:p>
          <w:p w14:paraId="4AD7C95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中标人必须有足够的人力资源调配能力，以满足采购人的服务需求。在本项目服务期间采购人有权按实际需求要求中标人增减聘用人数。合同生效日起1个月内必须满足采购人招标岗位需求的90%，2个月内必须达到采购人招标岗位需求的100%。人员配置调整时，需征得采购人书面同意。医疗护理人数以病人实际需要为依据，在任何情况下，采购人不保证中标人在服务周期内所获取的业务量与业务收入。</w:t>
            </w:r>
          </w:p>
          <w:p w14:paraId="792FB78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中标人在同等条件下可聘用原公司愿意留下继续服务的员工。待项目顺利交接后视科室情况及时与采购人协商适当增、减服务人员，和逐步撤换不符合要求的人员。根据采购人的运行情况弹性安排适宜的上班时间，以满足采购人各科室的医疗护理需求。</w:t>
            </w:r>
          </w:p>
          <w:p w14:paraId="0C99AC4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中标人根据采购人实际需求，至少每月一次组织医疗护理人员进行岗位技能培训，每半年至少聘请1次专业人员培训，培训及签名资料交采购人存档，有培训方案及计划资料可查，培训费用由中标人负责。培训内容应分为通用培训及专业培训，专科培训应根据科室实际需要提供。</w:t>
            </w:r>
          </w:p>
          <w:p w14:paraId="1CFB773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6.中标人对所有新上岗员工进行不少于一周的系统培训，有相应的考核方案，考核合格后方可上岗工作。</w:t>
            </w:r>
          </w:p>
          <w:p w14:paraId="59AD47B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中标人应根据有关法律、法规及采购人的服务需求，结合采购人医疗护理的情况，制定并不断完善各项管理办法、规章制度、服务标准、考核奖惩办法、具体日常岗位工作安排、应急管理方案及问题处理时限等，并提交给采购人审核备案，采购人有权要求其修订相关制度并监督其执行。</w:t>
            </w:r>
          </w:p>
          <w:p w14:paraId="609074E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8.中标人工作人员因服务不到位、工作能力或管理质量达不到采购人要求，导致其受到患者、患者家属或采购人有效投诉的，采购人有权随时要求撤换医疗护理/管理人员，中标人必须无条件接受。凡是采购人提出解聘的员工，不得再安排在采购人处工作。</w:t>
            </w:r>
          </w:p>
          <w:p w14:paraId="2FC9FD4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9.中标人管理人员须每天检查员工的服务质量（包括夜间的不定时抽查），定期征询采购人意见，及时商讨和解决存在的问题。</w:t>
            </w:r>
          </w:p>
          <w:p w14:paraId="29E9D13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10.中标人员工不得在采购人的场所内从事与承包工作无关的事情。不得在工作时间、工作区域抽烟。</w:t>
            </w:r>
          </w:p>
          <w:p w14:paraId="3F61D47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11.中标人员工协助采购人做好控烟工作，发现非吸烟区有人吸烟时引导至吸烟区。</w:t>
            </w:r>
          </w:p>
        </w:tc>
        <w:tc>
          <w:tcPr>
            <w:tcW w:w="1425" w:type="dxa"/>
          </w:tcPr>
          <w:p w14:paraId="63477C59">
            <w:pPr>
              <w:pStyle w:val="21"/>
              <w:rPr>
                <w:rFonts w:ascii="宋体" w:hAnsi="宋体" w:eastAsia="宋体" w:cs="宋体"/>
                <w:lang w:eastAsia="zh-CN"/>
              </w:rPr>
            </w:pPr>
          </w:p>
        </w:tc>
        <w:tc>
          <w:tcPr>
            <w:tcW w:w="978" w:type="dxa"/>
          </w:tcPr>
          <w:p w14:paraId="17855BC8">
            <w:pPr>
              <w:pStyle w:val="21"/>
              <w:rPr>
                <w:rFonts w:ascii="宋体" w:hAnsi="宋体" w:eastAsia="宋体" w:cs="宋体"/>
                <w:lang w:eastAsia="zh-CN"/>
              </w:rPr>
            </w:pPr>
          </w:p>
        </w:tc>
        <w:tc>
          <w:tcPr>
            <w:tcW w:w="1065" w:type="dxa"/>
          </w:tcPr>
          <w:p w14:paraId="6A11C7ED">
            <w:pPr>
              <w:pStyle w:val="21"/>
              <w:rPr>
                <w:rFonts w:ascii="宋体" w:hAnsi="宋体" w:eastAsia="宋体" w:cs="宋体"/>
                <w:lang w:eastAsia="zh-CN"/>
              </w:rPr>
            </w:pPr>
          </w:p>
        </w:tc>
      </w:tr>
      <w:tr w14:paraId="5D2F7E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57C7813B">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547" w:type="dxa"/>
          </w:tcPr>
          <w:p w14:paraId="6DD9EF1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中标人服务质量考核要求</w:t>
            </w:r>
          </w:p>
          <w:p w14:paraId="76984F4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1.考核内容及标准（适用于试用期过后的服务人员）：</w:t>
            </w:r>
          </w:p>
          <w:p w14:paraId="5A08B96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每月由采购人采购管理部门护理部患者服务中心、总务科、院感科对各科室陪护服务情况进行质控考核，考核总分为100分，其中护理部占35%（护理质量、技能操作、人员管理）、患者服务中心占35%（患者满意度、沟通、投诉）、总务科占20%（科室满意度、应急流程管理）、院感科10%（感染防控）。医疗护理人员考核得分=患者服务中心×35%+护理部质控考核得分×35%+总务科考核得分×20%+院感科考核得分×10%。采购人有权根据实际情况调整考核方案。</w:t>
            </w:r>
          </w:p>
          <w:p w14:paraId="78F463F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在服务期前 12 个月，中标人如累计 4 次出现满意度得分低于 80 分的情况，采购人有权终止合同；每次考核完成后，采购人将书面告知中标人考核结果，中标人可在收到考核结果 5 个工作日内提交异议申请及佐证材料，采购人组织复核，复核结果为最终考核结论。如终止合同，中标人必须在一个月内无条件退场，且采购人无须对中标人作任何赔偿。具体退场时间以采购人书面通知为准，中标人须配合做好交接工作。</w:t>
            </w:r>
          </w:p>
          <w:p w14:paraId="4C93E2D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服务期的第 13 个月到第 36 个月，每 12 个月为一个周期，在这两个周期每个周期内，中标人每出现一次满意度得分低于 80 分的情况，扣除履约保证金的 5%。每次考核完成后，采购人将书面告知中标人考核结果，中标人可在收到考核结果 5 个工作日内提交异议申请及佐证材料，采购人组织复核，复核结果为最终考核结论。如同一周期内累计 3 次出现满意度得分低于 80 分的情况，采购人有权终止合同。如终止合同，中标人必须在一个月内无条件退场，且采购人无须对中标人作任何赔偿。具体退场时间以采购人书面通知为准，中标人须配合做好交接工作。</w:t>
            </w:r>
          </w:p>
        </w:tc>
        <w:tc>
          <w:tcPr>
            <w:tcW w:w="1425" w:type="dxa"/>
          </w:tcPr>
          <w:p w14:paraId="137BF76A">
            <w:pPr>
              <w:pStyle w:val="21"/>
              <w:rPr>
                <w:rFonts w:ascii="宋体" w:hAnsi="宋体" w:eastAsia="宋体" w:cs="宋体"/>
                <w:lang w:eastAsia="zh-CN"/>
              </w:rPr>
            </w:pPr>
          </w:p>
        </w:tc>
        <w:tc>
          <w:tcPr>
            <w:tcW w:w="978" w:type="dxa"/>
          </w:tcPr>
          <w:p w14:paraId="0DF85EC7">
            <w:pPr>
              <w:pStyle w:val="21"/>
              <w:rPr>
                <w:rFonts w:ascii="宋体" w:hAnsi="宋体" w:eastAsia="宋体" w:cs="宋体"/>
                <w:lang w:eastAsia="zh-CN"/>
              </w:rPr>
            </w:pPr>
          </w:p>
        </w:tc>
        <w:tc>
          <w:tcPr>
            <w:tcW w:w="1065" w:type="dxa"/>
          </w:tcPr>
          <w:p w14:paraId="752AC5EF">
            <w:pPr>
              <w:pStyle w:val="21"/>
              <w:rPr>
                <w:rFonts w:ascii="宋体" w:hAnsi="宋体" w:eastAsia="宋体" w:cs="宋体"/>
                <w:lang w:eastAsia="zh-CN"/>
              </w:rPr>
            </w:pPr>
          </w:p>
        </w:tc>
      </w:tr>
      <w:tr w14:paraId="745596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0FC05944">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547" w:type="dxa"/>
          </w:tcPr>
          <w:p w14:paraId="38D51FD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▲2.奖罚说明</w:t>
            </w:r>
          </w:p>
          <w:p w14:paraId="79F5F02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2.1未满合同经营权限，中标人自行终止执行合同，除扣除全部履约保证金作为违约金外；若履约保证金不足以弥补采购人实际损失，中标人还应当对不足部分继续予以赔偿。</w:t>
            </w:r>
          </w:p>
          <w:p w14:paraId="48C237F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2.2在合同履行期间，中标人将此项目转包或分包给其他单位、组织或个人的，除扣除全部履约保证金作为违约金外；若履约保证金不足以弥补采购人实际损失，中标人还应当对不足部分继续予以赔偿。</w:t>
            </w:r>
          </w:p>
          <w:p w14:paraId="1777698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2.3中标人未按服务项目要求完成整改或整改不彻底，经采购人两次书面要求，中标人在规定时间内仍未完成整改，采购人有权终止本合同。由此造成的一切后果由中标人承担。</w:t>
            </w:r>
          </w:p>
          <w:p w14:paraId="12D0F39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2.4因中标人引起的不良事故等，中标人除赔偿当事人相关费用及承担相关法律责任外，中标人同时提交书面整改方案并落实，采购人根据具体情况，在中标人履约保证金中扣除5%～10%。</w:t>
            </w:r>
          </w:p>
          <w:p w14:paraId="1791156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2.5中标人应管理好所属员工，遵守国家有关法律法规和采购人的规章制度，所属员工发生的一切投诉、纠纷和法律事件，一概由中标人承担。若因中标人管理不善、控制不力而发生群体罢工、游行、示威等重大事件且造成严重影响的，采购人立即向中标人发出服务整改限期通知书，并有权决定是否终止合同。</w:t>
            </w:r>
          </w:p>
          <w:p w14:paraId="116E30C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2.6中标人应当建立医疗护理员激励保障机制，每年用于医疗护理员文化建设、年终奖励、评先评优等经费不少于人民币 1 万元，由中标人项目管理小组管理经费，采购人采购管理小组监督执行，以维护员工稳定，切实解决春节期间供求极端矛盾问题。中标人应当建立专项经费使用台账，每半年向采购人提交经费支出发票复印件或有效凭证存档备查。</w:t>
            </w:r>
          </w:p>
          <w:p w14:paraId="4875255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2.7医疗护理服务的收费标准须与采购人协商，经采购人认可后中标人报物价部门备案。未经采购人许可和物价部门备案同意，严禁中标人私自提高医疗护理服务费。如违反，视情节轻重，中标人应向采购人支付违约金 500 元至 5000 元，采购人有权从履约保证金予以抵扣。</w:t>
            </w:r>
          </w:p>
          <w:p w14:paraId="5CC7621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2.8中标人必须按合同内容提供医疗护理服务，如中标人员工私自超越服务内容为患者提供治疗性、技术性服务工作（如鼻饲等）出现差错时，由中标人承担所有责任。除承担相关责任外，还要视情节轻重根据具体情况决定是否作辞退处理。</w:t>
            </w:r>
          </w:p>
          <w:p w14:paraId="0419E12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2.9视情节轻重，中标人应向采购人支付每人每次 200 元至 2000 元违约金，并立即对涉事人员做更换处理；采购人有权将该违约金直接从履约保证金中予以抵扣。（该违约金约束中标服务商，采购人不直接对中标人员工进行扣罚）。</w:t>
            </w:r>
          </w:p>
          <w:p w14:paraId="09C4836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（1）偷盗医院、患者财物；擅自收集医疗废物或拿走患者出院后遗留物品；索取、收受红包。</w:t>
            </w:r>
          </w:p>
          <w:p w14:paraId="149894F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（2）有意煽动、闹事，影响工作或队伍稳定。</w:t>
            </w:r>
          </w:p>
          <w:p w14:paraId="127AC29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（3）因员工自身原因发生不良事故。</w:t>
            </w:r>
          </w:p>
          <w:p w14:paraId="0CBC790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其它因违反制度、要求、工作流程、职业素质等，尚未给患者和采购人造成任何损失或给患者和医院造成损失及严重不良影响；其它因违反制度、要求、工作流程等，虽未有损失，但给患者和采购人造成不良影响。</w:t>
            </w:r>
          </w:p>
          <w:p w14:paraId="1E9710F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（5）员工上岗前未经培训或培训不到位。</w:t>
            </w:r>
          </w:p>
          <w:p w14:paraId="45AB27F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（6）因中标人内部原因，员工拒绝上岗影响医院工作。</w:t>
            </w:r>
          </w:p>
          <w:p w14:paraId="0D07C30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（7）未经许可擅自拿取科室任何医疗物品（口包、一次性手套等）或药品如消毒液、换药包、口服药、注射药等。使用采购人的设备、设施、物品和水电做个人私事。</w:t>
            </w:r>
          </w:p>
          <w:p w14:paraId="354D82D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（8）上班时间不穿工服、不佩戴胸卡、穿拖鞋等。在院内大声喧哗，扎堆闲聊、打牌、禁烟区吸烟等。带亲友到病区冲凉或留宿。</w:t>
            </w:r>
          </w:p>
          <w:p w14:paraId="0BB563D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9）工作过程中，粗言烂语，当着服务的患者发牢骚，讲怪话、对医疗收费或其它发表不恰当言语，未造成不良后果或造成不良后果的中标人须承担因此带来的一切责任。在工作场合，员工之间或与服务的患者或其他患者或家属发生争吵，影响未扩散出现场范围。</w:t>
            </w:r>
          </w:p>
        </w:tc>
        <w:tc>
          <w:tcPr>
            <w:tcW w:w="1425" w:type="dxa"/>
          </w:tcPr>
          <w:p w14:paraId="7B848AB5">
            <w:pPr>
              <w:pStyle w:val="21"/>
              <w:rPr>
                <w:rFonts w:ascii="宋体" w:hAnsi="宋体" w:eastAsia="宋体" w:cs="宋体"/>
                <w:lang w:eastAsia="zh-CN"/>
              </w:rPr>
            </w:pPr>
          </w:p>
        </w:tc>
        <w:tc>
          <w:tcPr>
            <w:tcW w:w="978" w:type="dxa"/>
          </w:tcPr>
          <w:p w14:paraId="654C11F1">
            <w:pPr>
              <w:pStyle w:val="21"/>
              <w:rPr>
                <w:rFonts w:ascii="宋体" w:hAnsi="宋体" w:eastAsia="宋体" w:cs="宋体"/>
                <w:lang w:eastAsia="zh-CN"/>
              </w:rPr>
            </w:pPr>
          </w:p>
        </w:tc>
        <w:tc>
          <w:tcPr>
            <w:tcW w:w="1065" w:type="dxa"/>
          </w:tcPr>
          <w:p w14:paraId="3C99CDB8">
            <w:pPr>
              <w:pStyle w:val="21"/>
              <w:rPr>
                <w:rFonts w:ascii="宋体" w:hAnsi="宋体" w:eastAsia="宋体" w:cs="宋体"/>
                <w:lang w:eastAsia="zh-CN"/>
              </w:rPr>
            </w:pPr>
          </w:p>
        </w:tc>
      </w:tr>
      <w:tr w14:paraId="58873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1B03D05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547" w:type="dxa"/>
          </w:tcPr>
          <w:p w14:paraId="28B15A4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主要商务要求</w:t>
            </w:r>
          </w:p>
          <w:p w14:paraId="5C1D3FE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（一）服务期限</w:t>
            </w:r>
          </w:p>
          <w:p w14:paraId="3B3804F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 xml:space="preserve"> 自合同签订之日起三年，具体起止期限以采购人与中标人签订的合同约定为准。</w:t>
            </w:r>
          </w:p>
          <w:p w14:paraId="6CB226C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（二）租金</w:t>
            </w:r>
          </w:p>
          <w:p w14:paraId="555A423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中标人如需租用采购人场地设立独立办公室，租金标准为1000元/月；仅在采购人场所设置简易办公点位的，租金标准为500元/月。租金由中标人按月向采购人缴纳，采购人按规定开具对应票据。</w:t>
            </w:r>
          </w:p>
          <w:p w14:paraId="00B16BF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（三）服务地点</w:t>
            </w:r>
          </w:p>
          <w:p w14:paraId="123EF00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广东省中山市东升镇兆隆路1号中山市东升医院</w:t>
            </w:r>
          </w:p>
          <w:p w14:paraId="101623F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（四）服务对象：中标人提供服务对象为已购买医疗护理服务的患者。</w:t>
            </w:r>
          </w:p>
          <w:p w14:paraId="4089D65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（五）履约保证金</w:t>
            </w:r>
          </w:p>
          <w:p w14:paraId="110789F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签订合同起10日内，中标人将人民币叁万元整作为履约保证金交付给采购人，合同期满且能完成下期合同正常交接之后，如中标人无违反本项目合同约定的情况下，采购人一次性无息返还履约保证金给中标人；合同期间如履约保证金有部分款项被扣除，中标人须在收到采购人发出的补齐通知书之日起10个工作日内将扣除的部分补齐以保证履约保证金的完整性，如不能补齐，则可视为中标人没有能力尽履约义务，采购人有权解除合约。</w:t>
            </w:r>
          </w:p>
          <w:p w14:paraId="7FDB09A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合同到期或双方同意解除合同时，中标人在无违反本项目合同约定情况下，中标人应会同采购人及相关部门检查相关服务内容，如通过检查，则采购人在十个工作日内全额无息退回履约保证金；如未通过检查，中标人应按本项目服务要求完成，直至通过检查后，方可退回履约保证金。</w:t>
            </w:r>
          </w:p>
          <w:p w14:paraId="59E5321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（六）交接期要求</w:t>
            </w:r>
          </w:p>
          <w:p w14:paraId="33D9B81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1.中标人需在交接前10个工作日内将所有与项目相关的工具、物料、人员到位并经采购人验收合格。</w:t>
            </w:r>
          </w:p>
          <w:p w14:paraId="0959C38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2.原服务公司将相关工具、物料移交给中标人时（如有），双方自行协定医疗护理服务相关工具、物料价格。</w:t>
            </w:r>
          </w:p>
          <w:p w14:paraId="5BC8B27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3.中标人需落实完善人力资源应急预案及其他拟定的交接方案，以应对交接过程中可能发生的各类罢工、消极怠工等情况，保证采购人临床的正常工作不受任何影响。</w:t>
            </w:r>
          </w:p>
          <w:p w14:paraId="54D5EFD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4.中标人合同期满，必须无条件配合采购人与下一期中标人做好交接工作。</w:t>
            </w:r>
          </w:p>
          <w:p w14:paraId="2861568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（七）违约责任与赔偿损失</w:t>
            </w:r>
          </w:p>
          <w:p w14:paraId="29AF648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1.中标人提供的服务不符合招标文件或合同规定的，采购人有权要求限期整改，中标人须向采购人支付 20000 元的违约金，采购人有权在履约保证金中抵扣；若违约金不足以弥补采购人实际损失，中标人还应赔偿采购人全部实际损失。。</w:t>
            </w:r>
          </w:p>
          <w:p w14:paraId="7A4E52E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2.中标人未能按合同规定提供服务，从逾期之日起每日按 1000 元的数额向采购人支付违约金，采购人有权在履约保证金中抵扣；逾期半个月以上的，采购人有权终止合同；若约定违约金不足以弥补采购人实际损失，中标人还应赔偿采购人全部实际损失。</w:t>
            </w:r>
          </w:p>
          <w:p w14:paraId="6E1EFDD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若中标人在投标文件中承诺购买商业保险的，商业保险保单须在进场服务后一个月内提供，逾期未能提供保单的，从履约保证金中支付违约金1000元/月，逾期三个月的，采购人有权解除合同。由此造成的采购人经济损失由中标人承担。</w:t>
            </w:r>
          </w:p>
          <w:p w14:paraId="55D0C37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4.在本合同服务期内，因不可抗力的情形导致本合同无法继续履行的，而由此导致毁损并造成的损失，双方互不承担责任。</w:t>
            </w:r>
          </w:p>
          <w:p w14:paraId="0C7500B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5.其它违约责任按《中华人民共和国民法典》处理。</w:t>
            </w:r>
          </w:p>
          <w:p w14:paraId="34F8750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（八）验收要求</w:t>
            </w:r>
          </w:p>
          <w:p w14:paraId="5CE7CD8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1.验收方式：由采购人组织的项目验收小组进行验收。</w:t>
            </w:r>
          </w:p>
          <w:p w14:paraId="292434A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2.验收标准：供应商提供的货物或服务质量符合国家及行业强制标准，采购文件要求、投标（响应）文件承诺及合同要求。</w:t>
            </w:r>
          </w:p>
        </w:tc>
        <w:tc>
          <w:tcPr>
            <w:tcW w:w="1425" w:type="dxa"/>
          </w:tcPr>
          <w:p w14:paraId="527CF9F9">
            <w:pPr>
              <w:pStyle w:val="21"/>
              <w:rPr>
                <w:rFonts w:ascii="宋体" w:hAnsi="宋体" w:eastAsia="宋体" w:cs="宋体"/>
                <w:lang w:eastAsia="zh-CN"/>
              </w:rPr>
            </w:pPr>
          </w:p>
        </w:tc>
        <w:tc>
          <w:tcPr>
            <w:tcW w:w="978" w:type="dxa"/>
          </w:tcPr>
          <w:p w14:paraId="4D0E64D1">
            <w:pPr>
              <w:pStyle w:val="21"/>
              <w:rPr>
                <w:rFonts w:ascii="宋体" w:hAnsi="宋体" w:eastAsia="宋体" w:cs="宋体"/>
                <w:lang w:eastAsia="zh-CN"/>
              </w:rPr>
            </w:pPr>
          </w:p>
        </w:tc>
        <w:tc>
          <w:tcPr>
            <w:tcW w:w="1065" w:type="dxa"/>
          </w:tcPr>
          <w:p w14:paraId="5B229D06">
            <w:pPr>
              <w:pStyle w:val="21"/>
              <w:rPr>
                <w:rFonts w:ascii="宋体" w:hAnsi="宋体" w:eastAsia="宋体" w:cs="宋体"/>
                <w:lang w:eastAsia="zh-CN"/>
              </w:rPr>
            </w:pPr>
          </w:p>
        </w:tc>
      </w:tr>
    </w:tbl>
    <w:p w14:paraId="15865950">
      <w:pPr>
        <w:pStyle w:val="11"/>
        <w:spacing w:line="360" w:lineRule="auto"/>
        <w:ind w:firstLine="0"/>
        <w:rPr>
          <w:rFonts w:hint="eastAsia" w:ascii="宋体" w:hAnsi="宋体" w:eastAsia="宋体" w:cs="宋体"/>
          <w:lang w:val="zh-TW" w:eastAsia="zh-TW"/>
        </w:rPr>
      </w:pPr>
    </w:p>
    <w:p w14:paraId="457DE2F7">
      <w:pPr>
        <w:pStyle w:val="11"/>
        <w:spacing w:line="360" w:lineRule="auto"/>
        <w:ind w:firstLine="0"/>
        <w:rPr>
          <w:rFonts w:hint="eastAsia" w:ascii="宋体" w:hAnsi="宋体" w:eastAsia="宋体" w:cs="宋体"/>
          <w:lang w:val="zh-TW" w:eastAsia="zh-TW"/>
        </w:rPr>
      </w:pPr>
    </w:p>
    <w:p w14:paraId="65C9DAD4">
      <w:pPr>
        <w:pStyle w:val="11"/>
        <w:spacing w:line="360" w:lineRule="auto"/>
        <w:ind w:firstLine="0"/>
        <w:rPr>
          <w:rFonts w:hint="eastAsia" w:ascii="宋体" w:hAnsi="宋体" w:eastAsia="宋体" w:cs="宋体"/>
          <w:lang w:val="zh-TW" w:eastAsia="zh-TW"/>
        </w:rPr>
      </w:pPr>
    </w:p>
    <w:p w14:paraId="683383F9">
      <w:pPr>
        <w:pStyle w:val="11"/>
        <w:spacing w:line="360" w:lineRule="auto"/>
        <w:ind w:firstLine="0"/>
        <w:rPr>
          <w:rFonts w:hint="eastAsia" w:ascii="宋体" w:hAnsi="宋体" w:eastAsia="宋体" w:cs="宋体"/>
          <w:lang w:val="zh-TW" w:eastAsia="zh-TW"/>
        </w:rPr>
      </w:pPr>
    </w:p>
    <w:p w14:paraId="711AE85F">
      <w:pPr>
        <w:pStyle w:val="11"/>
        <w:spacing w:line="360" w:lineRule="auto"/>
        <w:ind w:firstLine="0"/>
        <w:rPr>
          <w:rFonts w:hint="eastAsia" w:ascii="宋体" w:hAnsi="宋体" w:eastAsia="宋体" w:cs="宋体"/>
          <w:lang w:val="zh-TW" w:eastAsia="zh-TW"/>
        </w:rPr>
      </w:pPr>
    </w:p>
    <w:p w14:paraId="78747804">
      <w:pPr>
        <w:pStyle w:val="11"/>
        <w:spacing w:line="360" w:lineRule="auto"/>
        <w:ind w:firstLine="0"/>
        <w:rPr>
          <w:rFonts w:hint="eastAsia" w:ascii="宋体" w:hAnsi="宋体" w:eastAsia="宋体" w:cs="宋体"/>
          <w:lang w:val="zh-TW" w:eastAsia="zh-TW"/>
        </w:rPr>
      </w:pPr>
    </w:p>
    <w:p w14:paraId="5F9F44FE">
      <w:pPr>
        <w:pStyle w:val="17"/>
        <w:numPr>
          <w:ilvl w:val="0"/>
          <w:numId w:val="0"/>
        </w:numPr>
        <w:ind w:leftChars="0"/>
        <w:rPr>
          <w:rFonts w:hint="eastAsia" w:hAnsi="宋体" w:cs="宋体"/>
          <w:b/>
          <w:bCs/>
          <w:color w:val="auto"/>
          <w:kern w:val="2"/>
          <w:sz w:val="21"/>
          <w:szCs w:val="21"/>
          <w:lang w:val="en-US" w:eastAsia="zh-CN" w:bidi="ar-SA"/>
        </w:rPr>
      </w:pPr>
    </w:p>
    <w:p w14:paraId="683D3C9F">
      <w:pPr>
        <w:pStyle w:val="17"/>
        <w:numPr>
          <w:ilvl w:val="0"/>
          <w:numId w:val="0"/>
        </w:numPr>
        <w:ind w:leftChars="0"/>
        <w:rPr>
          <w:rFonts w:hint="eastAsia" w:hAnsi="宋体" w:cs="宋体"/>
          <w:b/>
          <w:bCs/>
          <w:color w:val="auto"/>
          <w:kern w:val="2"/>
          <w:sz w:val="21"/>
          <w:szCs w:val="21"/>
          <w:lang w:val="en-US" w:eastAsia="zh-CN" w:bidi="ar-SA"/>
        </w:rPr>
      </w:pPr>
    </w:p>
    <w:p w14:paraId="57B3868D">
      <w:pPr>
        <w:pStyle w:val="17"/>
        <w:numPr>
          <w:ilvl w:val="0"/>
          <w:numId w:val="0"/>
        </w:numPr>
        <w:ind w:leftChars="0"/>
        <w:rPr>
          <w:rStyle w:val="18"/>
          <w:rFonts w:hint="eastAsia" w:hAnsi="宋体" w:cs="宋体" w:asciiTheme="minorHAnsi"/>
          <w:b/>
          <w:bCs/>
          <w:color w:val="auto"/>
          <w:kern w:val="2"/>
          <w:sz w:val="21"/>
          <w:szCs w:val="21"/>
          <w:lang w:val="en-US" w:eastAsia="zh-CN"/>
        </w:rPr>
      </w:pPr>
      <w:r>
        <w:rPr>
          <w:rFonts w:hint="eastAsia" w:hAnsi="宋体" w:cs="宋体"/>
          <w:b/>
          <w:bCs/>
          <w:color w:val="auto"/>
          <w:kern w:val="2"/>
          <w:sz w:val="21"/>
          <w:szCs w:val="21"/>
          <w:lang w:val="en-US" w:eastAsia="zh-CN" w:bidi="ar-SA"/>
        </w:rPr>
        <w:t>七</w:t>
      </w:r>
      <w:r>
        <w:rPr>
          <w:rStyle w:val="18"/>
          <w:rFonts w:hint="eastAsia" w:hAnsi="宋体" w:cs="宋体" w:asciiTheme="minorHAnsi"/>
          <w:b/>
          <w:bCs/>
          <w:color w:val="auto"/>
          <w:kern w:val="2"/>
          <w:sz w:val="21"/>
          <w:szCs w:val="21"/>
          <w:lang w:val="en-US" w:eastAsia="zh-CN"/>
        </w:rPr>
        <w:t>、供应商认为需要提供的其他材料（如人员相关专业技术职称或职业技能等级证书等）</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585D4359">
      <w:pPr>
        <w:spacing w:line="360" w:lineRule="auto"/>
        <w:jc w:val="left"/>
        <w:rPr>
          <w:rFonts w:hint="default" w:ascii="宋体" w:hAnsi="宋体" w:eastAsia="宋体" w:cs="宋体"/>
          <w:sz w:val="24"/>
          <w:szCs w:val="24"/>
          <w:u w:val="none"/>
          <w:lang w:val="en-US" w:eastAsia="zh-CN"/>
        </w:rPr>
      </w:pPr>
    </w:p>
    <w:sectPr>
      <w:headerReference r:id="rId4" w:type="default"/>
      <w:pgSz w:w="11906" w:h="16838"/>
      <w:pgMar w:top="1157" w:right="1800" w:bottom="1157"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61E10AE"/>
    <w:rsid w:val="094D472E"/>
    <w:rsid w:val="0CA21D1B"/>
    <w:rsid w:val="187F3307"/>
    <w:rsid w:val="1E840AC7"/>
    <w:rsid w:val="20E33B6F"/>
    <w:rsid w:val="20FE31B4"/>
    <w:rsid w:val="28DF6635"/>
    <w:rsid w:val="2A417081"/>
    <w:rsid w:val="2DA35FBA"/>
    <w:rsid w:val="335464C2"/>
    <w:rsid w:val="336E7A0B"/>
    <w:rsid w:val="36E33B5E"/>
    <w:rsid w:val="379E634E"/>
    <w:rsid w:val="3824441B"/>
    <w:rsid w:val="3E6B5D05"/>
    <w:rsid w:val="40D41725"/>
    <w:rsid w:val="490E789E"/>
    <w:rsid w:val="490F4F35"/>
    <w:rsid w:val="4B7A033A"/>
    <w:rsid w:val="4C551B83"/>
    <w:rsid w:val="53BC3594"/>
    <w:rsid w:val="602E5C55"/>
    <w:rsid w:val="6051490F"/>
    <w:rsid w:val="612D28B6"/>
    <w:rsid w:val="6B4C6025"/>
    <w:rsid w:val="6BB6035B"/>
    <w:rsid w:val="6C561999"/>
    <w:rsid w:val="70922C0A"/>
    <w:rsid w:val="72D245E7"/>
    <w:rsid w:val="76BE71B6"/>
    <w:rsid w:val="79D14349"/>
    <w:rsid w:val="7B8E386D"/>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5">
    <w:name w:val="Default Paragraph Font"/>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8"/>
    <w:autoRedefine/>
    <w:qFormat/>
    <w:uiPriority w:val="0"/>
    <w:pPr>
      <w:spacing w:after="120" w:line="480" w:lineRule="auto"/>
      <w:ind w:left="420" w:leftChars="200"/>
    </w:pPr>
    <w:rPr>
      <w:szCs w:val="20"/>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qFormat/>
    <w:uiPriority w:val="39"/>
  </w:style>
  <w:style w:type="paragraph" w:styleId="10">
    <w:name w:val="Normal (Web)"/>
    <w:basedOn w:val="1"/>
    <w:qFormat/>
    <w:uiPriority w:val="99"/>
    <w:pPr>
      <w:widowControl/>
      <w:spacing w:before="100" w:beforeAutospacing="1" w:after="100" w:afterAutospacing="1"/>
      <w:jc w:val="left"/>
    </w:pPr>
    <w:rPr>
      <w:rFonts w:ascii="宋体" w:hAnsi="宋体"/>
      <w:kern w:val="0"/>
      <w:sz w:val="24"/>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4">
    <w:name w:val="Table Grid"/>
    <w:basedOn w:val="1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正文文本缩进 2 Char"/>
    <w:link w:val="7"/>
    <w:autoRedefine/>
    <w:qFormat/>
    <w:uiPriority w:val="0"/>
    <w:rPr>
      <w:szCs w:val="20"/>
    </w:rPr>
  </w:style>
  <w:style w:type="paragraph" w:customStyle="1" w:styleId="19">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25"/>
      <w:szCs w:val="25"/>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5981</Words>
  <Characters>6112</Characters>
  <Lines>0</Lines>
  <Paragraphs>0</Paragraphs>
  <TotalTime>0</TotalTime>
  <ScaleCrop>false</ScaleCrop>
  <LinksUpToDate>false</LinksUpToDate>
  <CharactersWithSpaces>6515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18924981193</cp:lastModifiedBy>
  <dcterms:modified xsi:type="dcterms:W3CDTF">2026-09-29T02:28:33Z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ADDCDE4F86FD49D0BAE74623170F1A00_13</vt:lpwstr>
  </property>
  <property fmtid="{D5CDD505-2E9C-101B-9397-08002B2CF9AE}" pid="4" name="KSOTemplateDocerSaveRecord">
    <vt:lpwstr>eyJoZGlkIjoiMDI1YTQ0MGQ2NDc4NmQ3MjU4NTFkMzZmNDA5NDM5ODgiLCJ1c2VySWQiOiI3MDcxOTEyNjEifQ==</vt:lpwstr>
  </property>
</Properties>
</file>