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27F0E">
      <w:pPr>
        <w:jc w:val="center"/>
        <w:rPr>
          <w:rFonts w:hint="eastAsia"/>
          <w:sz w:val="36"/>
          <w:szCs w:val="36"/>
          <w:lang w:eastAsia="zh-CN"/>
        </w:rPr>
      </w:pPr>
      <w:r>
        <w:rPr>
          <w:rFonts w:hint="eastAsia" w:ascii="宋体" w:hAnsi="宋体" w:eastAsia="宋体" w:cs="宋体"/>
          <w:i w:val="0"/>
          <w:iCs w:val="0"/>
          <w:caps w:val="0"/>
          <w:color w:val="000000"/>
          <w:spacing w:val="0"/>
          <w:sz w:val="36"/>
          <w:szCs w:val="36"/>
          <w:shd w:val="clear" w:fill="FFFFFF"/>
          <w:lang w:val="en-US" w:eastAsia="zh-CN"/>
        </w:rPr>
        <w:t>2026年中山市东升医院办公用品和生活用品协议定点采购项目</w:t>
      </w:r>
      <w:r>
        <w:rPr>
          <w:rFonts w:hint="eastAsia"/>
          <w:sz w:val="36"/>
          <w:szCs w:val="36"/>
          <w:lang w:eastAsia="zh-CN"/>
        </w:rPr>
        <w:t>问卷调查表</w:t>
      </w:r>
    </w:p>
    <w:p w14:paraId="5966DC4E">
      <w:pPr>
        <w:spacing w:before="257" w:line="219" w:lineRule="auto"/>
      </w:pPr>
      <w:r>
        <w:rPr>
          <w:rFonts w:hint="eastAsia" w:ascii="宋体" w:hAnsi="宋体" w:eastAsia="宋体" w:cs="宋体"/>
          <w:b/>
          <w:bCs/>
          <w:spacing w:val="-7"/>
          <w:sz w:val="30"/>
          <w:szCs w:val="30"/>
          <w:lang w:eastAsia="zh-CN"/>
        </w:rPr>
        <w:t>一、采购需求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spacing w:before="221" w:line="228" w:lineRule="auto"/>
        <w:ind w:left="426"/>
        <w:rPr>
          <w:rFonts w:ascii="宋体" w:hAnsi="宋体" w:eastAsia="宋体" w:cs="宋体"/>
          <w:spacing w:val="7"/>
          <w:sz w:val="20"/>
          <w:szCs w:val="20"/>
        </w:rPr>
      </w:pPr>
    </w:p>
    <w:tbl>
      <w:tblPr>
        <w:tblStyle w:val="6"/>
        <w:tblW w:w="91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5373"/>
        <w:gridCol w:w="1541"/>
        <w:gridCol w:w="1510"/>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705" w:type="dxa"/>
            <w:vAlign w:val="center"/>
          </w:tcPr>
          <w:p w14:paraId="14F28E84">
            <w:pPr>
              <w:spacing w:before="65" w:line="229" w:lineRule="auto"/>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5373" w:type="dxa"/>
            <w:vAlign w:val="center"/>
          </w:tcPr>
          <w:p w14:paraId="491D25F4">
            <w:pPr>
              <w:spacing w:before="65" w:line="227" w:lineRule="auto"/>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1541" w:type="dxa"/>
            <w:vAlign w:val="center"/>
          </w:tcPr>
          <w:p w14:paraId="3985CE07">
            <w:pPr>
              <w:spacing w:before="180" w:line="356" w:lineRule="auto"/>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1510" w:type="dxa"/>
            <w:vAlign w:val="center"/>
          </w:tcPr>
          <w:p w14:paraId="4E32AE5A">
            <w:pPr>
              <w:spacing w:before="65" w:line="228" w:lineRule="auto"/>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BAAEB1A">
            <w:pPr>
              <w:spacing w:before="65" w:line="27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5373" w:type="dxa"/>
            <w:vAlign w:val="top"/>
          </w:tcPr>
          <w:p w14:paraId="62FDB4D0">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b/>
                <w:bCs/>
                <w:sz w:val="21"/>
                <w:szCs w:val="21"/>
              </w:rPr>
            </w:pPr>
            <w:r>
              <w:rPr>
                <w:rFonts w:hint="eastAsia" w:ascii="宋体" w:hAnsi="宋体" w:eastAsia="宋体" w:cs="宋体"/>
                <w:b/>
                <w:bCs/>
                <w:sz w:val="21"/>
                <w:szCs w:val="21"/>
              </w:rPr>
              <w:t>供应商的资格要求：</w:t>
            </w:r>
          </w:p>
          <w:p w14:paraId="1DEEFB48">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lang w:eastAsia="zh-CN"/>
              </w:rPr>
            </w:pPr>
            <w:r>
              <w:rPr>
                <w:rFonts w:hint="eastAsia" w:ascii="宋体" w:hAnsi="宋体" w:eastAsia="宋体" w:cs="宋体"/>
                <w:spacing w:val="7"/>
                <w:sz w:val="20"/>
                <w:szCs w:val="20"/>
              </w:rPr>
              <w:t>1.响应供应商必须是具有独立承担民事责任能力的在中华人民共和国境内注册的企业法人或其他组织或自然人</w:t>
            </w:r>
            <w:r>
              <w:rPr>
                <w:rFonts w:hint="eastAsia" w:ascii="宋体" w:hAnsi="宋体" w:eastAsia="宋体" w:cs="宋体"/>
                <w:spacing w:val="7"/>
                <w:sz w:val="20"/>
                <w:szCs w:val="20"/>
                <w:lang w:eastAsia="zh-CN"/>
              </w:rPr>
              <w:t>，分支机构投标的，须提供总公司和分公司营业执照复印件，总公司出具给分支机构的授权书；</w:t>
            </w:r>
          </w:p>
          <w:p w14:paraId="6DC9BC05">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rPr>
            </w:pPr>
            <w:r>
              <w:rPr>
                <w:rFonts w:hint="eastAsia" w:ascii="宋体" w:hAnsi="宋体" w:eastAsia="宋体" w:cs="宋体"/>
                <w:spacing w:val="7"/>
                <w:sz w:val="20"/>
                <w:szCs w:val="20"/>
              </w:rPr>
              <w:t>2.响应供应商须具有效的且具备相关经营范围的营业执照；</w:t>
            </w:r>
          </w:p>
          <w:p w14:paraId="226A11D9">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pacing w:val="7"/>
                <w:sz w:val="20"/>
                <w:szCs w:val="20"/>
              </w:rPr>
            </w:pPr>
            <w:r>
              <w:rPr>
                <w:rFonts w:hint="eastAsia" w:ascii="宋体" w:hAnsi="宋体" w:eastAsia="宋体" w:cs="宋体"/>
                <w:spacing w:val="7"/>
                <w:sz w:val="20"/>
                <w:szCs w:val="20"/>
              </w:rPr>
              <w:t>3.响应供应商应具有项目的承接能力、合同的履约能力、售后供应能力和良好的信誉；</w:t>
            </w:r>
          </w:p>
          <w:p w14:paraId="7F8B9865">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spacing w:val="7"/>
                <w:sz w:val="20"/>
                <w:szCs w:val="20"/>
              </w:rPr>
              <w:t>4.响应供应商在参与公开招标活动中未有违法违纪行为并受过处罚，响应供应商无围标、串标行为。</w:t>
            </w:r>
          </w:p>
        </w:tc>
        <w:tc>
          <w:tcPr>
            <w:tcW w:w="1541" w:type="dxa"/>
            <w:vAlign w:val="top"/>
          </w:tcPr>
          <w:p w14:paraId="0D59DF74">
            <w:pPr>
              <w:pStyle w:val="7"/>
              <w:rPr>
                <w:rFonts w:hint="eastAsia" w:ascii="宋体" w:hAnsi="宋体" w:eastAsia="宋体" w:cs="宋体"/>
                <w:sz w:val="21"/>
                <w:szCs w:val="21"/>
              </w:rPr>
            </w:pPr>
          </w:p>
        </w:tc>
        <w:tc>
          <w:tcPr>
            <w:tcW w:w="1510" w:type="dxa"/>
            <w:vAlign w:val="top"/>
          </w:tcPr>
          <w:p w14:paraId="414828D7">
            <w:pPr>
              <w:pStyle w:val="7"/>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098D3DC">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5373" w:type="dxa"/>
            <w:vAlign w:val="top"/>
          </w:tcPr>
          <w:p w14:paraId="4C4D7322">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sz w:val="21"/>
              </w:rPr>
              <w:t>合同履行期限：自服务合同生效之日起一年。备注：（1）当在服务期限内结算金额达到采购预算金额时，采购人不再继续委托成交供应商提供服务，并终止合同。（2）合同期限期满时，结算金额未达到采购预算金额的，按实结算，合同终止。</w:t>
            </w:r>
          </w:p>
        </w:tc>
        <w:tc>
          <w:tcPr>
            <w:tcW w:w="1541" w:type="dxa"/>
            <w:vAlign w:val="top"/>
          </w:tcPr>
          <w:p w14:paraId="27900034">
            <w:pPr>
              <w:pStyle w:val="7"/>
              <w:rPr>
                <w:rFonts w:hint="eastAsia" w:ascii="宋体" w:hAnsi="宋体" w:eastAsia="宋体" w:cs="宋体"/>
                <w:sz w:val="21"/>
                <w:szCs w:val="21"/>
              </w:rPr>
            </w:pPr>
          </w:p>
        </w:tc>
        <w:tc>
          <w:tcPr>
            <w:tcW w:w="1510" w:type="dxa"/>
            <w:vAlign w:val="top"/>
          </w:tcPr>
          <w:p w14:paraId="7326CAC2">
            <w:pPr>
              <w:pStyle w:val="7"/>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329017F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5373" w:type="dxa"/>
            <w:vAlign w:val="top"/>
          </w:tcPr>
          <w:p w14:paraId="7DAB4C5F">
            <w:pPr>
              <w:numPr>
                <w:ilvl w:val="0"/>
                <w:numId w:val="0"/>
              </w:numPr>
              <w:jc w:val="left"/>
              <w:rPr>
                <w:b/>
                <w:bCs/>
                <w:sz w:val="21"/>
              </w:rPr>
            </w:pPr>
            <w:r>
              <w:rPr>
                <w:b/>
                <w:bCs/>
                <w:sz w:val="21"/>
              </w:rPr>
              <w:t>项目范围：</w:t>
            </w:r>
          </w:p>
          <w:p w14:paraId="402BC74B">
            <w:pPr>
              <w:numPr>
                <w:ilvl w:val="0"/>
                <w:numId w:val="0"/>
              </w:numPr>
              <w:jc w:val="left"/>
              <w:rPr>
                <w:rFonts w:hint="eastAsia"/>
                <w:b w:val="0"/>
                <w:bCs w:val="0"/>
                <w:sz w:val="21"/>
                <w:lang w:val="en-US" w:eastAsia="zh-CN"/>
              </w:rPr>
            </w:pPr>
            <w:r>
              <w:rPr>
                <w:rFonts w:hint="eastAsia"/>
                <w:b w:val="0"/>
                <w:bCs w:val="0"/>
                <w:sz w:val="21"/>
                <w:lang w:val="en-US" w:eastAsia="zh-CN"/>
              </w:rPr>
              <w:t>1.2026年中山市东升医院办公用品和生活用品目录</w:t>
            </w:r>
          </w:p>
          <w:p w14:paraId="682EC7C4">
            <w:pPr>
              <w:numPr>
                <w:ilvl w:val="0"/>
                <w:numId w:val="0"/>
              </w:numPr>
              <w:jc w:val="left"/>
              <w:rPr>
                <w:rFonts w:hint="default"/>
                <w:b w:val="0"/>
                <w:bCs w:val="0"/>
                <w:sz w:val="21"/>
                <w:lang w:val="en-US" w:eastAsia="zh-CN"/>
              </w:rPr>
            </w:pPr>
            <w:r>
              <w:rPr>
                <w:rFonts w:hint="eastAsia"/>
                <w:b w:val="0"/>
                <w:bCs w:val="0"/>
                <w:sz w:val="21"/>
                <w:lang w:val="en-US" w:eastAsia="zh-CN"/>
              </w:rPr>
              <w:t>2.目录以外品种参考京东自营或淘宝天猫的同品种同价格配送（如有更好建议请下面提出</w:t>
            </w:r>
            <w:bookmarkStart w:id="0" w:name="_GoBack"/>
            <w:bookmarkEnd w:id="0"/>
            <w:r>
              <w:rPr>
                <w:rFonts w:hint="eastAsia"/>
                <w:b w:val="0"/>
                <w:bCs w:val="0"/>
                <w:sz w:val="21"/>
                <w:lang w:val="en-US" w:eastAsia="zh-CN"/>
              </w:rPr>
              <w:t>）</w:t>
            </w:r>
          </w:p>
        </w:tc>
        <w:tc>
          <w:tcPr>
            <w:tcW w:w="1541" w:type="dxa"/>
            <w:vAlign w:val="top"/>
          </w:tcPr>
          <w:p w14:paraId="41626F82">
            <w:pPr>
              <w:pStyle w:val="7"/>
              <w:rPr>
                <w:rFonts w:hint="eastAsia" w:ascii="宋体" w:hAnsi="宋体" w:eastAsia="宋体" w:cs="宋体"/>
                <w:sz w:val="21"/>
                <w:szCs w:val="21"/>
              </w:rPr>
            </w:pPr>
          </w:p>
        </w:tc>
        <w:tc>
          <w:tcPr>
            <w:tcW w:w="1510" w:type="dxa"/>
            <w:vAlign w:val="top"/>
          </w:tcPr>
          <w:p w14:paraId="03D77C60">
            <w:pPr>
              <w:pStyle w:val="7"/>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F60DF1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5373" w:type="dxa"/>
            <w:vAlign w:val="top"/>
          </w:tcPr>
          <w:p w14:paraId="2C9A8CAA">
            <w:pPr>
              <w:numPr>
                <w:ilvl w:val="0"/>
                <w:numId w:val="0"/>
              </w:numPr>
              <w:ind w:leftChars="0"/>
              <w:jc w:val="left"/>
              <w:rPr>
                <w:rFonts w:hint="eastAsia"/>
                <w:sz w:val="21"/>
              </w:rPr>
            </w:pPr>
            <w:r>
              <w:rPr>
                <w:rFonts w:hint="eastAsia"/>
                <w:sz w:val="21"/>
              </w:rPr>
              <w:t>1.报价要求：本项目的报价以下浮率形式报价，报价人根据采购清单中所有货物的最高单价限价填报一个统一的下浮率，下浮率必须为固定报价，不接受区间报价，下浮率报价范围：0%≤下浮率＜100%，不能为负数，否则按无效报价处理；</w:t>
            </w:r>
          </w:p>
          <w:p w14:paraId="007E8047">
            <w:pPr>
              <w:numPr>
                <w:ilvl w:val="0"/>
                <w:numId w:val="0"/>
              </w:numPr>
              <w:ind w:leftChars="0"/>
              <w:jc w:val="left"/>
              <w:rPr>
                <w:rFonts w:hint="eastAsia"/>
                <w:sz w:val="21"/>
              </w:rPr>
            </w:pPr>
            <w:r>
              <w:rPr>
                <w:rFonts w:hint="eastAsia"/>
                <w:sz w:val="21"/>
              </w:rPr>
              <w:t>2.结算公式：结算价格＝最高单价限价×（1-成交下浮率）×实际供货数量；</w:t>
            </w:r>
          </w:p>
          <w:p w14:paraId="40819F83">
            <w:pPr>
              <w:numPr>
                <w:ilvl w:val="0"/>
                <w:numId w:val="0"/>
              </w:numPr>
              <w:ind w:leftChars="0"/>
              <w:jc w:val="left"/>
              <w:rPr>
                <w:rFonts w:hint="eastAsia"/>
                <w:sz w:val="21"/>
              </w:rPr>
            </w:pPr>
            <w:r>
              <w:rPr>
                <w:rFonts w:hint="eastAsia"/>
                <w:sz w:val="21"/>
              </w:rPr>
              <w:t>3.报价人应报出货物交至采购人指定地点的含税价，包括货物费、包装费、配送费、运输费、验收费、仓储费、质保及售后服务费、市场价格波动等引起的费用、保险费、加工费、各项税费及合同实施过程中不可预见费用等全部费用。报价为全包价，不得在成交报价外加收任何费用。成交的下浮率在合同期内固定不变；</w:t>
            </w:r>
          </w:p>
          <w:p w14:paraId="14BC0162">
            <w:pPr>
              <w:numPr>
                <w:ilvl w:val="0"/>
                <w:numId w:val="0"/>
              </w:numPr>
              <w:ind w:leftChars="0"/>
              <w:jc w:val="left"/>
              <w:rPr>
                <w:rFonts w:hint="eastAsia" w:ascii="宋体" w:hAnsi="宋体" w:eastAsia="宋体" w:cs="宋体"/>
                <w:sz w:val="21"/>
                <w:szCs w:val="21"/>
                <w:lang w:val="en-US" w:eastAsia="zh-CN"/>
              </w:rPr>
            </w:pPr>
            <w:r>
              <w:rPr>
                <w:rFonts w:hint="eastAsia"/>
                <w:sz w:val="21"/>
              </w:rPr>
              <w:t>4.如报价人在成交或履行合同过程中出现任何遗漏性内容需产生额外费用，均由成交供应商自行承担，采购人不再支付任何其他费用。成交供应商在实际供应过程中不得以任何理由调整价格（成交下浮率），报价人应充分考虑在采购周期内由于市场波动而引致的风险；</w:t>
            </w:r>
          </w:p>
        </w:tc>
        <w:tc>
          <w:tcPr>
            <w:tcW w:w="1541" w:type="dxa"/>
            <w:vAlign w:val="top"/>
          </w:tcPr>
          <w:p w14:paraId="0A74B89D">
            <w:pPr>
              <w:pStyle w:val="7"/>
              <w:rPr>
                <w:rFonts w:hint="eastAsia" w:ascii="宋体" w:hAnsi="宋体" w:eastAsia="宋体" w:cs="宋体"/>
                <w:sz w:val="21"/>
                <w:szCs w:val="21"/>
              </w:rPr>
            </w:pPr>
          </w:p>
        </w:tc>
        <w:tc>
          <w:tcPr>
            <w:tcW w:w="1510" w:type="dxa"/>
            <w:vAlign w:val="top"/>
          </w:tcPr>
          <w:p w14:paraId="521DB8CF">
            <w:pPr>
              <w:pStyle w:val="7"/>
              <w:rPr>
                <w:rFonts w:hint="eastAsia" w:ascii="宋体" w:hAnsi="宋体" w:eastAsia="宋体" w:cs="宋体"/>
                <w:sz w:val="21"/>
                <w:szCs w:val="21"/>
              </w:rPr>
            </w:pPr>
          </w:p>
        </w:tc>
      </w:tr>
      <w:tr w14:paraId="059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705" w:type="dxa"/>
            <w:vAlign w:val="center"/>
          </w:tcPr>
          <w:p w14:paraId="5050866F">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5373" w:type="dxa"/>
            <w:vAlign w:val="top"/>
          </w:tcPr>
          <w:p w14:paraId="01E9510D">
            <w:pPr>
              <w:jc w:val="both"/>
              <w:rPr>
                <w:rFonts w:hint="eastAsia"/>
                <w:b/>
                <w:bCs/>
                <w:sz w:val="21"/>
              </w:rPr>
            </w:pPr>
            <w:r>
              <w:rPr>
                <w:rFonts w:hint="eastAsia"/>
                <w:b/>
                <w:bCs/>
                <w:sz w:val="21"/>
              </w:rPr>
              <w:t>工程质量及验收要求</w:t>
            </w:r>
          </w:p>
          <w:p w14:paraId="17769744">
            <w:pPr>
              <w:jc w:val="both"/>
              <w:rPr>
                <w:rFonts w:hint="eastAsia"/>
                <w:sz w:val="21"/>
              </w:rPr>
            </w:pPr>
            <w:r>
              <w:rPr>
                <w:rFonts w:hint="eastAsia"/>
                <w:sz w:val="21"/>
              </w:rPr>
              <w:t>质量及服务要求</w:t>
            </w:r>
          </w:p>
          <w:p w14:paraId="78206759">
            <w:pPr>
              <w:jc w:val="both"/>
              <w:rPr>
                <w:rFonts w:hint="eastAsia"/>
                <w:sz w:val="21"/>
              </w:rPr>
            </w:pPr>
            <w:r>
              <w:rPr>
                <w:rFonts w:hint="eastAsia"/>
                <w:sz w:val="21"/>
              </w:rPr>
              <w:t>1.成交供应商必须提供原装、正版、全新货物，并且符合国家以及该货物的出厂标准，严禁提供假、冒、伪、劣和以次充好的货物。</w:t>
            </w:r>
          </w:p>
          <w:p w14:paraId="4BB8642C">
            <w:pPr>
              <w:jc w:val="both"/>
              <w:rPr>
                <w:rFonts w:hint="eastAsia"/>
                <w:sz w:val="21"/>
              </w:rPr>
            </w:pPr>
            <w:r>
              <w:rPr>
                <w:rFonts w:hint="eastAsia"/>
                <w:sz w:val="21"/>
              </w:rPr>
              <w:t>2.所有货物均应至少提供按国家“三包”政策规定的质保服务 ，如制造商/供应商的质保期服务承诺优于国家标准，则按制造商、供应商的承诺执行。若货物质量出现问题，成交供应商应负责包换，产生的费用由成交供应商负责，对出现严重质量问题的，采购人有权要求退货。</w:t>
            </w:r>
          </w:p>
          <w:p w14:paraId="4E650313">
            <w:pPr>
              <w:jc w:val="both"/>
              <w:rPr>
                <w:rFonts w:hint="eastAsia"/>
                <w:sz w:val="21"/>
              </w:rPr>
            </w:pPr>
            <w:r>
              <w:rPr>
                <w:rFonts w:hint="eastAsia"/>
                <w:sz w:val="21"/>
              </w:rPr>
              <w:t>3.成交供应商对所提供的货物有告知正确使用方法的义务及注意事项。</w:t>
            </w:r>
          </w:p>
          <w:p w14:paraId="482802C3">
            <w:pPr>
              <w:jc w:val="both"/>
              <w:rPr>
                <w:rFonts w:hint="eastAsia"/>
                <w:sz w:val="21"/>
              </w:rPr>
            </w:pPr>
            <w:r>
              <w:rPr>
                <w:rFonts w:hint="eastAsia"/>
                <w:sz w:val="21"/>
              </w:rPr>
              <w:t>4.成交供应商所供货物多次达不到采购人要求，或情节严重的，采购人有权终止合约。</w:t>
            </w:r>
          </w:p>
          <w:p w14:paraId="21AB9BAC">
            <w:pPr>
              <w:jc w:val="both"/>
              <w:rPr>
                <w:rFonts w:hint="eastAsia"/>
                <w:sz w:val="21"/>
              </w:rPr>
            </w:pPr>
            <w:r>
              <w:rPr>
                <w:rFonts w:hint="eastAsia"/>
                <w:sz w:val="21"/>
              </w:rPr>
              <w:t>5.成交供应商所供货物质保期内，货物出现质量问题，服务响应时间为十五分钟内，一小时内到达现场处理。所有质保服务方式均为供应商上门服务，即由成交供应商派人员到货物使用现场更换，由此产生的一切费用均由供应商承担。若采购人紧急使用时，成交供应商收到通知后应在4小时内完成退换。</w:t>
            </w:r>
          </w:p>
          <w:p w14:paraId="61E634AB">
            <w:pPr>
              <w:jc w:val="both"/>
              <w:rPr>
                <w:rFonts w:hint="eastAsia" w:ascii="宋体" w:hAnsi="宋体" w:eastAsia="宋体" w:cs="宋体"/>
                <w:sz w:val="21"/>
                <w:szCs w:val="21"/>
                <w:lang w:val="en-US" w:eastAsia="zh-CN"/>
              </w:rPr>
            </w:pPr>
            <w:r>
              <w:rPr>
                <w:rFonts w:hint="eastAsia"/>
                <w:sz w:val="21"/>
              </w:rPr>
              <w:t>6.项目采购清单不提供采购数量，合同执行期间采购人根据实际需求增减各货物的采购数量。</w:t>
            </w:r>
          </w:p>
        </w:tc>
        <w:tc>
          <w:tcPr>
            <w:tcW w:w="1541" w:type="dxa"/>
            <w:vAlign w:val="top"/>
          </w:tcPr>
          <w:p w14:paraId="659B76A9">
            <w:pPr>
              <w:pStyle w:val="7"/>
              <w:rPr>
                <w:rFonts w:hint="eastAsia" w:ascii="宋体" w:hAnsi="宋体" w:eastAsia="宋体" w:cs="宋体"/>
                <w:sz w:val="21"/>
                <w:szCs w:val="21"/>
              </w:rPr>
            </w:pPr>
          </w:p>
        </w:tc>
        <w:tc>
          <w:tcPr>
            <w:tcW w:w="1510" w:type="dxa"/>
            <w:vAlign w:val="top"/>
          </w:tcPr>
          <w:p w14:paraId="4B54845C">
            <w:pPr>
              <w:pStyle w:val="7"/>
              <w:rPr>
                <w:rFonts w:hint="eastAsia" w:ascii="宋体" w:hAnsi="宋体" w:eastAsia="宋体" w:cs="宋体"/>
                <w:sz w:val="21"/>
                <w:szCs w:val="21"/>
              </w:rPr>
            </w:pPr>
          </w:p>
        </w:tc>
      </w:tr>
      <w:tr w14:paraId="73A80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80C9119">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5373" w:type="dxa"/>
            <w:vAlign w:val="top"/>
          </w:tcPr>
          <w:p w14:paraId="058193BA">
            <w:pPr>
              <w:jc w:val="left"/>
              <w:rPr>
                <w:rFonts w:hint="eastAsia"/>
                <w:b w:val="0"/>
                <w:bCs/>
                <w:sz w:val="21"/>
                <w:lang w:eastAsia="zh-CN"/>
              </w:rPr>
            </w:pPr>
            <w:r>
              <w:rPr>
                <w:rFonts w:hint="eastAsia"/>
                <w:b w:val="0"/>
                <w:bCs/>
                <w:sz w:val="21"/>
                <w:lang w:eastAsia="zh-CN"/>
              </w:rPr>
              <w:t>1.供货方法：成交供应商必须按照采购人的采购订单进行供货，并按采购人提供的品种、数量、质量等将所需货物送到采购人指定的地点。</w:t>
            </w:r>
          </w:p>
          <w:p w14:paraId="54447C4F">
            <w:pPr>
              <w:jc w:val="left"/>
              <w:rPr>
                <w:rFonts w:hint="eastAsia"/>
                <w:b w:val="0"/>
                <w:bCs/>
                <w:sz w:val="21"/>
                <w:lang w:eastAsia="zh-CN"/>
              </w:rPr>
            </w:pPr>
            <w:r>
              <w:rPr>
                <w:rFonts w:hint="eastAsia"/>
                <w:b w:val="0"/>
                <w:bCs/>
                <w:sz w:val="21"/>
                <w:lang w:eastAsia="zh-CN"/>
              </w:rPr>
              <w:t>2.供货一周两次（急需物资配送除外），根据采购人需求确定时间，成交供应商收到采购人供货通知后，响应时间为30分钟内，原则上24小时内送达。急需物资供应商应一小时内将所需货物送到采购人指定的地点。</w:t>
            </w:r>
          </w:p>
          <w:p w14:paraId="49F04976">
            <w:pPr>
              <w:jc w:val="left"/>
              <w:rPr>
                <w:rFonts w:hint="eastAsia" w:ascii="宋体" w:hAnsi="宋体" w:eastAsia="宋体" w:cs="宋体"/>
                <w:sz w:val="21"/>
                <w:szCs w:val="21"/>
                <w:lang w:val="en-US" w:eastAsia="zh-CN"/>
              </w:rPr>
            </w:pPr>
            <w:r>
              <w:rPr>
                <w:rFonts w:hint="eastAsia"/>
                <w:b w:val="0"/>
                <w:bCs/>
                <w:sz w:val="21"/>
                <w:lang w:eastAsia="zh-CN"/>
              </w:rPr>
              <w:t>3.由于本次采购货物种类繁多，部分通用类物资规格型号无法准确描述，实际供货时，以京东自营或淘宝天猫的价格供给采购人，成交供应商须无条件配合提供采购人实际需要的货物。</w:t>
            </w:r>
          </w:p>
        </w:tc>
        <w:tc>
          <w:tcPr>
            <w:tcW w:w="1541" w:type="dxa"/>
            <w:vAlign w:val="top"/>
          </w:tcPr>
          <w:p w14:paraId="0F2EBC3F">
            <w:pPr>
              <w:pStyle w:val="7"/>
              <w:rPr>
                <w:rFonts w:hint="eastAsia" w:ascii="宋体" w:hAnsi="宋体" w:eastAsia="宋体" w:cs="宋体"/>
                <w:sz w:val="21"/>
                <w:szCs w:val="21"/>
              </w:rPr>
            </w:pPr>
          </w:p>
        </w:tc>
        <w:tc>
          <w:tcPr>
            <w:tcW w:w="1510" w:type="dxa"/>
            <w:vAlign w:val="top"/>
          </w:tcPr>
          <w:p w14:paraId="0FDABF3E">
            <w:pPr>
              <w:pStyle w:val="7"/>
              <w:rPr>
                <w:rFonts w:hint="eastAsia" w:ascii="宋体" w:hAnsi="宋体" w:eastAsia="宋体" w:cs="宋体"/>
                <w:sz w:val="21"/>
                <w:szCs w:val="21"/>
              </w:rPr>
            </w:pPr>
          </w:p>
        </w:tc>
      </w:tr>
      <w:tr w14:paraId="42914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52EB871">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5373" w:type="dxa"/>
            <w:vAlign w:val="top"/>
          </w:tcPr>
          <w:p w14:paraId="221B29DC">
            <w:pPr>
              <w:jc w:val="both"/>
              <w:rPr>
                <w:rFonts w:hint="eastAsia"/>
                <w:b/>
                <w:bCs/>
                <w:sz w:val="21"/>
                <w:lang w:eastAsia="zh-CN"/>
              </w:rPr>
            </w:pPr>
            <w:r>
              <w:rPr>
                <w:rFonts w:hint="eastAsia"/>
                <w:b/>
                <w:bCs/>
                <w:sz w:val="21"/>
                <w:lang w:eastAsia="zh-CN"/>
              </w:rPr>
              <w:t>支付方式：</w:t>
            </w:r>
          </w:p>
          <w:p w14:paraId="244998EF">
            <w:pPr>
              <w:jc w:val="both"/>
            </w:pPr>
            <w:r>
              <w:rPr>
                <w:sz w:val="21"/>
              </w:rPr>
              <w:t>1.每季度进行一次结算，成交供应商出具零星工程结算书，采购人委托第三方具备资质公司进行结算审核，以结算审核价乘以成交折扣率进行项目结算。（具体计算工程结算费用方式：工程结算费用</w:t>
            </w:r>
            <w:r>
              <w:rPr>
                <w:rFonts w:hint="eastAsia"/>
                <w:sz w:val="21"/>
                <w:lang w:val="en-US" w:eastAsia="zh-CN"/>
              </w:rPr>
              <w:t>=</w:t>
            </w:r>
            <w:r>
              <w:rPr>
                <w:sz w:val="21"/>
              </w:rPr>
              <w:t>结算审核价×成交折扣率）</w:t>
            </w:r>
          </w:p>
          <w:p w14:paraId="721CC32C">
            <w:pPr>
              <w:keepNext w:val="0"/>
              <w:keepLines w:val="0"/>
              <w:pageBreakBefore w:val="0"/>
              <w:widowControl w:val="0"/>
              <w:suppressLineNumbers w:val="0"/>
              <w:kinsoku w:val="0"/>
              <w:wordWrap/>
              <w:overflowPunct/>
              <w:topLinePunct w:val="0"/>
              <w:autoSpaceDE w:val="0"/>
              <w:bidi w:val="0"/>
              <w:adjustRightInd w:val="0"/>
              <w:snapToGrid w:val="0"/>
              <w:spacing w:before="0" w:beforeAutospacing="0" w:after="0" w:afterAutospacing="0" w:line="260" w:lineRule="exact"/>
              <w:ind w:left="0" w:right="0"/>
              <w:jc w:val="left"/>
              <w:textAlignment w:val="baseline"/>
              <w:rPr>
                <w:rFonts w:hint="eastAsia" w:ascii="宋体" w:hAnsi="宋体" w:eastAsia="宋体" w:cs="宋体"/>
                <w:spacing w:val="-2"/>
                <w:sz w:val="21"/>
                <w:szCs w:val="21"/>
                <w:highlight w:val="none"/>
                <w:lang w:val="en-US"/>
              </w:rPr>
            </w:pPr>
            <w:r>
              <w:rPr>
                <w:rFonts w:hint="eastAsia" w:ascii="宋体" w:hAnsi="宋体" w:eastAsia="宋体" w:cs="宋体"/>
                <w:snapToGrid w:val="0"/>
                <w:color w:val="000000"/>
                <w:spacing w:val="-2"/>
                <w:kern w:val="2"/>
                <w:sz w:val="21"/>
                <w:szCs w:val="21"/>
                <w:highlight w:val="none"/>
                <w:lang w:val="en-US" w:eastAsia="zh-CN" w:bidi="ar"/>
              </w:rPr>
              <w:t>2.成交供应商季度工程结算通过后，开具相应金额的增值税普通发票之日起60个工作日内支付支付项目工程款。</w:t>
            </w:r>
          </w:p>
          <w:p w14:paraId="3708F052">
            <w:pPr>
              <w:jc w:val="left"/>
              <w:rPr>
                <w:sz w:val="21"/>
              </w:rPr>
            </w:pPr>
            <w:r>
              <w:rPr>
                <w:rFonts w:hint="eastAsia" w:ascii="宋体" w:hAnsi="宋体" w:eastAsia="宋体" w:cs="宋体"/>
                <w:snapToGrid w:val="0"/>
                <w:color w:val="000000"/>
                <w:spacing w:val="-2"/>
                <w:kern w:val="2"/>
                <w:sz w:val="21"/>
                <w:szCs w:val="21"/>
                <w:highlight w:val="none"/>
                <w:lang w:val="en-US" w:eastAsia="zh-CN" w:bidi="ar"/>
              </w:rPr>
              <w:t>2. 特别说明：合同约定的付款期限，遵守《保障中小企业款项支付条例》的规定。如供应商为中小企业，付款期限最长不超过60日。</w:t>
            </w:r>
          </w:p>
        </w:tc>
        <w:tc>
          <w:tcPr>
            <w:tcW w:w="1541" w:type="dxa"/>
            <w:vAlign w:val="top"/>
          </w:tcPr>
          <w:p w14:paraId="07F62CFD">
            <w:pPr>
              <w:pStyle w:val="7"/>
              <w:rPr>
                <w:rFonts w:hint="eastAsia" w:ascii="宋体" w:hAnsi="宋体" w:eastAsia="宋体" w:cs="宋体"/>
                <w:sz w:val="21"/>
                <w:szCs w:val="21"/>
              </w:rPr>
            </w:pPr>
          </w:p>
        </w:tc>
        <w:tc>
          <w:tcPr>
            <w:tcW w:w="1510" w:type="dxa"/>
            <w:vAlign w:val="top"/>
          </w:tcPr>
          <w:p w14:paraId="5AFF3CB9">
            <w:pPr>
              <w:pStyle w:val="7"/>
              <w:rPr>
                <w:rFonts w:hint="eastAsia" w:ascii="宋体" w:hAnsi="宋体" w:eastAsia="宋体" w:cs="宋体"/>
                <w:sz w:val="21"/>
                <w:szCs w:val="21"/>
              </w:rPr>
            </w:pPr>
          </w:p>
        </w:tc>
      </w:tr>
    </w:tbl>
    <w:p w14:paraId="008117D3">
      <w:pPr>
        <w:jc w:val="left"/>
        <w:rPr>
          <w:rFonts w:hint="eastAsia" w:ascii="宋体" w:hAnsi="宋体" w:eastAsia="宋体" w:cs="宋体"/>
          <w:snapToGrid w:val="0"/>
          <w:color w:val="000000"/>
          <w:spacing w:val="-2"/>
          <w:kern w:val="2"/>
          <w:sz w:val="21"/>
          <w:szCs w:val="21"/>
          <w:highlight w:val="none"/>
          <w:lang w:val="en-US" w:eastAsia="zh-CN" w:bidi="ar"/>
        </w:rPr>
      </w:pPr>
    </w:p>
    <w:p w14:paraId="347074B6">
      <w:pPr>
        <w:numPr>
          <w:ilvl w:val="0"/>
          <w:numId w:val="0"/>
        </w:numPr>
        <w:jc w:val="left"/>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lang w:val="en-US" w:eastAsia="zh-CN" w:bidi="ar"/>
        </w:rPr>
        <w:t>二、</w:t>
      </w: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67353"/>
    <w:rsid w:val="1C551F74"/>
    <w:rsid w:val="49630B18"/>
    <w:rsid w:val="4E5B2D9E"/>
    <w:rsid w:val="72867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2702</Words>
  <Characters>2774</Characters>
  <Lines>0</Lines>
  <Paragraphs>0</Paragraphs>
  <TotalTime>2</TotalTime>
  <ScaleCrop>false</ScaleCrop>
  <LinksUpToDate>false</LinksUpToDate>
  <CharactersWithSpaces>2777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2026-03-04T07:41:00Z</dcterms:created>
  <dc:creator>18924981193</dc:creator>
  <cp:lastModifiedBy>18924981193</cp:lastModifiedBy>
  <dcterms:modified xsi:type="dcterms:W3CDTF">2026-03-06T09:32:15Z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8F9AE296E2D9497D98503E90364D4CE2_11</vt:lpwstr>
  </property>
  <property fmtid="{D5CDD505-2E9C-101B-9397-08002B2CF9AE}" pid="4" name="KSOTemplateDocerSaveRecord">
    <vt:lpwstr>eyJoZGlkIjoiMDI1YTQ0MGQ2NDc4NmQ3MjU4NTFkMzZmNDA5NDM5ODgiLCJ1c2VySWQiOiI3MDcxOTEyNjEifQ==</vt:lpwstr>
  </property>
</Properties>
</file>