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9E8F95">
      <w:pPr>
        <w:jc w:val="center"/>
        <w:rPr>
          <w:rFonts w:hint="default"/>
          <w:lang w:val="en-US"/>
        </w:rPr>
      </w:pPr>
      <w:r>
        <w:rPr>
          <w:rFonts w:hint="eastAsia" w:ascii="仿宋" w:hAnsi="仿宋" w:eastAsia="仿宋" w:cs="仿宋"/>
          <w:b/>
          <w:bCs/>
          <w:i w:val="0"/>
          <w:color w:val="000000" w:themeColor="text1"/>
          <w:sz w:val="32"/>
          <w:szCs w:val="32"/>
          <w:highlight w:val="none"/>
          <w:u w:val="none"/>
          <w:lang w:eastAsia="zh-CN"/>
          <w14:textFill>
            <w14:solidFill>
              <w14:schemeClr w14:val="tx1"/>
            </w14:solidFill>
          </w14:textFill>
        </w:rPr>
        <w:t>博罗县农贸综合批发市场及仓储园区项目（农贸综合批发市场一期）全过程工程咨询服务</w:t>
      </w:r>
      <w:r>
        <w:rPr>
          <w:rFonts w:hint="eastAsia" w:ascii="仿宋" w:hAnsi="仿宋" w:eastAsia="仿宋" w:cs="仿宋"/>
          <w:b/>
          <w:bCs/>
          <w:i w:val="0"/>
          <w:color w:val="000000" w:themeColor="text1"/>
          <w:sz w:val="32"/>
          <w:szCs w:val="32"/>
          <w:highlight w:val="none"/>
          <w:u w:val="none"/>
          <w:lang w:val="en-US" w:eastAsia="zh-CN"/>
          <w14:textFill>
            <w14:solidFill>
              <w14:schemeClr w14:val="tx1"/>
            </w14:solidFill>
          </w14:textFill>
        </w:rPr>
        <w:t>招标公告</w:t>
      </w:r>
    </w:p>
    <w:tbl>
      <w:tblPr>
        <w:tblStyle w:val="3"/>
        <w:tblpPr w:leftFromText="180" w:rightFromText="180" w:vertAnchor="text" w:horzAnchor="page" w:tblpX="1162" w:tblpY="288"/>
        <w:tblOverlap w:val="never"/>
        <w:tblW w:w="96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1856"/>
        <w:gridCol w:w="2022"/>
        <w:gridCol w:w="1436"/>
        <w:gridCol w:w="2189"/>
        <w:gridCol w:w="2189"/>
      </w:tblGrid>
      <w:tr w14:paraId="2A15C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7909CAEA">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bookmarkStart w:id="0" w:name="_GoBack"/>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投资项目代码</w:t>
            </w:r>
          </w:p>
        </w:tc>
        <w:tc>
          <w:tcPr>
            <w:tcW w:w="7836" w:type="dxa"/>
            <w:gridSpan w:val="4"/>
            <w:noWrap w:val="0"/>
            <w:vAlign w:val="center"/>
          </w:tcPr>
          <w:p w14:paraId="5F1486FA">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sz w:val="28"/>
                <w:szCs w:val="28"/>
                <w:highlight w:val="none"/>
                <w:u w:val="none"/>
                <w14:textFill>
                  <w14:solidFill>
                    <w14:schemeClr w14:val="tx1"/>
                  </w14:solidFill>
                </w14:textFill>
              </w:rPr>
              <w:t>2507-441322-04-01-983835</w:t>
            </w:r>
          </w:p>
        </w:tc>
      </w:tr>
      <w:tr w14:paraId="5E60F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434CC53C">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投资项目名称</w:t>
            </w:r>
          </w:p>
        </w:tc>
        <w:tc>
          <w:tcPr>
            <w:tcW w:w="7836" w:type="dxa"/>
            <w:gridSpan w:val="4"/>
            <w:noWrap w:val="0"/>
            <w:vAlign w:val="center"/>
          </w:tcPr>
          <w:p w14:paraId="37FEB51D">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博罗县农贸综合批发市场及仓储园区</w:t>
            </w: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项目</w:t>
            </w:r>
          </w:p>
        </w:tc>
      </w:tr>
      <w:tr w14:paraId="7243D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56DAE3F6">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招标项目名称</w:t>
            </w:r>
          </w:p>
        </w:tc>
        <w:tc>
          <w:tcPr>
            <w:tcW w:w="7836" w:type="dxa"/>
            <w:gridSpan w:val="4"/>
            <w:noWrap w:val="0"/>
            <w:vAlign w:val="center"/>
          </w:tcPr>
          <w:p w14:paraId="2583EE07">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博罗县农贸综合批发市场及仓储园区项目（农贸综合批发市场一期）全过程工程咨询服务</w:t>
            </w:r>
          </w:p>
        </w:tc>
      </w:tr>
      <w:tr w14:paraId="08AFB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28917C5A">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标段（包）名称</w:t>
            </w:r>
          </w:p>
        </w:tc>
        <w:tc>
          <w:tcPr>
            <w:tcW w:w="2022" w:type="dxa"/>
            <w:noWrap w:val="0"/>
            <w:vAlign w:val="center"/>
          </w:tcPr>
          <w:p w14:paraId="2F4BDF88">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 xml:space="preserve"> /</w:t>
            </w:r>
          </w:p>
        </w:tc>
        <w:tc>
          <w:tcPr>
            <w:tcW w:w="1436" w:type="dxa"/>
            <w:noWrap w:val="0"/>
            <w:vAlign w:val="center"/>
          </w:tcPr>
          <w:p w14:paraId="41691190">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公告性质</w:t>
            </w:r>
          </w:p>
        </w:tc>
        <w:tc>
          <w:tcPr>
            <w:tcW w:w="4378" w:type="dxa"/>
            <w:gridSpan w:val="2"/>
            <w:noWrap w:val="0"/>
            <w:vAlign w:val="center"/>
          </w:tcPr>
          <w:p w14:paraId="6E87B340">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正常</w:t>
            </w:r>
          </w:p>
        </w:tc>
      </w:tr>
      <w:tr w14:paraId="022CE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277FACDA">
            <w:pPr>
              <w:keepNext w:val="0"/>
              <w:keepLines w:val="0"/>
              <w:widowControl/>
              <w:suppressLineNumbers w:val="0"/>
              <w:jc w:val="center"/>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资格审查方式</w:t>
            </w:r>
          </w:p>
        </w:tc>
        <w:tc>
          <w:tcPr>
            <w:tcW w:w="7836" w:type="dxa"/>
            <w:gridSpan w:val="4"/>
            <w:noWrap w:val="0"/>
            <w:vAlign w:val="center"/>
          </w:tcPr>
          <w:p w14:paraId="34061035">
            <w:pPr>
              <w:keepNext w:val="0"/>
              <w:keepLines w:val="0"/>
              <w:widowControl/>
              <w:suppressLineNumbers w:val="0"/>
              <w:jc w:val="center"/>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资格后审</w:t>
            </w:r>
          </w:p>
        </w:tc>
      </w:tr>
      <w:tr w14:paraId="3B6A3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73CAC295">
            <w:pPr>
              <w:keepNext w:val="0"/>
              <w:keepLines w:val="0"/>
              <w:widowControl/>
              <w:suppressLineNumbers w:val="0"/>
              <w:jc w:val="center"/>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招标项目实施</w:t>
            </w:r>
          </w:p>
          <w:p w14:paraId="3E7B09B2">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（交货）地点</w:t>
            </w:r>
          </w:p>
        </w:tc>
        <w:tc>
          <w:tcPr>
            <w:tcW w:w="7836" w:type="dxa"/>
            <w:gridSpan w:val="4"/>
            <w:noWrap w:val="0"/>
            <w:vAlign w:val="center"/>
          </w:tcPr>
          <w:p w14:paraId="0F4D67A6">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惠州市博罗县罗阳街道塱头村横岭经济合作社蓄能路东侧地段</w:t>
            </w:r>
          </w:p>
        </w:tc>
      </w:tr>
      <w:tr w14:paraId="0B906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657CCCE5">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资金来源</w:t>
            </w:r>
          </w:p>
        </w:tc>
        <w:tc>
          <w:tcPr>
            <w:tcW w:w="2022" w:type="dxa"/>
            <w:noWrap w:val="0"/>
            <w:vAlign w:val="center"/>
          </w:tcPr>
          <w:p w14:paraId="420896AB">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lang w:val="en-US"/>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自筹资金、政策性金融工具融资、其它贷款</w:t>
            </w:r>
          </w:p>
        </w:tc>
        <w:tc>
          <w:tcPr>
            <w:tcW w:w="1436" w:type="dxa"/>
            <w:noWrap w:val="0"/>
            <w:vAlign w:val="center"/>
          </w:tcPr>
          <w:p w14:paraId="468A0147">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资金来源构成</w:t>
            </w:r>
          </w:p>
        </w:tc>
        <w:tc>
          <w:tcPr>
            <w:tcW w:w="4378" w:type="dxa"/>
            <w:gridSpan w:val="2"/>
            <w:noWrap w:val="0"/>
            <w:vAlign w:val="center"/>
          </w:tcPr>
          <w:p w14:paraId="60FF58B0">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主要渠道为</w:t>
            </w: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通过企业</w:t>
            </w: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自筹</w:t>
            </w: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资金以及银行融资、</w:t>
            </w: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其他贷款</w:t>
            </w: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等多种渠道筹集</w:t>
            </w:r>
          </w:p>
        </w:tc>
      </w:tr>
      <w:tr w14:paraId="41E19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485329DF">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招标范围及规模</w:t>
            </w:r>
          </w:p>
        </w:tc>
        <w:tc>
          <w:tcPr>
            <w:tcW w:w="7836" w:type="dxa"/>
            <w:gridSpan w:val="4"/>
            <w:noWrap w:val="0"/>
            <w:vAlign w:val="center"/>
          </w:tcPr>
          <w:p w14:paraId="497FA3C5">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本项目包含农贸展销、邻里商业和物流仓储3个主题功能分区，占地面积64117.75㎡，建筑面积164400㎡，计容经营面积为128400㎡。投资估算：根据项目建设内容和分类建设规模，项目一期总投资包含工程费用、工程建设其他费用、预备费、建设期利息四个部分，其中工程费用68433.25万元（含冷库设备安装及保温工程2500万元），工程建设其他费用38193.5万元，预备费4659.34万元，建设期利息5670万元，合计116956.10万元。总投资额最终以批复的项目投资为准。</w:t>
            </w:r>
          </w:p>
        </w:tc>
      </w:tr>
      <w:tr w14:paraId="7F098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1B973442">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招标内容</w:t>
            </w:r>
          </w:p>
        </w:tc>
        <w:tc>
          <w:tcPr>
            <w:tcW w:w="7836" w:type="dxa"/>
            <w:gridSpan w:val="4"/>
            <w:noWrap w:val="0"/>
            <w:vAlign w:val="center"/>
          </w:tcPr>
          <w:p w14:paraId="3C36CFA7">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一、全过程项目管理</w:t>
            </w:r>
          </w:p>
          <w:p w14:paraId="03E8FA71">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协助招标人组织项目全过程工程咨询目标策划，明确总体目标、分项目标及阶段目标；协助招标人编制全过程工程咨询的工作总计划、分项计划及阶段计划；协助招标人统筹协调项目的外部关系，起草相应文件；</w:t>
            </w:r>
          </w:p>
          <w:p w14:paraId="63768D66">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2、组建后台技术支撑团队，协助招标人指导和支持管理团队开展建设全过程技术管理与咨询、投资控制管理、进度管理、安全管理、质量管理等具体的项目管理工作；</w:t>
            </w:r>
          </w:p>
          <w:p w14:paraId="0FEA1F7F">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3、协助招标人拟定详细的项目管理实施方案；</w:t>
            </w:r>
          </w:p>
          <w:p w14:paraId="00D08C26">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4、协助招标人组织召开项目工作协调会议、论证会议，负责会议材料、场地、设备等会务工作；</w:t>
            </w:r>
          </w:p>
          <w:p w14:paraId="27FD5A24">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5、协助招标人办理所有报建报批手续；</w:t>
            </w:r>
          </w:p>
          <w:p w14:paraId="7187BFF3">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6、协助招标人开展设计文件、报建报批文件等文件档案的规范化管理工作；</w:t>
            </w:r>
          </w:p>
          <w:p w14:paraId="46AD40B6">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7、协助招标人开展项目咨询服务合同的起草、谈判、签订和管理工作，负责对咨询服务单位的咨询进度、咨询质量进行管理、监督与考核；</w:t>
            </w:r>
          </w:p>
          <w:p w14:paraId="212D590D">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8、支持并协助招标人开展项目管理标准和规范的研究和编制工作；</w:t>
            </w:r>
          </w:p>
          <w:p w14:paraId="30BEA83D">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9、协助并与招标人共同开展各项招标工作，负责准备招标所具备的各项前期资料，审核招标过程的各项资料，在各项招标确定了中标人后，协助招标人开展各类承包合同的起草、谈判、签订和管理工作，负责对承包单位的进度、质量进行管理、监督与考核；</w:t>
            </w:r>
          </w:p>
          <w:p w14:paraId="4ED5496D">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10、协助招标人对项目资金进行管控，协助招标人对本工程的各服务单位、承包单位和供应商等的费用支付申请进行审核并递交相关部门审批。</w:t>
            </w:r>
          </w:p>
          <w:p w14:paraId="4C811102">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二、绿色建筑工程咨询</w:t>
            </w:r>
          </w:p>
          <w:p w14:paraId="5B2259A0">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绿色建筑工程咨询服务内容主要包括项目规划、设计、施工及运营阶段的全流程支持，涵盖绿色建筑目标制定、技术方案设计、施工管理及认证申报等核心环节。</w:t>
            </w:r>
          </w:p>
          <w:p w14:paraId="315F1B75">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1、项目规划与目标制定：协助业主确定绿色建筑目标（如 LEED、三星级绿色建筑等认证等级），分析场地自然条件及周边环境对设计的影响，并提出改进建议。</w:t>
            </w:r>
          </w:p>
          <w:p w14:paraId="52847866">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2、建筑设计咨询：从绿色建筑理念出发，优化建筑布局、朝向、体型系数及围护结构设计，提升能源效率和环境性能。</w:t>
            </w:r>
          </w:p>
          <w:p w14:paraId="4BE96673">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3、施工管理咨询：指导施工单位实施绿色施工措施（如节能、节水、减少建筑垃圾），监督措施执行情况，并提供施工组织方案及技术要求。</w:t>
            </w:r>
          </w:p>
          <w:p w14:paraId="3012A746">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4、运营管理咨询：制定绿色建筑运营方案，包括设备维护、能源管理及室内环境质量监测，确保运营阶段符合绿色建筑标准。</w:t>
            </w:r>
          </w:p>
          <w:p w14:paraId="2D8541F0">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三、节能评估报告：对项目选址、总平面布置、生产工艺、用能设备等方案进行节能合规性分析，确保符合节能设计规范。包括：墙体、幕墙、门窗、屋面、地面等建筑节能工程，采暖、通风与空调、冷热源及管网等系统节能工程，配电与照明、监测与控制等节能工程。</w:t>
            </w:r>
          </w:p>
          <w:p w14:paraId="4C3387A6">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四、概算审核</w:t>
            </w:r>
          </w:p>
          <w:p w14:paraId="5152FA99">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工程概算审核是确保建设项目投资合理、合规的关键环节，其核心内容主要包括以下方面：</w:t>
            </w:r>
          </w:p>
          <w:p w14:paraId="371A5C95">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编制依据的合法性审查：重点核查概算是否依据批准的计划任务书编制，采用的定额、指标、材料价格及费用标准是否符合现行规定，未明确规定的费用是否有合理测算依据。需确保所有依据经过国家或授权机关批准，禁止擅自提高费用标准。</w:t>
            </w:r>
          </w:p>
          <w:p w14:paraId="043762B9">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2、工程量与定额套用的准确性审核：工程量审查，根据初步设计图纸和计算规则，核对工程量计算是否准确，尤其关注基础工程、钢结构等高投资分项及易重复计算项目（如土方工程）。定额与指标审查，检查定额适用范围、基价调整及补充定额的合理性，确保与现行定额水平一致。材料预算价格审查，以耗用量大的主要材料为重点，核实原价、运输费用及节约措施。</w:t>
            </w:r>
          </w:p>
          <w:p w14:paraId="2412B91A">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3、费用构成与取费标准的合规性审核：建筑安装工程费用，审查分项工程费用是否完整，有无漏项或设计外项目列入概算。其他费用，包括建设单位管理费、勘察设计费、监理费等，需按国家规定标准审核；土地使用权费用需核定用地数量及取得方式。取费标准，核查间接费、材料价差等是否符合合同或行业规定，防止高套定额或重复计费等。</w:t>
            </w:r>
          </w:p>
          <w:p w14:paraId="70C921D1">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五、初步设计文件审查</w:t>
            </w:r>
          </w:p>
          <w:p w14:paraId="7285A5CA">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初步设计文件审查内容包括但不限于：</w:t>
            </w:r>
          </w:p>
          <w:p w14:paraId="7250AECF">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1、设计文件的完整性、正确性及设计深度情况；</w:t>
            </w:r>
          </w:p>
          <w:p w14:paraId="3ABE38AF">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2、初步设计是否合理及优化；</w:t>
            </w:r>
          </w:p>
          <w:p w14:paraId="5C6B47B5">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3、对技术规范、规程和标准的执行情况；</w:t>
            </w:r>
          </w:p>
          <w:p w14:paraId="4C098D71">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4、工程设计概算是否在限额设计投资控制范围内；</w:t>
            </w:r>
          </w:p>
          <w:p w14:paraId="2D90116F">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5、提出优化设计的意见和建议，及其预计的社会经济效益。</w:t>
            </w:r>
          </w:p>
          <w:p w14:paraId="45FCDDF8">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六、施工图技术审查（含消防、人防审查）</w:t>
            </w:r>
          </w:p>
          <w:p w14:paraId="2128D3F5">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施工图审查的范围为本项目的所有勘察设计文件审查，包括施工图设计全过程、各专业的设计文件、技术文件（含勘察文件）等文件，根据《房屋建筑和市政基础设施工程施工图设计文件审查管理办法》（2013年住建部令第13号）及最新的国家相关标准、规范和广东省、惠州市相关文件要求，出具符合要求的施工图审查报告，以及在施工阶段的设计变更审核意见。</w:t>
            </w:r>
          </w:p>
          <w:p w14:paraId="2BF09D10">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施工图审查的工作内容包括但不限于：</w:t>
            </w:r>
          </w:p>
          <w:p w14:paraId="3480B51A">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依据上级主管部门对于工程的初步设计文件的审查批复意见，审查施工图设计中的执行情况，审查是否满足批复意见的要求。对工程勘察测量工作进行审查、验收，审查工程勘察测量工作及成果报告是否满足有关规范、设计要求。</w:t>
            </w:r>
          </w:p>
          <w:p w14:paraId="00C12A6A">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2、是否符合《工程建设标准强制性条文》和其他涉及公共安全、公共利益和工程建设强制性标准。</w:t>
            </w:r>
          </w:p>
          <w:p w14:paraId="034C2EFE">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3、是否符合国家现行消防相关规范及《广东省住房和城乡建设厅关于贯彻落实〈建设工程消防设计审查验收工作细则〉和〈建设工程消防设计审查、消防验收、备案和抽查文书式样〉的通知》（粤建质函〔2020〕301号）等相关文件要求。</w:t>
            </w:r>
          </w:p>
          <w:p w14:paraId="57336BFC">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4、岩土勘察文件提供的技术参数是否详细、准确、合理，基础方案是否经济合理、可行，其结论与建议是否存在安全隐患；工程勘察成果报告是否达到国家规定的深度及是否满足设计要求；是否按照批准的初步设计文件进行施工图设计，施工图是否达到规定的深度要求。</w:t>
            </w:r>
          </w:p>
          <w:p w14:paraId="2F94BB2D">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5、建筑物的稳定性、安全性审查，包括地基基础和主体结构体系是否安全、可靠。</w:t>
            </w:r>
          </w:p>
          <w:p w14:paraId="34AC5267">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6、是否符合规划、道路、隧道、交通、排水、绿化、照明等有关强制性标准、规范。</w:t>
            </w:r>
          </w:p>
          <w:p w14:paraId="6317155B">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7、对各阶段的设计图纸、说明书进行详细的审查，并根据相关规范和相关审批或主管部门意见执行。</w:t>
            </w:r>
          </w:p>
          <w:p w14:paraId="12BC23FC">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8、是否符合公众利益。</w:t>
            </w:r>
          </w:p>
          <w:p w14:paraId="06EAE624">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9、在施工图审查过程中，对设计单位正式提交的设计文件提出具体审查意见，编制施工图审查报告。</w:t>
            </w:r>
          </w:p>
          <w:p w14:paraId="46A781F8">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10、设计单位资质、执业情况、设计文件签字盖章等是否符合国家、省、市勘察设计有关资质、市场管理、注册执业制度等方面的法律、法规和规章的规定。</w:t>
            </w:r>
          </w:p>
          <w:p w14:paraId="578B9361">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11、勘察设计企业和注册执业人员以及相关人员是否按规定在施工图上加盖相应的印章和签字。</w:t>
            </w:r>
          </w:p>
          <w:p w14:paraId="04F7DAB6">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12、国家、省、市建设主管部门规定的其他审查内容。</w:t>
            </w:r>
          </w:p>
          <w:p w14:paraId="149642E9">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13、招标人要求审查的其他内容（不含按政府有关部门规定需另行进行委托的专业）。</w:t>
            </w:r>
          </w:p>
          <w:p w14:paraId="0E824EB6">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14、将确认审查合格后的施工图设计文件、审查意见等上传广东省统一的审批监管平台。</w:t>
            </w:r>
          </w:p>
          <w:p w14:paraId="301C2813">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15、参加招标人要求的设计文件审查会和设计成果质量审核会，参加招标人认为有必要的现场设计例会；完成招标人交办的其他与施工图审查有关的事项。</w:t>
            </w:r>
          </w:p>
          <w:p w14:paraId="39E4A057">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16、在项目实施过程中，招标人有权对施工图审查范围进行适当调整（增加或减少）。</w:t>
            </w:r>
          </w:p>
          <w:p w14:paraId="65BBBCCF">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七、施工阶段全过程造价咨询服务（不含概算编制费、审核费，预算审核费）</w:t>
            </w:r>
          </w:p>
          <w:p w14:paraId="089A4D3A">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按照国家、广东省及惠州市相关法规和政策，对初步设计概算阶段、施工图设计阶段、施工阶段、施工结算阶段等开展全过程造价管理，实现整个建设项目工程造价有效控制，保障建设项目总投资目标的实现。在上述各阶段服务过程中，需协助招标人完成“三价”（概算价、预算价、结算价）有关工作及备案手续，按招标人要求提供工程造价咨询相关服务成果的纸质文件及电子文件，进行工程造价咨询服务的资料整理和归档等工作。本项目的所有造价相关费用已含在投标报价中。</w:t>
            </w:r>
          </w:p>
          <w:p w14:paraId="1362A5A7">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1、施工图设计阶段</w:t>
            </w:r>
          </w:p>
          <w:p w14:paraId="02AEB4E0">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 配合进行设计方案的比选，复核各方案的指标；</w:t>
            </w:r>
          </w:p>
          <w:p w14:paraId="48F350B5">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（2）从投资角度提出优化建议；</w:t>
            </w:r>
          </w:p>
          <w:p w14:paraId="05022159">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（3）对设计中采用的主材、设备等提供市场信息，进行方案比较，提出优化建议；</w:t>
            </w:r>
          </w:p>
          <w:p w14:paraId="4289ACC9">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（4）参加相应的设计方案论证会议、工程图纸会审、设计变更方案论证专题会，从投资管理角度提出意见；</w:t>
            </w:r>
          </w:p>
          <w:p w14:paraId="49AB41C8">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（5）编制施工图预算；分析主要工程量、分项（专项）工程造价指标的合理性、合规性；配合财政管理部门评审。</w:t>
            </w:r>
          </w:p>
          <w:p w14:paraId="38649A7A">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2、施工阶段</w:t>
            </w:r>
          </w:p>
          <w:p w14:paraId="50139AF6">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（1）中期支付：审核工程量及进度款支付；</w:t>
            </w:r>
          </w:p>
          <w:p w14:paraId="76037974">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（2）设计变更：进行变更部分分析和类别划分；审核变更预算，进行总造价影响及成本控制分析；配合变更方案比选，提出合理化建议；</w:t>
            </w:r>
          </w:p>
          <w:p w14:paraId="0DA86B94">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3）合同及索赔管理：负责处理合同索赔，维护政府方的合法权益；对索赔报告进行审查分析，收集反索赔的理由和证据，复核索赔值，提出反索赔报告；参与调解所有合同争端，负责在仲裁过程中提供理据充分的依据；</w:t>
            </w:r>
          </w:p>
          <w:p w14:paraId="2A2F136D">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（4）资料管理：建立与更新合同台账、支付台账、设计变更和签证台账、资料收发台账、索赔及反索赔台账；</w:t>
            </w:r>
          </w:p>
          <w:p w14:paraId="1B5E8D26">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（5）投资计划：审核项目总体投资进度计划、年度投资计划、月度投资计划；</w:t>
            </w:r>
          </w:p>
          <w:p w14:paraId="5E153726">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（6）投资总结：建立并动态更新投资总结表，并与目标投资比对，及时提交项目造价控制意见；</w:t>
            </w:r>
          </w:p>
          <w:p w14:paraId="433C4B7C">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（7）现场会议：委派造价人员参与例会，并定期召开造价控制会议，解决施工过程中各类造价问题。</w:t>
            </w:r>
          </w:p>
          <w:p w14:paraId="7364C9F9">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3、施工结算阶段</w:t>
            </w:r>
          </w:p>
          <w:p w14:paraId="75412ABC">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（1）审核资料的完整性和符合性（根据合同及结算资料）；</w:t>
            </w:r>
          </w:p>
          <w:p w14:paraId="0991AF44">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（2）根据合同及结算资料，对结算价格进行初步审核，并配合财政管理部门评审；</w:t>
            </w:r>
          </w:p>
          <w:p w14:paraId="7D6A2A51">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（3）审核各类服务、采购及供货合同结算；</w:t>
            </w:r>
          </w:p>
          <w:p w14:paraId="409345A9">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（4）配合项目后期的审计及评价。</w:t>
            </w:r>
          </w:p>
        </w:tc>
      </w:tr>
      <w:tr w14:paraId="31072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72B6D181">
            <w:pPr>
              <w:keepNext w:val="0"/>
              <w:keepLines w:val="0"/>
              <w:widowControl/>
              <w:suppressLineNumbers w:val="0"/>
              <w:jc w:val="center"/>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工期（交货期）</w:t>
            </w:r>
          </w:p>
        </w:tc>
        <w:tc>
          <w:tcPr>
            <w:tcW w:w="7836" w:type="dxa"/>
            <w:gridSpan w:val="4"/>
            <w:noWrap w:val="0"/>
            <w:vAlign w:val="center"/>
          </w:tcPr>
          <w:p w14:paraId="06980B20">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从签订本项目全过程咨询服务合同之日起至完成本项目施工结算初审的全过程工程咨询服务。其中，</w:t>
            </w:r>
          </w:p>
          <w:p w14:paraId="1109B920">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1、全过程项目管理：合同签订之日起至工程竣工；</w:t>
            </w:r>
          </w:p>
          <w:p w14:paraId="12B04765">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2、绿色建筑工程咨询：具备开展工作条件起，40个工作日内完成工作；</w:t>
            </w:r>
          </w:p>
          <w:p w14:paraId="06CAC0A6">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3、节能评估报告：具备开展工作条件起，30个工作日内完成工作；</w:t>
            </w:r>
          </w:p>
          <w:p w14:paraId="4920B31E">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4、概算审核：具备开展工作条件起，30个工作日内完成工作；</w:t>
            </w:r>
          </w:p>
          <w:p w14:paraId="60387BC1">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5、初步设计文件审查：具备开展工作条件起，15个工作日内完成工作；</w:t>
            </w:r>
          </w:p>
          <w:p w14:paraId="72289F13">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6、施工图技术审查（含消防、人防审查）：具备开展工作条件起，15个工作日内完成工作；</w:t>
            </w:r>
          </w:p>
          <w:p w14:paraId="501ACA6A">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7、施工阶段全过程造价咨询服务（不含概算编制、审核费，预算审核）：合同签订之日起至工程竣工；</w:t>
            </w:r>
          </w:p>
          <w:p w14:paraId="2FD1F29A">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以上分项工作，部分工作内容可以同步进行，服务期限仅为完成该单项服务内容的时间。</w:t>
            </w:r>
          </w:p>
        </w:tc>
      </w:tr>
      <w:tr w14:paraId="5F6C9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1934937D">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最高投标限价</w:t>
            </w:r>
          </w:p>
        </w:tc>
        <w:tc>
          <w:tcPr>
            <w:tcW w:w="7836" w:type="dxa"/>
            <w:gridSpan w:val="4"/>
            <w:noWrap w:val="0"/>
            <w:vAlign w:val="center"/>
          </w:tcPr>
          <w:p w14:paraId="3F96BF7C">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1073.89万元（其中：全过程项目管理费514.87万元；绿色建筑工程咨询费37.86万元；节能评估报告费10.27万元；概算审核费54.04万元；初步设计文件审查费24.01万元；施工图技术审查费（含消防、人防审查）110.68万元；施工阶段全过程造价咨询服务费（不含概算编制费、审核费，预算审核费）：322.16万元。）</w:t>
            </w:r>
          </w:p>
        </w:tc>
      </w:tr>
      <w:tr w14:paraId="116ED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515DE045">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是否接受联合体投标</w:t>
            </w:r>
          </w:p>
        </w:tc>
        <w:tc>
          <w:tcPr>
            <w:tcW w:w="7836" w:type="dxa"/>
            <w:gridSpan w:val="4"/>
            <w:noWrap w:val="0"/>
            <w:vAlign w:val="center"/>
          </w:tcPr>
          <w:p w14:paraId="3C1043A0">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是</w:t>
            </w:r>
          </w:p>
        </w:tc>
      </w:tr>
      <w:tr w14:paraId="72FBA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vMerge w:val="restart"/>
            <w:noWrap w:val="0"/>
            <w:vAlign w:val="center"/>
          </w:tcPr>
          <w:p w14:paraId="447EE5DD">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投标资格能力要求（包括但不限于资质人员、业绩等要求）</w:t>
            </w:r>
          </w:p>
        </w:tc>
        <w:tc>
          <w:tcPr>
            <w:tcW w:w="2022" w:type="dxa"/>
            <w:noWrap w:val="0"/>
            <w:vAlign w:val="center"/>
          </w:tcPr>
          <w:p w14:paraId="58742AFE">
            <w:pPr>
              <w:keepNext w:val="0"/>
              <w:keepLines w:val="0"/>
              <w:widowControl/>
              <w:suppressLineNumbers w:val="0"/>
              <w:jc w:val="center"/>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投标人资格</w:t>
            </w:r>
          </w:p>
          <w:p w14:paraId="78D741D9">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要求</w:t>
            </w:r>
          </w:p>
        </w:tc>
        <w:tc>
          <w:tcPr>
            <w:tcW w:w="5814" w:type="dxa"/>
            <w:gridSpan w:val="3"/>
            <w:noWrap w:val="0"/>
            <w:vAlign w:val="center"/>
          </w:tcPr>
          <w:p w14:paraId="2AE300E2">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1、已在中国境内注册，在法律上、财务上独立，合法运作的独立法人；</w:t>
            </w:r>
          </w:p>
          <w:p w14:paraId="2388EEC2">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2、投标人必须同时满足以下资质要求：</w:t>
            </w:r>
          </w:p>
          <w:p w14:paraId="46447EDE">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2.1、投标人（指承担设计管理、施工组织管理等主要项目管理工作的牵头单位）须具有建设行政主管部门颁发的【工程设计综合甲级】资质或具备【建筑行业甲级】及以上资质或具有【建筑行业（建筑工程）专业甲级】及以上资质；</w:t>
            </w:r>
          </w:p>
          <w:p w14:paraId="7C836CF8">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2.2、施工图审查资质要求：投标人（指承担施工图审查工作的单位）须具有建设行政主管部门颁发的施工图设计文件审查机构名录备案证书，机构类别为：一类，业务范围为：房屋建筑工程。</w:t>
            </w:r>
          </w:p>
          <w:p w14:paraId="259AAA2E">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3、本项目接受联合体投标，联合体所有成员（含牵头单位）数量不得超过 2 家，必须以设计资质的单位为牵头单位，并承担全过程工程项目管理工作，且联合体任一方不能再与其他方组成另一联合体或独立申请本项目的投标。联合体协议书必须按招标文件提供的格式填写。</w:t>
            </w:r>
          </w:p>
          <w:p w14:paraId="14FEC475">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4、项目总负责人由牵头单位派出，拟派的项目总负责人须具有工程类高级工程师或以上职称，且同时具有一级注册建筑师或一级注册结构师执业资格。</w:t>
            </w:r>
          </w:p>
          <w:p w14:paraId="521B0B17">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5、拟派的施工图审查项目负责人须具有一级注册建筑师或一级注册结构工程师执业资格。</w:t>
            </w:r>
          </w:p>
          <w:p w14:paraId="61553CCA">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6、拟派的造价项目负责人须具有一级注册造价工程师（或原住建部注册造价工程师）执业资格。</w:t>
            </w:r>
          </w:p>
          <w:p w14:paraId="23D44498">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 xml:space="preserve">7、投标人应在惠州市建筑业信用信息平台办理并通过信用信息录入，拟派本项目的项目总负责人、施工图审查项目负责人、造价项目负责人必须是惠州市建筑业信用信息平台录入的人员（提供相关网页截图）。 </w:t>
            </w:r>
          </w:p>
          <w:p w14:paraId="62681A4F">
            <w:pPr>
              <w:keepNext w:val="0"/>
              <w:keepLines w:val="0"/>
              <w:widowControl/>
              <w:suppressLineNumbers w:val="0"/>
              <w:jc w:val="left"/>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8、资格审查方式：本次招标采用资格后审方式，具体详见招标文件。</w:t>
            </w:r>
          </w:p>
        </w:tc>
      </w:tr>
      <w:tr w14:paraId="781A0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vMerge w:val="continue"/>
            <w:noWrap w:val="0"/>
            <w:vAlign w:val="center"/>
          </w:tcPr>
          <w:p w14:paraId="3813698D">
            <w:pPr>
              <w:keepNext w:val="0"/>
              <w:keepLines w:val="0"/>
              <w:widowControl/>
              <w:suppressLineNumbers w:val="0"/>
              <w:jc w:val="center"/>
              <w:textAlignment w:val="center"/>
              <w:rPr>
                <w:rFonts w:hint="eastAsia" w:ascii="仿宋" w:hAnsi="仿宋" w:eastAsia="仿宋" w:cs="仿宋"/>
                <w:b/>
                <w:bCs/>
                <w:color w:val="000000" w:themeColor="text1"/>
                <w:sz w:val="28"/>
                <w:szCs w:val="28"/>
                <w:highlight w:val="none"/>
                <w14:textFill>
                  <w14:solidFill>
                    <w14:schemeClr w14:val="tx1"/>
                  </w14:solidFill>
                </w14:textFill>
              </w:rPr>
            </w:pPr>
          </w:p>
        </w:tc>
        <w:tc>
          <w:tcPr>
            <w:tcW w:w="2022" w:type="dxa"/>
            <w:noWrap w:val="0"/>
            <w:vAlign w:val="center"/>
          </w:tcPr>
          <w:p w14:paraId="338AC1F8">
            <w:pPr>
              <w:keepNext w:val="0"/>
              <w:keepLines w:val="0"/>
              <w:widowControl/>
              <w:suppressLineNumbers w:val="0"/>
              <w:jc w:val="center"/>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投标人业绩要求</w:t>
            </w:r>
          </w:p>
        </w:tc>
        <w:tc>
          <w:tcPr>
            <w:tcW w:w="5814" w:type="dxa"/>
            <w:gridSpan w:val="3"/>
            <w:noWrap w:val="0"/>
            <w:vAlign w:val="center"/>
          </w:tcPr>
          <w:p w14:paraId="657BA4E0">
            <w:pPr>
              <w:keepNext w:val="0"/>
              <w:keepLines w:val="0"/>
              <w:widowControl/>
              <w:suppressLineNumbers w:val="0"/>
              <w:jc w:val="center"/>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w:t>
            </w:r>
          </w:p>
        </w:tc>
      </w:tr>
      <w:tr w14:paraId="5BCE5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vMerge w:val="restart"/>
            <w:noWrap w:val="0"/>
            <w:vAlign w:val="center"/>
          </w:tcPr>
          <w:p w14:paraId="3623A4C6">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是否采用电子</w:t>
            </w: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br w:type="textWrapping"/>
            </w: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招标投标方式</w:t>
            </w:r>
          </w:p>
        </w:tc>
        <w:tc>
          <w:tcPr>
            <w:tcW w:w="2022" w:type="dxa"/>
            <w:vMerge w:val="restart"/>
            <w:noWrap w:val="0"/>
            <w:vAlign w:val="center"/>
          </w:tcPr>
          <w:p w14:paraId="4E40210A">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是</w:t>
            </w:r>
          </w:p>
        </w:tc>
        <w:tc>
          <w:tcPr>
            <w:tcW w:w="1436" w:type="dxa"/>
            <w:vMerge w:val="restart"/>
            <w:noWrap w:val="0"/>
            <w:vAlign w:val="center"/>
          </w:tcPr>
          <w:p w14:paraId="3D132157">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获取招标文件的方式</w:t>
            </w:r>
          </w:p>
        </w:tc>
        <w:tc>
          <w:tcPr>
            <w:tcW w:w="2189" w:type="dxa"/>
            <w:noWrap w:val="0"/>
            <w:vAlign w:val="center"/>
          </w:tcPr>
          <w:p w14:paraId="4D17F259">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下载</w:t>
            </w: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招标文件的网络地址</w:t>
            </w:r>
          </w:p>
        </w:tc>
        <w:tc>
          <w:tcPr>
            <w:tcW w:w="2189" w:type="dxa"/>
            <w:noWrap w:val="0"/>
            <w:vAlign w:val="center"/>
          </w:tcPr>
          <w:p w14:paraId="2FC08410">
            <w:pPr>
              <w:keepNext w:val="0"/>
              <w:keepLines w:val="0"/>
              <w:widowControl/>
              <w:suppressLineNumbers w:val="0"/>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中易电子交易平台（http://www.cotenders.cn）</w:t>
            </w:r>
          </w:p>
        </w:tc>
      </w:tr>
      <w:tr w14:paraId="537E1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vMerge w:val="continue"/>
            <w:noWrap w:val="0"/>
            <w:vAlign w:val="center"/>
          </w:tcPr>
          <w:p w14:paraId="43CDB094">
            <w:pPr>
              <w:keepNext w:val="0"/>
              <w:keepLines w:val="0"/>
              <w:widowControl/>
              <w:suppressLineNumbers w:val="0"/>
              <w:jc w:val="both"/>
              <w:textAlignment w:val="center"/>
              <w:rPr>
                <w:rFonts w:hint="eastAsia" w:ascii="仿宋" w:hAnsi="仿宋" w:eastAsia="仿宋" w:cs="仿宋"/>
                <w:b/>
                <w:bCs/>
                <w:color w:val="000000" w:themeColor="text1"/>
                <w:sz w:val="28"/>
                <w:szCs w:val="28"/>
                <w:highlight w:val="none"/>
                <w14:textFill>
                  <w14:solidFill>
                    <w14:schemeClr w14:val="tx1"/>
                  </w14:solidFill>
                </w14:textFill>
              </w:rPr>
            </w:pPr>
          </w:p>
        </w:tc>
        <w:tc>
          <w:tcPr>
            <w:tcW w:w="2022" w:type="dxa"/>
            <w:vMerge w:val="continue"/>
            <w:noWrap w:val="0"/>
            <w:vAlign w:val="center"/>
          </w:tcPr>
          <w:p w14:paraId="25D7D4BE">
            <w:pPr>
              <w:keepNext w:val="0"/>
              <w:keepLines w:val="0"/>
              <w:widowControl/>
              <w:suppressLineNumbers w:val="0"/>
              <w:jc w:val="both"/>
              <w:textAlignment w:val="center"/>
              <w:rPr>
                <w:rFonts w:hint="eastAsia" w:ascii="仿宋" w:hAnsi="仿宋" w:eastAsia="仿宋" w:cs="仿宋"/>
                <w:b/>
                <w:bCs/>
                <w:color w:val="000000" w:themeColor="text1"/>
                <w:sz w:val="28"/>
                <w:szCs w:val="28"/>
                <w:highlight w:val="none"/>
                <w14:textFill>
                  <w14:solidFill>
                    <w14:schemeClr w14:val="tx1"/>
                  </w14:solidFill>
                </w14:textFill>
              </w:rPr>
            </w:pPr>
          </w:p>
        </w:tc>
        <w:tc>
          <w:tcPr>
            <w:tcW w:w="1436" w:type="dxa"/>
            <w:vMerge w:val="continue"/>
            <w:noWrap w:val="0"/>
            <w:vAlign w:val="center"/>
          </w:tcPr>
          <w:p w14:paraId="637D418C">
            <w:pPr>
              <w:keepNext w:val="0"/>
              <w:keepLines w:val="0"/>
              <w:widowControl/>
              <w:suppressLineNumbers w:val="0"/>
              <w:jc w:val="both"/>
              <w:textAlignment w:val="center"/>
              <w:rPr>
                <w:rFonts w:hint="eastAsia" w:ascii="仿宋" w:hAnsi="仿宋" w:eastAsia="仿宋" w:cs="仿宋"/>
                <w:b/>
                <w:bCs/>
                <w:color w:val="000000" w:themeColor="text1"/>
                <w:sz w:val="28"/>
                <w:szCs w:val="28"/>
                <w:highlight w:val="none"/>
                <w14:textFill>
                  <w14:solidFill>
                    <w14:schemeClr w14:val="tx1"/>
                  </w14:solidFill>
                </w14:textFill>
              </w:rPr>
            </w:pPr>
          </w:p>
        </w:tc>
        <w:tc>
          <w:tcPr>
            <w:tcW w:w="2189" w:type="dxa"/>
            <w:noWrap w:val="0"/>
            <w:vAlign w:val="center"/>
          </w:tcPr>
          <w:p w14:paraId="21EC5F84">
            <w:pPr>
              <w:keepNext w:val="0"/>
              <w:keepLines w:val="0"/>
              <w:widowControl/>
              <w:suppressLineNumbers w:val="0"/>
              <w:jc w:val="center"/>
              <w:textAlignment w:val="center"/>
              <w:rPr>
                <w:rFonts w:hint="eastAsia" w:ascii="仿宋" w:hAnsi="仿宋" w:eastAsia="仿宋" w:cs="仿宋"/>
                <w:b/>
                <w:bCs/>
                <w:color w:val="000000" w:themeColor="text1"/>
                <w:sz w:val="28"/>
                <w:szCs w:val="28"/>
                <w:highlight w:val="none"/>
                <w:lang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获取</w:t>
            </w: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招标文件的方式</w:t>
            </w:r>
          </w:p>
        </w:tc>
        <w:tc>
          <w:tcPr>
            <w:tcW w:w="2189" w:type="dxa"/>
            <w:noWrap w:val="0"/>
            <w:vAlign w:val="center"/>
          </w:tcPr>
          <w:p w14:paraId="7B5EE941">
            <w:pPr>
              <w:keepNext w:val="0"/>
              <w:keepLines w:val="0"/>
              <w:widowControl/>
              <w:suppressLineNumbers w:val="0"/>
              <w:jc w:val="left"/>
              <w:textAlignment w:val="cente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具备本公告投标人资格要求且有意参与项目投标的潜在投标人，应在获取招标文件开始时间至获取招标文件截止时间内，登录</w:t>
            </w: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中易电子交易平台</w:t>
            </w: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下载招标文件等资料。</w:t>
            </w:r>
          </w:p>
        </w:tc>
      </w:tr>
      <w:tr w14:paraId="514B9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37BDFF4C">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获取招标文件开始时间</w:t>
            </w:r>
          </w:p>
        </w:tc>
        <w:tc>
          <w:tcPr>
            <w:tcW w:w="2022" w:type="dxa"/>
            <w:noWrap w:val="0"/>
            <w:vAlign w:val="center"/>
          </w:tcPr>
          <w:p w14:paraId="3CD1519E">
            <w:pPr>
              <w:jc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 xml:space="preserve">2025年12月30日 </w:t>
            </w:r>
          </w:p>
        </w:tc>
        <w:tc>
          <w:tcPr>
            <w:tcW w:w="1436" w:type="dxa"/>
            <w:noWrap w:val="0"/>
            <w:vAlign w:val="center"/>
          </w:tcPr>
          <w:p w14:paraId="2F534EF1">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获取招标文件截止时间</w:t>
            </w:r>
          </w:p>
        </w:tc>
        <w:tc>
          <w:tcPr>
            <w:tcW w:w="4378" w:type="dxa"/>
            <w:gridSpan w:val="2"/>
            <w:noWrap w:val="0"/>
            <w:vAlign w:val="center"/>
          </w:tcPr>
          <w:p w14:paraId="7470E13B">
            <w:pPr>
              <w:jc w:val="both"/>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2026年01月07日</w:t>
            </w:r>
          </w:p>
        </w:tc>
      </w:tr>
      <w:tr w14:paraId="6826E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55F8AA38">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递交投标文件截止时间</w:t>
            </w:r>
          </w:p>
        </w:tc>
        <w:tc>
          <w:tcPr>
            <w:tcW w:w="2022" w:type="dxa"/>
            <w:noWrap w:val="0"/>
            <w:vAlign w:val="center"/>
          </w:tcPr>
          <w:p w14:paraId="016FB7B6">
            <w:pPr>
              <w:jc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 xml:space="preserve">2026年01月20日09点30分 </w:t>
            </w:r>
          </w:p>
        </w:tc>
        <w:tc>
          <w:tcPr>
            <w:tcW w:w="1436" w:type="dxa"/>
            <w:noWrap w:val="0"/>
            <w:vAlign w:val="center"/>
          </w:tcPr>
          <w:p w14:paraId="4CA50792">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投标文件递交方式</w:t>
            </w:r>
          </w:p>
        </w:tc>
        <w:tc>
          <w:tcPr>
            <w:tcW w:w="4378" w:type="dxa"/>
            <w:gridSpan w:val="2"/>
            <w:noWrap w:val="0"/>
            <w:vAlign w:val="center"/>
          </w:tcPr>
          <w:p w14:paraId="17EDFB03">
            <w:pPr>
              <w:keepNext w:val="0"/>
              <w:keepLines w:val="0"/>
              <w:widowControl/>
              <w:suppressLineNumbers w:val="0"/>
              <w:jc w:val="both"/>
              <w:textAlignment w:val="center"/>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14:textFill>
                  <w14:solidFill>
                    <w14:schemeClr w14:val="tx1"/>
                  </w14:solidFill>
                </w14:textFill>
              </w:rPr>
              <w:t>电子投标文件</w:t>
            </w: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w:t>
            </w:r>
            <w:r>
              <w:rPr>
                <w:rFonts w:hint="eastAsia" w:ascii="仿宋" w:hAnsi="仿宋" w:eastAsia="仿宋" w:cs="仿宋"/>
                <w:b/>
                <w:bCs/>
                <w:i w:val="0"/>
                <w:color w:val="000000" w:themeColor="text1"/>
                <w:sz w:val="28"/>
                <w:szCs w:val="28"/>
                <w:highlight w:val="none"/>
                <w:u w:val="none"/>
                <w14:textFill>
                  <w14:solidFill>
                    <w14:schemeClr w14:val="tx1"/>
                  </w14:solidFill>
                </w14:textFill>
              </w:rPr>
              <w:t>通过网络上传的方式，上传至</w:t>
            </w: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中易电子交易平台</w:t>
            </w:r>
            <w:r>
              <w:rPr>
                <w:rFonts w:hint="eastAsia" w:ascii="仿宋" w:hAnsi="仿宋" w:eastAsia="仿宋" w:cs="仿宋"/>
                <w:b/>
                <w:bCs/>
                <w:i w:val="0"/>
                <w:color w:val="000000" w:themeColor="text1"/>
                <w:sz w:val="28"/>
                <w:szCs w:val="28"/>
                <w:highlight w:val="none"/>
                <w:u w:val="none"/>
                <w14:textFill>
                  <w14:solidFill>
                    <w14:schemeClr w14:val="tx1"/>
                  </w14:solidFill>
                </w14:textFill>
              </w:rPr>
              <w:t>对应招标项目的指定模块。为了避免网络有堵塞和延时现象，确保各投标人能顺利完成投标工作。建议在投标截止时间24小时前完成电子投标文件上传工作。</w:t>
            </w:r>
          </w:p>
        </w:tc>
      </w:tr>
      <w:tr w14:paraId="755D5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23CEA553">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开标方式</w:t>
            </w:r>
          </w:p>
        </w:tc>
        <w:tc>
          <w:tcPr>
            <w:tcW w:w="2022" w:type="dxa"/>
            <w:noWrap w:val="0"/>
            <w:vAlign w:val="center"/>
          </w:tcPr>
          <w:p w14:paraId="615D7B98">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电子开标</w:t>
            </w:r>
          </w:p>
        </w:tc>
        <w:tc>
          <w:tcPr>
            <w:tcW w:w="1436" w:type="dxa"/>
            <w:noWrap w:val="0"/>
            <w:vAlign w:val="center"/>
          </w:tcPr>
          <w:p w14:paraId="741A680D">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开标时间地点</w:t>
            </w:r>
          </w:p>
        </w:tc>
        <w:tc>
          <w:tcPr>
            <w:tcW w:w="4378" w:type="dxa"/>
            <w:gridSpan w:val="2"/>
            <w:noWrap w:val="0"/>
            <w:vAlign w:val="center"/>
          </w:tcPr>
          <w:p w14:paraId="2FAB5311">
            <w:pPr>
              <w:keepNext w:val="0"/>
              <w:keepLines w:val="0"/>
              <w:widowControl/>
              <w:suppressLineNumbers w:val="0"/>
              <w:jc w:val="both"/>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 xml:space="preserve">开标时间：2026年01月20日09点30分  </w:t>
            </w:r>
          </w:p>
          <w:p w14:paraId="6D56023D">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开标地点：</w:t>
            </w: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惠州市江北云山菊花一路真维斯大厦A座五楼</w:t>
            </w:r>
          </w:p>
        </w:tc>
      </w:tr>
      <w:tr w14:paraId="0A865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00C0C76F">
            <w:pPr>
              <w:keepNext w:val="0"/>
              <w:keepLines w:val="0"/>
              <w:widowControl/>
              <w:suppressLineNumbers w:val="0"/>
              <w:jc w:val="center"/>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发布公告媒介</w:t>
            </w:r>
          </w:p>
        </w:tc>
        <w:tc>
          <w:tcPr>
            <w:tcW w:w="7836" w:type="dxa"/>
            <w:gridSpan w:val="4"/>
            <w:noWrap w:val="0"/>
            <w:vAlign w:val="center"/>
          </w:tcPr>
          <w:p w14:paraId="28A384A4">
            <w:pPr>
              <w:keepNext w:val="0"/>
              <w:keepLines w:val="0"/>
              <w:widowControl/>
              <w:suppressLineNumbers w:val="0"/>
              <w:jc w:val="both"/>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中易电子交易平台、广东省公共资源交易平台、中国招标投标公共服务平台</w:t>
            </w:r>
          </w:p>
        </w:tc>
      </w:tr>
      <w:tr w14:paraId="1A1E7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6E89D326">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招标人</w:t>
            </w:r>
          </w:p>
        </w:tc>
        <w:tc>
          <w:tcPr>
            <w:tcW w:w="2022" w:type="dxa"/>
            <w:noWrap w:val="0"/>
            <w:vAlign w:val="center"/>
          </w:tcPr>
          <w:p w14:paraId="3F92DA4E">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博罗县工交实业投资有限公司</w:t>
            </w:r>
          </w:p>
        </w:tc>
        <w:tc>
          <w:tcPr>
            <w:tcW w:w="1436" w:type="dxa"/>
            <w:noWrap w:val="0"/>
            <w:vAlign w:val="center"/>
          </w:tcPr>
          <w:p w14:paraId="649D26F3">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联系地址</w:t>
            </w:r>
          </w:p>
        </w:tc>
        <w:tc>
          <w:tcPr>
            <w:tcW w:w="4378" w:type="dxa"/>
            <w:gridSpan w:val="2"/>
            <w:noWrap w:val="0"/>
            <w:vAlign w:val="center"/>
          </w:tcPr>
          <w:p w14:paraId="23067560">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博罗县罗阳街道和平路32号</w:t>
            </w:r>
          </w:p>
        </w:tc>
      </w:tr>
      <w:tr w14:paraId="52D38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371AF703">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招标人联系人</w:t>
            </w:r>
          </w:p>
        </w:tc>
        <w:tc>
          <w:tcPr>
            <w:tcW w:w="2022" w:type="dxa"/>
            <w:noWrap w:val="0"/>
            <w:vAlign w:val="center"/>
          </w:tcPr>
          <w:p w14:paraId="1AD69E91">
            <w:pPr>
              <w:jc w:val="cente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邹工</w:t>
            </w:r>
          </w:p>
        </w:tc>
        <w:tc>
          <w:tcPr>
            <w:tcW w:w="1436" w:type="dxa"/>
            <w:noWrap w:val="0"/>
            <w:vAlign w:val="center"/>
          </w:tcPr>
          <w:p w14:paraId="3C79B9D1">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联系电话</w:t>
            </w:r>
          </w:p>
        </w:tc>
        <w:tc>
          <w:tcPr>
            <w:tcW w:w="4378" w:type="dxa"/>
            <w:gridSpan w:val="2"/>
            <w:noWrap w:val="0"/>
            <w:vAlign w:val="center"/>
          </w:tcPr>
          <w:p w14:paraId="781905B4">
            <w:pPr>
              <w:jc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sz w:val="28"/>
                <w:szCs w:val="28"/>
                <w:highlight w:val="none"/>
                <w:u w:val="none"/>
                <w14:textFill>
                  <w14:solidFill>
                    <w14:schemeClr w14:val="tx1"/>
                  </w14:solidFill>
                </w14:textFill>
              </w:rPr>
              <w:t>0752-6296831</w:t>
            </w:r>
          </w:p>
        </w:tc>
      </w:tr>
      <w:tr w14:paraId="36887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41C01F8E">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招标代理机构</w:t>
            </w:r>
          </w:p>
        </w:tc>
        <w:tc>
          <w:tcPr>
            <w:tcW w:w="2022" w:type="dxa"/>
            <w:noWrap w:val="0"/>
            <w:vAlign w:val="center"/>
          </w:tcPr>
          <w:p w14:paraId="3A270821">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惠州市保瑞工程咨询有限公司</w:t>
            </w:r>
          </w:p>
        </w:tc>
        <w:tc>
          <w:tcPr>
            <w:tcW w:w="1436" w:type="dxa"/>
            <w:noWrap w:val="0"/>
            <w:vAlign w:val="center"/>
          </w:tcPr>
          <w:p w14:paraId="767A89A4">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联系地址</w:t>
            </w:r>
          </w:p>
        </w:tc>
        <w:tc>
          <w:tcPr>
            <w:tcW w:w="4378" w:type="dxa"/>
            <w:gridSpan w:val="2"/>
            <w:noWrap w:val="0"/>
            <w:vAlign w:val="center"/>
          </w:tcPr>
          <w:p w14:paraId="0E9079EB">
            <w:pPr>
              <w:jc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博罗县罗阳街道水西村四期18栋2号-3号</w:t>
            </w:r>
          </w:p>
        </w:tc>
      </w:tr>
      <w:tr w14:paraId="648D4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3961CE37">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招标代理联系人</w:t>
            </w:r>
          </w:p>
        </w:tc>
        <w:tc>
          <w:tcPr>
            <w:tcW w:w="2022" w:type="dxa"/>
            <w:noWrap w:val="0"/>
            <w:vAlign w:val="center"/>
          </w:tcPr>
          <w:p w14:paraId="676CDFDA">
            <w:pPr>
              <w:jc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苏工</w:t>
            </w:r>
          </w:p>
        </w:tc>
        <w:tc>
          <w:tcPr>
            <w:tcW w:w="1436" w:type="dxa"/>
            <w:noWrap w:val="0"/>
            <w:vAlign w:val="center"/>
          </w:tcPr>
          <w:p w14:paraId="6475A40E">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联系电话</w:t>
            </w:r>
          </w:p>
        </w:tc>
        <w:tc>
          <w:tcPr>
            <w:tcW w:w="4378" w:type="dxa"/>
            <w:gridSpan w:val="2"/>
            <w:noWrap w:val="0"/>
            <w:vAlign w:val="center"/>
          </w:tcPr>
          <w:p w14:paraId="5928F93B">
            <w:pPr>
              <w:jc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0752-6650009</w:t>
            </w:r>
          </w:p>
        </w:tc>
      </w:tr>
      <w:tr w14:paraId="10A57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6CF98E7D">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招标监督机构</w:t>
            </w:r>
          </w:p>
        </w:tc>
        <w:tc>
          <w:tcPr>
            <w:tcW w:w="2022" w:type="dxa"/>
            <w:noWrap w:val="0"/>
            <w:vAlign w:val="center"/>
          </w:tcPr>
          <w:p w14:paraId="44F94717">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博罗县工交实业投资有限公司</w:t>
            </w:r>
          </w:p>
        </w:tc>
        <w:tc>
          <w:tcPr>
            <w:tcW w:w="1436" w:type="dxa"/>
            <w:noWrap w:val="0"/>
            <w:vAlign w:val="center"/>
          </w:tcPr>
          <w:p w14:paraId="66FF1D19">
            <w:pPr>
              <w:keepNext w:val="0"/>
              <w:keepLines w:val="0"/>
              <w:widowControl/>
              <w:suppressLineNumbers w:val="0"/>
              <w:jc w:val="center"/>
              <w:textAlignment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联系电话</w:t>
            </w:r>
          </w:p>
        </w:tc>
        <w:tc>
          <w:tcPr>
            <w:tcW w:w="4378" w:type="dxa"/>
            <w:gridSpan w:val="2"/>
            <w:noWrap w:val="0"/>
            <w:vAlign w:val="center"/>
          </w:tcPr>
          <w:p w14:paraId="1B258539">
            <w:pPr>
              <w:jc w:val="center"/>
              <w:rPr>
                <w:rFonts w:hint="eastAsia" w:ascii="仿宋" w:hAnsi="仿宋" w:eastAsia="仿宋" w:cs="仿宋"/>
                <w:b/>
                <w:bCs/>
                <w:i w:val="0"/>
                <w:color w:val="000000" w:themeColor="text1"/>
                <w:sz w:val="28"/>
                <w:szCs w:val="28"/>
                <w:highlight w:val="none"/>
                <w:u w:val="none"/>
                <w14:textFill>
                  <w14:solidFill>
                    <w14:schemeClr w14:val="tx1"/>
                  </w14:solidFill>
                </w14:textFill>
              </w:rPr>
            </w:pPr>
            <w:r>
              <w:rPr>
                <w:rFonts w:hint="eastAsia" w:ascii="仿宋" w:hAnsi="仿宋" w:eastAsia="仿宋" w:cs="仿宋"/>
                <w:b/>
                <w:bCs/>
                <w:i w:val="0"/>
                <w:color w:val="000000" w:themeColor="text1"/>
                <w:sz w:val="28"/>
                <w:szCs w:val="28"/>
                <w:highlight w:val="none"/>
                <w:u w:val="none"/>
                <w14:textFill>
                  <w14:solidFill>
                    <w14:schemeClr w14:val="tx1"/>
                  </w14:solidFill>
                </w14:textFill>
              </w:rPr>
              <w:t>0752-6296831</w:t>
            </w:r>
          </w:p>
        </w:tc>
      </w:tr>
      <w:tr w14:paraId="37213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47DCF7AD">
            <w:pPr>
              <w:keepNext w:val="0"/>
              <w:keepLines w:val="0"/>
              <w:widowControl/>
              <w:suppressLineNumbers w:val="0"/>
              <w:jc w:val="center"/>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其他依法应当载明的内容</w:t>
            </w:r>
          </w:p>
        </w:tc>
        <w:tc>
          <w:tcPr>
            <w:tcW w:w="7836" w:type="dxa"/>
            <w:gridSpan w:val="4"/>
            <w:noWrap w:val="0"/>
            <w:vAlign w:val="center"/>
          </w:tcPr>
          <w:p w14:paraId="6810885A">
            <w:pPr>
              <w:keepNext w:val="0"/>
              <w:keepLines w:val="0"/>
              <w:pageBreakBefore w:val="0"/>
              <w:widowControl/>
              <w:suppressLineNumbers w:val="0"/>
              <w:kinsoku/>
              <w:wordWrap w:val="0"/>
              <w:overflowPunct/>
              <w:topLinePunct w:val="0"/>
              <w:autoSpaceDE/>
              <w:autoSpaceDN/>
              <w:bidi w:val="0"/>
              <w:adjustRightInd/>
              <w:snapToGrid/>
              <w:jc w:val="left"/>
              <w:textAlignment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1、本项目采用全流程电子化招标投标方式，具体的平台操作流程见中易电子交易平台（https://www.cotenders.cn/）“服务指南-办事指南”里的《中易电子交易平台建设工程投标企业操作指南》（网址：https://www.cotenders.cn/PublicServer2.0/public/comDetail/comDetail.html?id=0706766E-0F2C-B0B8-535C-19755EF233DA），平台须使用广东数字证书（GDCA）进行上传电子投标文件并完成投标，需办理广东数字证书（GDCA）的用户在“服务指南-办事指南”里的《中易电子交易平台广东GDCA数字证书及电子印章（实体CA）申请办理指南》（网址：https://www.cotenders.cn/PublicServer2.0/public/comDetail/comDetail.html?id=12BDEC90-46BB-DDB4-5840-EC6B95CC424E）进行下载查看。没有办理过CA数字证书的投标人须在投标截止时间前办理好，以免影响正常投标。</w:t>
            </w:r>
          </w:p>
          <w:p w14:paraId="5D0B724F">
            <w:pPr>
              <w:pStyle w:val="2"/>
              <w:ind w:left="0" w:leftChars="0" w:firstLine="0" w:firstLineChars="0"/>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2、</w:t>
            </w: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各投标人代表参与现场开标时须携带法定代表人或授权委托人的身份证和企业CA入场。如投标人</w:t>
            </w: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不</w:t>
            </w: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参与现场开标</w:t>
            </w: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的，可</w:t>
            </w: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远程解密</w:t>
            </w: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投标</w:t>
            </w: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文件，投标人</w:t>
            </w:r>
            <w:r>
              <w:rPr>
                <w:rFonts w:hint="eastAsia" w:ascii="仿宋" w:hAnsi="仿宋" w:eastAsia="仿宋" w:cs="仿宋"/>
                <w:b/>
                <w:bCs/>
                <w:i w:val="0"/>
                <w:color w:val="000000" w:themeColor="text1"/>
                <w:sz w:val="28"/>
                <w:szCs w:val="28"/>
                <w:highlight w:val="none"/>
                <w:u w:val="none"/>
                <w:lang w:val="zh-CN" w:eastAsia="zh-CN"/>
                <w14:textFill>
                  <w14:solidFill>
                    <w14:schemeClr w14:val="tx1"/>
                  </w14:solidFill>
                </w14:textFill>
              </w:rPr>
              <w:t>须登录交易系统在</w:t>
            </w: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开标</w:t>
            </w:r>
            <w:r>
              <w:rPr>
                <w:rFonts w:hint="eastAsia" w:ascii="仿宋" w:hAnsi="仿宋" w:eastAsia="仿宋" w:cs="仿宋"/>
                <w:b/>
                <w:bCs/>
                <w:i w:val="0"/>
                <w:color w:val="000000" w:themeColor="text1"/>
                <w:sz w:val="28"/>
                <w:szCs w:val="28"/>
                <w:highlight w:val="none"/>
                <w:u w:val="none"/>
                <w:lang w:val="zh-CN" w:eastAsia="zh-CN"/>
                <w14:textFill>
                  <w14:solidFill>
                    <w14:schemeClr w14:val="tx1"/>
                  </w14:solidFill>
                </w14:textFill>
              </w:rPr>
              <w:t>时间解密</w:t>
            </w: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投标</w:t>
            </w:r>
            <w:r>
              <w:rPr>
                <w:rFonts w:hint="eastAsia" w:ascii="仿宋" w:hAnsi="仿宋" w:eastAsia="仿宋" w:cs="仿宋"/>
                <w:b/>
                <w:bCs/>
                <w:i w:val="0"/>
                <w:color w:val="000000" w:themeColor="text1"/>
                <w:sz w:val="28"/>
                <w:szCs w:val="28"/>
                <w:highlight w:val="none"/>
                <w:u w:val="none"/>
                <w:lang w:val="zh-CN" w:eastAsia="zh-CN"/>
                <w14:textFill>
                  <w14:solidFill>
                    <w14:schemeClr w14:val="tx1"/>
                  </w14:solidFill>
                </w14:textFill>
              </w:rPr>
              <w:t>文件</w:t>
            </w:r>
            <w:r>
              <w:rPr>
                <w:rFonts w:hint="eastAsia" w:ascii="仿宋" w:hAnsi="仿宋" w:eastAsia="仿宋" w:cs="仿宋"/>
                <w:b/>
                <w:bCs/>
                <w:i w:val="0"/>
                <w:color w:val="000000" w:themeColor="text1"/>
                <w:sz w:val="28"/>
                <w:szCs w:val="28"/>
                <w:highlight w:val="none"/>
                <w:u w:val="none"/>
                <w:lang w:eastAsia="zh-CN"/>
                <w14:textFill>
                  <w14:solidFill>
                    <w14:schemeClr w14:val="tx1"/>
                  </w14:solidFill>
                </w14:textFill>
              </w:rPr>
              <w:t>和</w:t>
            </w:r>
            <w:r>
              <w:rPr>
                <w:rFonts w:hint="eastAsia" w:ascii="仿宋" w:hAnsi="仿宋" w:eastAsia="仿宋" w:cs="仿宋"/>
                <w:b/>
                <w:bCs/>
                <w:i w:val="0"/>
                <w:color w:val="000000" w:themeColor="text1"/>
                <w:sz w:val="28"/>
                <w:szCs w:val="28"/>
                <w:highlight w:val="none"/>
                <w:u w:val="none"/>
                <w:lang w:val="zh-CN" w:eastAsia="zh-CN"/>
                <w14:textFill>
                  <w14:solidFill>
                    <w14:schemeClr w14:val="tx1"/>
                  </w14:solidFill>
                </w14:textFill>
              </w:rPr>
              <w:t>确认报价。</w:t>
            </w:r>
          </w:p>
        </w:tc>
      </w:tr>
      <w:tr w14:paraId="09F12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3" w:hRule="atLeast"/>
        </w:trPr>
        <w:tc>
          <w:tcPr>
            <w:tcW w:w="1856" w:type="dxa"/>
            <w:noWrap w:val="0"/>
            <w:vAlign w:val="center"/>
          </w:tcPr>
          <w:p w14:paraId="049307B1">
            <w:pPr>
              <w:keepNext w:val="0"/>
              <w:keepLines w:val="0"/>
              <w:widowControl/>
              <w:suppressLineNumbers w:val="0"/>
              <w:jc w:val="center"/>
              <w:textAlignment w:val="cente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pPr>
            <w:r>
              <w:rPr>
                <w:rFonts w:hint="eastAsia" w:ascii="仿宋" w:hAnsi="仿宋" w:eastAsia="仿宋" w:cs="仿宋"/>
                <w:b/>
                <w:bCs/>
                <w:i w:val="0"/>
                <w:color w:val="000000" w:themeColor="text1"/>
                <w:kern w:val="0"/>
                <w:sz w:val="28"/>
                <w:szCs w:val="28"/>
                <w:highlight w:val="none"/>
                <w:u w:val="none"/>
                <w:lang w:val="en-US" w:eastAsia="zh-CN" w:bidi="ar"/>
                <w14:textFill>
                  <w14:solidFill>
                    <w14:schemeClr w14:val="tx1"/>
                  </w14:solidFill>
                </w14:textFill>
              </w:rPr>
              <w:t>发布日期</w:t>
            </w:r>
          </w:p>
        </w:tc>
        <w:tc>
          <w:tcPr>
            <w:tcW w:w="7836" w:type="dxa"/>
            <w:gridSpan w:val="4"/>
            <w:noWrap w:val="0"/>
            <w:vAlign w:val="center"/>
          </w:tcPr>
          <w:p w14:paraId="4D6DDCF2">
            <w:pPr>
              <w:jc w:val="cente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pPr>
            <w:r>
              <w:rPr>
                <w:rFonts w:hint="eastAsia" w:ascii="仿宋" w:hAnsi="仿宋" w:eastAsia="仿宋" w:cs="仿宋"/>
                <w:b/>
                <w:bCs/>
                <w:i w:val="0"/>
                <w:color w:val="000000" w:themeColor="text1"/>
                <w:sz w:val="28"/>
                <w:szCs w:val="28"/>
                <w:highlight w:val="none"/>
                <w:u w:val="none"/>
                <w:lang w:val="en-US" w:eastAsia="zh-CN"/>
                <w14:textFill>
                  <w14:solidFill>
                    <w14:schemeClr w14:val="tx1"/>
                  </w14:solidFill>
                </w14:textFill>
              </w:rPr>
              <w:t>2025年12月30日</w:t>
            </w:r>
          </w:p>
        </w:tc>
      </w:tr>
      <w:bookmarkEnd w:id="0"/>
    </w:tbl>
    <w:p w14:paraId="73DBA019"/>
    <w:p w14:paraId="1A7480A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1E1AB9"/>
    <w:rsid w:val="081E1AB9"/>
    <w:rsid w:val="0AF142C5"/>
    <w:rsid w:val="0D116EA1"/>
    <w:rsid w:val="21EA022B"/>
    <w:rsid w:val="3C781C81"/>
    <w:rsid w:val="46963997"/>
    <w:rsid w:val="4F3D0E54"/>
    <w:rsid w:val="56D75305"/>
    <w:rsid w:val="571B6E55"/>
    <w:rsid w:val="5BC14BBB"/>
    <w:rsid w:val="5CD66444"/>
    <w:rsid w:val="5E3B0C54"/>
    <w:rsid w:val="69D435AA"/>
    <w:rsid w:val="6AAD4C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uiPriority w:val="0"/>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5980</Words>
  <Characters>6465</Characters>
  <Lines>0</Lines>
  <Paragraphs>0</Paragraphs>
  <TotalTime>0</TotalTime>
  <ScaleCrop>false</ScaleCrop>
  <LinksUpToDate>false</LinksUpToDate>
  <CharactersWithSpaces>6475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2025-12-30T14:14:00Z</dcterms:created>
  <dc:creator>Hello哦</dc:creator>
  <cp:lastModifiedBy>Hello哦</cp:lastModifiedBy>
  <dcterms:modified xsi:type="dcterms:W3CDTF">2025-12-30T15:07:10Z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15541D5F19C047B2B9B591251E6C312E_13</vt:lpwstr>
  </property>
  <property fmtid="{D5CDD505-2E9C-101B-9397-08002B2CF9AE}" pid="4" name="KSOTemplateDocerSaveRecord">
    <vt:lpwstr>eyJoZGlkIjoiMTM4ZmI0YjQ2OThjMjU4N2ZiYzA1Zjc5NWIyNmQ4N2UiLCJ1c2VySWQiOiIxMzg4NTEzMzc2In0=</vt:lpwstr>
  </property>
</Properties>
</file>